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4.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2.xml" ContentType="application/vnd.openxmlformats-officedocument.themeOverride+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078F1A" w14:textId="66A1EFD0" w:rsidR="00C20794" w:rsidRDefault="00B967B3">
      <w:pPr>
        <w:rPr>
          <w:rFonts w:ascii="Times New Roman Gras" w:hAnsi="Times New Roman Gras"/>
          <w:b/>
          <w:caps/>
          <w:color w:val="0070C0"/>
          <w:sz w:val="28"/>
          <w:szCs w:val="28"/>
        </w:rPr>
      </w:pPr>
      <w:bookmarkStart w:id="0" w:name="_GoBack"/>
      <w:bookmarkEnd w:id="0"/>
      <w:r w:rsidRPr="00B967B3">
        <w:rPr>
          <w:rFonts w:ascii="Cambria" w:eastAsia="Times New Roman" w:hAnsi="Cambria" w:cs="Times New Roman"/>
          <w:noProof/>
          <w:sz w:val="72"/>
          <w:szCs w:val="72"/>
          <w:lang w:eastAsia="fr-FR"/>
        </w:rPr>
        <w:drawing>
          <wp:anchor distT="0" distB="0" distL="114300" distR="114300" simplePos="0" relativeHeight="251663360" behindDoc="0" locked="0" layoutInCell="1" allowOverlap="1" wp14:anchorId="558DBEF4" wp14:editId="2F90AE45">
            <wp:simplePos x="0" y="0"/>
            <wp:positionH relativeFrom="column">
              <wp:posOffset>2195830</wp:posOffset>
            </wp:positionH>
            <wp:positionV relativeFrom="paragraph">
              <wp:posOffset>168275</wp:posOffset>
            </wp:positionV>
            <wp:extent cx="1035050" cy="1207135"/>
            <wp:effectExtent l="0" t="0" r="0" b="0"/>
            <wp:wrapSquare wrapText="bothSides"/>
            <wp:docPr id="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4" descr="A quelles armoiries se vouer ?"/>
                    <pic:cNvPicPr>
                      <a:picLocks noChangeAspect="1" noChangeArrowheads="1"/>
                    </pic:cNvPicPr>
                  </pic:nvPicPr>
                  <pic:blipFill>
                    <a:blip r:embed="rId8">
                      <a:extLst>
                        <a:ext uri="{28A0092B-C50C-407E-A947-70E740481C1C}">
                          <a14:useLocalDpi xmlns:a14="http://schemas.microsoft.com/office/drawing/2010/main" val="0"/>
                        </a:ext>
                      </a:extLst>
                    </a:blip>
                    <a:srcRect l="5649" r="56818" b="16129"/>
                    <a:stretch>
                      <a:fillRect/>
                    </a:stretch>
                  </pic:blipFill>
                  <pic:spPr bwMode="auto">
                    <a:xfrm>
                      <a:off x="0" y="0"/>
                      <a:ext cx="1035050" cy="12071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2DE20F5" w14:textId="77777777" w:rsidR="00961C68" w:rsidRDefault="00961C68" w:rsidP="00961C68">
      <w:pPr>
        <w:spacing w:after="0" w:line="240" w:lineRule="auto"/>
        <w:rPr>
          <w:rFonts w:ascii="Times New Roman Gras" w:hAnsi="Times New Roman Gras"/>
          <w:b/>
          <w:caps/>
          <w:color w:val="0070C0"/>
          <w:sz w:val="28"/>
          <w:szCs w:val="28"/>
        </w:rPr>
      </w:pPr>
    </w:p>
    <w:p w14:paraId="4EA342AD" w14:textId="77777777" w:rsidR="00961C68" w:rsidRDefault="00961C68" w:rsidP="00961C68">
      <w:pPr>
        <w:spacing w:after="0" w:line="240" w:lineRule="auto"/>
        <w:rPr>
          <w:rFonts w:ascii="Times New Roman Gras" w:hAnsi="Times New Roman Gras"/>
          <w:b/>
          <w:caps/>
          <w:color w:val="0070C0"/>
          <w:sz w:val="28"/>
          <w:szCs w:val="28"/>
        </w:rPr>
      </w:pPr>
    </w:p>
    <w:p w14:paraId="6841C16F" w14:textId="77777777" w:rsidR="00961C68" w:rsidRDefault="00961C68" w:rsidP="00961C68">
      <w:pPr>
        <w:spacing w:after="0" w:line="240" w:lineRule="auto"/>
        <w:rPr>
          <w:rFonts w:ascii="Times New Roman Gras" w:hAnsi="Times New Roman Gras"/>
          <w:b/>
          <w:caps/>
          <w:color w:val="0070C0"/>
          <w:sz w:val="28"/>
          <w:szCs w:val="28"/>
        </w:rPr>
      </w:pPr>
    </w:p>
    <w:p w14:paraId="3DA6B051" w14:textId="77777777" w:rsidR="00961C68" w:rsidRDefault="00961C68" w:rsidP="00961C68">
      <w:pPr>
        <w:spacing w:after="0" w:line="240" w:lineRule="auto"/>
        <w:rPr>
          <w:rFonts w:ascii="Times New Roman Gras" w:hAnsi="Times New Roman Gras"/>
          <w:b/>
          <w:caps/>
          <w:color w:val="0070C0"/>
          <w:sz w:val="28"/>
          <w:szCs w:val="28"/>
        </w:rPr>
      </w:pPr>
    </w:p>
    <w:p w14:paraId="700AA110" w14:textId="77777777" w:rsidR="00961C68" w:rsidRDefault="00961C68" w:rsidP="00961C68">
      <w:pPr>
        <w:spacing w:after="0" w:line="240" w:lineRule="auto"/>
        <w:ind w:left="2124"/>
        <w:rPr>
          <w:rFonts w:ascii="Times New Roman Gras" w:hAnsi="Times New Roman Gras"/>
          <w:b/>
          <w:caps/>
          <w:color w:val="0070C0"/>
          <w:sz w:val="28"/>
          <w:szCs w:val="28"/>
        </w:rPr>
      </w:pPr>
      <w:r>
        <w:rPr>
          <w:rFonts w:ascii="Times New Roman Gras" w:hAnsi="Times New Roman Gras"/>
          <w:b/>
          <w:caps/>
          <w:color w:val="0070C0"/>
          <w:sz w:val="28"/>
          <w:szCs w:val="28"/>
        </w:rPr>
        <w:t xml:space="preserve">             </w:t>
      </w:r>
    </w:p>
    <w:p w14:paraId="36DAAB39" w14:textId="40B7D718" w:rsidR="00FC1E83" w:rsidRDefault="00C47BFF" w:rsidP="00C47BFF">
      <w:pPr>
        <w:spacing w:after="0" w:line="240" w:lineRule="auto"/>
        <w:ind w:left="2124"/>
        <w:rPr>
          <w:rFonts w:ascii="Times New Roman Gras" w:hAnsi="Times New Roman Gras"/>
          <w:b/>
          <w:caps/>
          <w:color w:val="0070C0"/>
          <w:sz w:val="56"/>
          <w:szCs w:val="28"/>
        </w:rPr>
      </w:pPr>
      <w:r>
        <w:rPr>
          <w:rFonts w:ascii="Times New Roman Gras" w:hAnsi="Times New Roman Gras"/>
          <w:b/>
          <w:caps/>
          <w:color w:val="0070C0"/>
          <w:sz w:val="56"/>
          <w:szCs w:val="28"/>
        </w:rPr>
        <w:t xml:space="preserve">         </w:t>
      </w:r>
    </w:p>
    <w:p w14:paraId="05F72F42" w14:textId="049A8486" w:rsidR="00961C68" w:rsidRDefault="00961C68" w:rsidP="00C47BFF">
      <w:pPr>
        <w:spacing w:after="0" w:line="240" w:lineRule="auto"/>
        <w:ind w:left="-567"/>
        <w:jc w:val="center"/>
        <w:rPr>
          <w:rFonts w:ascii="Times New Roman Gras" w:hAnsi="Times New Roman Gras"/>
          <w:b/>
          <w:caps/>
          <w:color w:val="0070C0"/>
          <w:sz w:val="44"/>
          <w:szCs w:val="28"/>
        </w:rPr>
      </w:pPr>
      <w:r w:rsidRPr="00961C68">
        <w:rPr>
          <w:rFonts w:ascii="Times New Roman Gras" w:hAnsi="Times New Roman Gras"/>
          <w:b/>
          <w:caps/>
          <w:color w:val="0070C0"/>
          <w:sz w:val="44"/>
          <w:szCs w:val="28"/>
        </w:rPr>
        <w:t>M</w:t>
      </w:r>
      <w:r>
        <w:rPr>
          <w:rFonts w:ascii="Times New Roman Gras" w:hAnsi="Times New Roman Gras"/>
          <w:b/>
          <w:caps/>
          <w:color w:val="0070C0"/>
          <w:sz w:val="44"/>
          <w:szCs w:val="28"/>
        </w:rPr>
        <w:t xml:space="preserve"> </w:t>
      </w:r>
      <w:r w:rsidRPr="00961C68">
        <w:rPr>
          <w:rFonts w:ascii="Times New Roman Gras" w:hAnsi="Times New Roman Gras"/>
          <w:b/>
          <w:caps/>
          <w:color w:val="0070C0"/>
          <w:sz w:val="44"/>
          <w:szCs w:val="28"/>
        </w:rPr>
        <w:t>e</w:t>
      </w:r>
      <w:r>
        <w:rPr>
          <w:rFonts w:ascii="Times New Roman Gras" w:hAnsi="Times New Roman Gras"/>
          <w:b/>
          <w:caps/>
          <w:color w:val="0070C0"/>
          <w:sz w:val="44"/>
          <w:szCs w:val="28"/>
        </w:rPr>
        <w:t xml:space="preserve"> </w:t>
      </w:r>
      <w:r w:rsidRPr="00961C68">
        <w:rPr>
          <w:rFonts w:ascii="Times New Roman Gras" w:hAnsi="Times New Roman Gras"/>
          <w:b/>
          <w:caps/>
          <w:color w:val="0070C0"/>
          <w:sz w:val="44"/>
          <w:szCs w:val="28"/>
        </w:rPr>
        <w:t>r</w:t>
      </w:r>
      <w:r>
        <w:rPr>
          <w:rFonts w:ascii="Times New Roman Gras" w:hAnsi="Times New Roman Gras"/>
          <w:b/>
          <w:caps/>
          <w:color w:val="0070C0"/>
          <w:sz w:val="44"/>
          <w:szCs w:val="28"/>
        </w:rPr>
        <w:t xml:space="preserve"> </w:t>
      </w:r>
      <w:r w:rsidRPr="00961C68">
        <w:rPr>
          <w:rFonts w:ascii="Times New Roman Gras" w:hAnsi="Times New Roman Gras"/>
          <w:b/>
          <w:caps/>
          <w:color w:val="0070C0"/>
          <w:sz w:val="44"/>
          <w:szCs w:val="28"/>
        </w:rPr>
        <w:t>f</w:t>
      </w:r>
    </w:p>
    <w:p w14:paraId="4A280FE7" w14:textId="77777777" w:rsidR="00961C68" w:rsidRPr="00961C68" w:rsidRDefault="00961C68" w:rsidP="00961C68">
      <w:pPr>
        <w:spacing w:after="0" w:line="240" w:lineRule="auto"/>
        <w:ind w:left="2124"/>
        <w:rPr>
          <w:rFonts w:ascii="Times New Roman Gras" w:hAnsi="Times New Roman Gras"/>
          <w:b/>
          <w:caps/>
          <w:color w:val="0070C0"/>
          <w:sz w:val="44"/>
          <w:szCs w:val="28"/>
        </w:rPr>
      </w:pPr>
    </w:p>
    <w:p w14:paraId="45F704CD" w14:textId="77777777" w:rsidR="00961C68" w:rsidRPr="00961C68" w:rsidRDefault="00B967B3" w:rsidP="00961C68">
      <w:pPr>
        <w:spacing w:after="0" w:line="240" w:lineRule="auto"/>
        <w:jc w:val="center"/>
        <w:rPr>
          <w:rFonts w:ascii="Times New Roman Gras" w:hAnsi="Times New Roman Gras"/>
          <w:b/>
          <w:caps/>
          <w:color w:val="0070C0"/>
          <w:sz w:val="24"/>
          <w:szCs w:val="28"/>
        </w:rPr>
      </w:pPr>
      <w:r w:rsidRPr="00961C68">
        <w:rPr>
          <w:rFonts w:ascii="Times New Roman Gras" w:hAnsi="Times New Roman Gras"/>
          <w:b/>
          <w:caps/>
          <w:color w:val="0070C0"/>
          <w:sz w:val="24"/>
          <w:szCs w:val="28"/>
        </w:rPr>
        <w:t>st</w:t>
      </w:r>
      <w:r w:rsidR="003A74BD" w:rsidRPr="00961C68">
        <w:rPr>
          <w:rFonts w:ascii="Times New Roman Gras" w:hAnsi="Times New Roman Gras"/>
          <w:b/>
          <w:caps/>
          <w:color w:val="0070C0"/>
          <w:sz w:val="24"/>
          <w:szCs w:val="28"/>
        </w:rPr>
        <w:t xml:space="preserve">ratégie et Plan d’Action National pour la Biodiversité </w:t>
      </w:r>
    </w:p>
    <w:p w14:paraId="4D1D4E93" w14:textId="3080123A" w:rsidR="00961C68" w:rsidRPr="00961C68" w:rsidRDefault="003A74BD" w:rsidP="00961C68">
      <w:pPr>
        <w:spacing w:after="0" w:line="240" w:lineRule="auto"/>
        <w:jc w:val="center"/>
        <w:rPr>
          <w:rFonts w:ascii="Times New Roman Gras" w:hAnsi="Times New Roman Gras"/>
          <w:b/>
          <w:caps/>
          <w:color w:val="0070C0"/>
          <w:sz w:val="24"/>
          <w:szCs w:val="28"/>
        </w:rPr>
      </w:pPr>
      <w:r w:rsidRPr="00961C68">
        <w:rPr>
          <w:rFonts w:ascii="Times New Roman Gras" w:hAnsi="Times New Roman Gras"/>
          <w:b/>
          <w:caps/>
          <w:color w:val="0070C0"/>
          <w:sz w:val="24"/>
          <w:szCs w:val="28"/>
        </w:rPr>
        <w:t>du Togo (SPANB 2011-2020)</w:t>
      </w:r>
    </w:p>
    <w:p w14:paraId="7754E953" w14:textId="77777777" w:rsidR="00961C68" w:rsidRPr="00961C68" w:rsidRDefault="00961C68" w:rsidP="00961C68">
      <w:pPr>
        <w:spacing w:after="0" w:line="240" w:lineRule="auto"/>
        <w:jc w:val="center"/>
        <w:rPr>
          <w:rFonts w:ascii="Times New Roman Gras" w:hAnsi="Times New Roman Gras"/>
          <w:caps/>
          <w:color w:val="0070C0"/>
          <w:sz w:val="32"/>
          <w:szCs w:val="28"/>
        </w:rPr>
      </w:pPr>
    </w:p>
    <w:p w14:paraId="2EB46202" w14:textId="77777777" w:rsidR="003A74BD" w:rsidRPr="00961C68" w:rsidRDefault="003A74BD" w:rsidP="00961C68">
      <w:pPr>
        <w:spacing w:after="0" w:line="240" w:lineRule="auto"/>
        <w:jc w:val="center"/>
        <w:rPr>
          <w:rFonts w:ascii="Times New Roman Gras" w:hAnsi="Times New Roman Gras" w:cs="Times New Roman"/>
          <w:b/>
          <w:bCs/>
          <w:caps/>
          <w:color w:val="000000"/>
          <w:sz w:val="30"/>
          <w:szCs w:val="44"/>
        </w:rPr>
      </w:pPr>
      <w:r w:rsidRPr="00961C68">
        <w:rPr>
          <w:rFonts w:ascii="Times New Roman Gras" w:hAnsi="Times New Roman Gras" w:cs="Times New Roman"/>
          <w:b/>
          <w:bCs/>
          <w:caps/>
          <w:color w:val="000000"/>
          <w:sz w:val="30"/>
          <w:szCs w:val="44"/>
        </w:rPr>
        <w:t>Sixième rapport national sur la diversité biologique DU TOGO</w:t>
      </w:r>
    </w:p>
    <w:p w14:paraId="00B92EF7" w14:textId="16ADFB4F" w:rsidR="00B967B3" w:rsidRPr="00961C68" w:rsidRDefault="00B967B3" w:rsidP="003A74BD">
      <w:pPr>
        <w:spacing w:after="0" w:line="240" w:lineRule="auto"/>
        <w:jc w:val="center"/>
        <w:rPr>
          <w:rFonts w:ascii="Times New Roman Gras" w:hAnsi="Times New Roman Gras" w:cs="Times New Roman"/>
          <w:b/>
          <w:bCs/>
          <w:caps/>
          <w:color w:val="000000"/>
          <w:sz w:val="30"/>
          <w:szCs w:val="44"/>
        </w:rPr>
      </w:pPr>
      <w:r w:rsidRPr="00961C68">
        <w:rPr>
          <w:rFonts w:ascii="Times New Roman Gras" w:hAnsi="Times New Roman Gras" w:cs="Times New Roman"/>
          <w:b/>
          <w:bCs/>
          <w:caps/>
          <w:color w:val="000000"/>
          <w:sz w:val="30"/>
          <w:szCs w:val="44"/>
        </w:rPr>
        <w:t>(2014-2019)</w:t>
      </w:r>
    </w:p>
    <w:p w14:paraId="5920B540" w14:textId="77777777" w:rsidR="003A74BD" w:rsidRPr="00863FD7" w:rsidRDefault="003A74BD" w:rsidP="003A74BD">
      <w:pPr>
        <w:spacing w:after="0"/>
        <w:jc w:val="center"/>
        <w:rPr>
          <w:rFonts w:ascii="Times New Roman" w:hAnsi="Times New Roman" w:cs="Times New Roman"/>
          <w:sz w:val="16"/>
          <w:szCs w:val="16"/>
        </w:rPr>
      </w:pPr>
    </w:p>
    <w:p w14:paraId="56D63FE0" w14:textId="77777777" w:rsidR="003A74BD" w:rsidRDefault="003A74BD" w:rsidP="003A74BD">
      <w:pPr>
        <w:spacing w:after="0"/>
        <w:rPr>
          <w:rFonts w:ascii="Times New Roman" w:hAnsi="Times New Roman" w:cs="Times New Roman"/>
          <w:sz w:val="24"/>
          <w:szCs w:val="24"/>
        </w:rPr>
      </w:pPr>
      <w:r w:rsidRPr="00863FD7">
        <w:rPr>
          <w:noProof/>
          <w:lang w:eastAsia="fr-FR"/>
        </w:rPr>
        <w:drawing>
          <wp:inline distT="0" distB="0" distL="0" distR="0" wp14:anchorId="2D274471" wp14:editId="40F5E8FE">
            <wp:extent cx="5754438" cy="3864864"/>
            <wp:effectExtent l="0" t="0" r="0" b="2540"/>
            <wp:docPr id="452" name="Imag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5759450" cy="3868230"/>
                    </a:xfrm>
                    <a:prstGeom prst="rect">
                      <a:avLst/>
                    </a:prstGeom>
                    <a:noFill/>
                    <a:ln>
                      <a:noFill/>
                    </a:ln>
                  </pic:spPr>
                </pic:pic>
              </a:graphicData>
            </a:graphic>
          </wp:inline>
        </w:drawing>
      </w:r>
    </w:p>
    <w:p w14:paraId="745D563A" w14:textId="77777777" w:rsidR="003A74BD" w:rsidRPr="00863FD7" w:rsidRDefault="003A74BD" w:rsidP="003A74BD">
      <w:pPr>
        <w:spacing w:after="0"/>
        <w:rPr>
          <w:rFonts w:ascii="Times New Roman" w:hAnsi="Times New Roman" w:cs="Times New Roman"/>
          <w:sz w:val="16"/>
          <w:szCs w:val="16"/>
        </w:rPr>
      </w:pPr>
    </w:p>
    <w:p w14:paraId="039A0932" w14:textId="0D3DB24B" w:rsidR="003A74BD" w:rsidRDefault="00B967B3" w:rsidP="00A06661">
      <w:pPr>
        <w:spacing w:after="0"/>
        <w:jc w:val="center"/>
        <w:rPr>
          <w:rFonts w:ascii="Times New Roman" w:hAnsi="Times New Roman" w:cs="Times New Roman"/>
          <w:sz w:val="24"/>
          <w:szCs w:val="24"/>
        </w:rPr>
      </w:pPr>
      <w:r>
        <w:rPr>
          <w:rFonts w:ascii="Times New Roman" w:hAnsi="Times New Roman" w:cs="Times New Roman"/>
          <w:b/>
          <w:color w:val="FF0000"/>
          <w:sz w:val="40"/>
          <w:szCs w:val="40"/>
        </w:rPr>
        <w:t>Lomé, décembre 2018</w:t>
      </w:r>
      <w:r w:rsidR="003A74BD">
        <w:rPr>
          <w:rFonts w:ascii="Times New Roman" w:hAnsi="Times New Roman" w:cs="Times New Roman"/>
          <w:sz w:val="24"/>
          <w:szCs w:val="24"/>
        </w:rPr>
        <w:tab/>
      </w:r>
      <w:r w:rsidR="003A74BD">
        <w:rPr>
          <w:rFonts w:ascii="Times New Roman" w:hAnsi="Times New Roman" w:cs="Times New Roman"/>
          <w:sz w:val="24"/>
          <w:szCs w:val="24"/>
        </w:rPr>
        <w:tab/>
      </w:r>
    </w:p>
    <w:p w14:paraId="475F6362" w14:textId="77777777" w:rsidR="003A74BD" w:rsidRPr="00863FD7" w:rsidRDefault="003A74BD" w:rsidP="003A74BD">
      <w:pPr>
        <w:spacing w:after="0"/>
        <w:jc w:val="center"/>
        <w:rPr>
          <w:rFonts w:ascii="Times New Roman" w:hAnsi="Times New Roman" w:cs="Times New Roman"/>
          <w:sz w:val="16"/>
          <w:szCs w:val="16"/>
        </w:rPr>
      </w:pPr>
    </w:p>
    <w:p w14:paraId="3174847D" w14:textId="77777777" w:rsidR="003A74BD" w:rsidRPr="00863FD7" w:rsidRDefault="003A74BD" w:rsidP="003A74BD">
      <w:pPr>
        <w:spacing w:after="0"/>
        <w:jc w:val="center"/>
        <w:rPr>
          <w:rFonts w:ascii="Times New Roman" w:hAnsi="Times New Roman" w:cs="Times New Roman"/>
          <w:sz w:val="16"/>
          <w:szCs w:val="16"/>
        </w:rPr>
        <w:sectPr w:rsidR="003A74BD" w:rsidRPr="00863FD7" w:rsidSect="00A06661">
          <w:footerReference w:type="default" r:id="rId10"/>
          <w:pgSz w:w="11906" w:h="16838"/>
          <w:pgMar w:top="1134" w:right="1418" w:bottom="1418" w:left="1418" w:header="709" w:footer="1337" w:gutter="0"/>
          <w:pgBorders w:offsetFrom="page">
            <w:top w:val="twistedLines2" w:sz="31" w:space="24" w:color="0070C0"/>
            <w:left w:val="twistedLines2" w:sz="31" w:space="24" w:color="0070C0"/>
            <w:bottom w:val="twistedLines2" w:sz="31" w:space="24" w:color="0070C0"/>
            <w:right w:val="twistedLines2" w:sz="31" w:space="24" w:color="0070C0"/>
          </w:pgBorders>
          <w:cols w:space="708"/>
          <w:docGrid w:linePitch="360"/>
        </w:sectPr>
      </w:pPr>
    </w:p>
    <w:sdt>
      <w:sdtPr>
        <w:rPr>
          <w:rFonts w:asciiTheme="minorHAnsi" w:eastAsiaTheme="minorHAnsi" w:hAnsiTheme="minorHAnsi" w:cstheme="minorBidi"/>
          <w:b w:val="0"/>
          <w:bCs w:val="0"/>
          <w:color w:val="auto"/>
          <w:sz w:val="22"/>
          <w:szCs w:val="22"/>
        </w:rPr>
        <w:id w:val="-864131286"/>
        <w:docPartObj>
          <w:docPartGallery w:val="Table of Contents"/>
          <w:docPartUnique/>
        </w:docPartObj>
      </w:sdtPr>
      <w:sdtEndPr/>
      <w:sdtContent>
        <w:p w14:paraId="5E0B79BD" w14:textId="77777777" w:rsidR="00555B83" w:rsidRDefault="00555B83" w:rsidP="00555B83">
          <w:pPr>
            <w:pStyle w:val="En-ttedetabledesmatires"/>
            <w:spacing w:before="0"/>
          </w:pPr>
          <w:r>
            <w:t>Table des matières</w:t>
          </w:r>
        </w:p>
        <w:p w14:paraId="102C7AAE" w14:textId="09823417" w:rsidR="0036687F" w:rsidRDefault="00620BEA">
          <w:pPr>
            <w:pStyle w:val="TM1"/>
            <w:tabs>
              <w:tab w:val="right" w:leader="dot" w:pos="9060"/>
            </w:tabs>
            <w:rPr>
              <w:rFonts w:eastAsiaTheme="minorEastAsia"/>
              <w:noProof/>
              <w:lang w:eastAsia="fr-FR"/>
            </w:rPr>
          </w:pPr>
          <w:r>
            <w:fldChar w:fldCharType="begin"/>
          </w:r>
          <w:r w:rsidR="00555B83">
            <w:instrText xml:space="preserve"> TOC \o "1-3" \h \z \u </w:instrText>
          </w:r>
          <w:r>
            <w:fldChar w:fldCharType="separate"/>
          </w:r>
          <w:hyperlink w:anchor="_Toc533413732" w:history="1">
            <w:r w:rsidR="0036687F" w:rsidRPr="00084752">
              <w:rPr>
                <w:rStyle w:val="Lienhypertexte"/>
                <w:noProof/>
              </w:rPr>
              <w:t>SIGLES ET ACRONYMES</w:t>
            </w:r>
            <w:r w:rsidR="0036687F">
              <w:rPr>
                <w:noProof/>
                <w:webHidden/>
              </w:rPr>
              <w:tab/>
            </w:r>
            <w:r w:rsidR="0036687F">
              <w:rPr>
                <w:noProof/>
                <w:webHidden/>
              </w:rPr>
              <w:fldChar w:fldCharType="begin"/>
            </w:r>
            <w:r w:rsidR="0036687F">
              <w:rPr>
                <w:noProof/>
                <w:webHidden/>
              </w:rPr>
              <w:instrText xml:space="preserve"> PAGEREF _Toc533413732 \h </w:instrText>
            </w:r>
            <w:r w:rsidR="0036687F">
              <w:rPr>
                <w:noProof/>
                <w:webHidden/>
              </w:rPr>
            </w:r>
            <w:r w:rsidR="0036687F">
              <w:rPr>
                <w:noProof/>
                <w:webHidden/>
              </w:rPr>
              <w:fldChar w:fldCharType="separate"/>
            </w:r>
            <w:r w:rsidR="00C47BFF">
              <w:rPr>
                <w:noProof/>
                <w:webHidden/>
              </w:rPr>
              <w:t>v</w:t>
            </w:r>
            <w:r w:rsidR="0036687F">
              <w:rPr>
                <w:noProof/>
                <w:webHidden/>
              </w:rPr>
              <w:fldChar w:fldCharType="end"/>
            </w:r>
          </w:hyperlink>
        </w:p>
        <w:p w14:paraId="156B207B" w14:textId="78497A7E" w:rsidR="0036687F" w:rsidRDefault="00A14142">
          <w:pPr>
            <w:pStyle w:val="TM1"/>
            <w:tabs>
              <w:tab w:val="right" w:leader="dot" w:pos="9060"/>
            </w:tabs>
            <w:rPr>
              <w:rFonts w:eastAsiaTheme="minorEastAsia"/>
              <w:noProof/>
              <w:lang w:eastAsia="fr-FR"/>
            </w:rPr>
          </w:pPr>
          <w:hyperlink w:anchor="_Toc533413733" w:history="1">
            <w:r w:rsidR="0036687F" w:rsidRPr="00084752">
              <w:rPr>
                <w:rStyle w:val="Lienhypertexte"/>
                <w:rFonts w:ascii="Times New Roman Gras" w:eastAsiaTheme="majorEastAsia" w:hAnsi="Times New Roman Gras" w:cs="Times New Roman"/>
                <w:b/>
                <w:bCs/>
                <w:caps/>
                <w:noProof/>
              </w:rPr>
              <w:t>Introduction</w:t>
            </w:r>
            <w:r w:rsidR="0036687F">
              <w:rPr>
                <w:noProof/>
                <w:webHidden/>
              </w:rPr>
              <w:tab/>
            </w:r>
            <w:r w:rsidR="0036687F">
              <w:rPr>
                <w:noProof/>
                <w:webHidden/>
              </w:rPr>
              <w:fldChar w:fldCharType="begin"/>
            </w:r>
            <w:r w:rsidR="0036687F">
              <w:rPr>
                <w:noProof/>
                <w:webHidden/>
              </w:rPr>
              <w:instrText xml:space="preserve"> PAGEREF _Toc533413733 \h </w:instrText>
            </w:r>
            <w:r w:rsidR="0036687F">
              <w:rPr>
                <w:noProof/>
                <w:webHidden/>
              </w:rPr>
            </w:r>
            <w:r w:rsidR="0036687F">
              <w:rPr>
                <w:noProof/>
                <w:webHidden/>
              </w:rPr>
              <w:fldChar w:fldCharType="separate"/>
            </w:r>
            <w:r w:rsidR="00C47BFF">
              <w:rPr>
                <w:noProof/>
                <w:webHidden/>
              </w:rPr>
              <w:t>1</w:t>
            </w:r>
            <w:r w:rsidR="0036687F">
              <w:rPr>
                <w:noProof/>
                <w:webHidden/>
              </w:rPr>
              <w:fldChar w:fldCharType="end"/>
            </w:r>
          </w:hyperlink>
        </w:p>
        <w:p w14:paraId="49C9DC29" w14:textId="6862CA64" w:rsidR="0036687F" w:rsidRDefault="00A14142">
          <w:pPr>
            <w:pStyle w:val="TM1"/>
            <w:tabs>
              <w:tab w:val="right" w:leader="dot" w:pos="9060"/>
            </w:tabs>
            <w:rPr>
              <w:rFonts w:eastAsiaTheme="minorEastAsia"/>
              <w:noProof/>
              <w:lang w:eastAsia="fr-FR"/>
            </w:rPr>
          </w:pPr>
          <w:hyperlink w:anchor="_Toc533413734" w:history="1">
            <w:r w:rsidR="0036687F" w:rsidRPr="00084752">
              <w:rPr>
                <w:rStyle w:val="Lienhypertexte"/>
                <w:rFonts w:ascii="Times New Roman Gras" w:eastAsiaTheme="majorEastAsia" w:hAnsi="Times New Roman Gras" w:cs="Times New Roman"/>
                <w:b/>
                <w:bCs/>
                <w:caps/>
                <w:noProof/>
              </w:rPr>
              <w:t>I. Renseignements sur les objectifs visés au niveau national</w:t>
            </w:r>
            <w:r w:rsidR="0036687F">
              <w:rPr>
                <w:noProof/>
                <w:webHidden/>
              </w:rPr>
              <w:tab/>
            </w:r>
            <w:r w:rsidR="0036687F">
              <w:rPr>
                <w:noProof/>
                <w:webHidden/>
              </w:rPr>
              <w:fldChar w:fldCharType="begin"/>
            </w:r>
            <w:r w:rsidR="0036687F">
              <w:rPr>
                <w:noProof/>
                <w:webHidden/>
              </w:rPr>
              <w:instrText xml:space="preserve"> PAGEREF _Toc533413734 \h </w:instrText>
            </w:r>
            <w:r w:rsidR="0036687F">
              <w:rPr>
                <w:noProof/>
                <w:webHidden/>
              </w:rPr>
            </w:r>
            <w:r w:rsidR="0036687F">
              <w:rPr>
                <w:noProof/>
                <w:webHidden/>
              </w:rPr>
              <w:fldChar w:fldCharType="separate"/>
            </w:r>
            <w:r w:rsidR="00C47BFF">
              <w:rPr>
                <w:noProof/>
                <w:webHidden/>
              </w:rPr>
              <w:t>3</w:t>
            </w:r>
            <w:r w:rsidR="0036687F">
              <w:rPr>
                <w:noProof/>
                <w:webHidden/>
              </w:rPr>
              <w:fldChar w:fldCharType="end"/>
            </w:r>
          </w:hyperlink>
        </w:p>
        <w:p w14:paraId="600FE3B0" w14:textId="35AB817C" w:rsidR="0036687F" w:rsidRDefault="00A14142">
          <w:pPr>
            <w:pStyle w:val="TM3"/>
            <w:tabs>
              <w:tab w:val="right" w:leader="dot" w:pos="9060"/>
            </w:tabs>
            <w:rPr>
              <w:rFonts w:eastAsiaTheme="minorEastAsia"/>
              <w:noProof/>
              <w:lang w:eastAsia="fr-FR"/>
            </w:rPr>
          </w:pPr>
          <w:hyperlink w:anchor="_Toc533413735" w:history="1">
            <w:r w:rsidR="0036687F" w:rsidRPr="00084752">
              <w:rPr>
                <w:rStyle w:val="Lienhypertexte"/>
                <w:rFonts w:ascii="Times New Roman" w:hAnsi="Times New Roman" w:cs="Times New Roman"/>
                <w:b/>
                <w:bCs/>
                <w:noProof/>
              </w:rPr>
              <w:t>1.1. Principaux défis pour la conservation de la biodiversité au Togo</w:t>
            </w:r>
            <w:r w:rsidR="0036687F">
              <w:rPr>
                <w:noProof/>
                <w:webHidden/>
              </w:rPr>
              <w:tab/>
            </w:r>
            <w:r w:rsidR="0036687F">
              <w:rPr>
                <w:noProof/>
                <w:webHidden/>
              </w:rPr>
              <w:fldChar w:fldCharType="begin"/>
            </w:r>
            <w:r w:rsidR="0036687F">
              <w:rPr>
                <w:noProof/>
                <w:webHidden/>
              </w:rPr>
              <w:instrText xml:space="preserve"> PAGEREF _Toc533413735 \h </w:instrText>
            </w:r>
            <w:r w:rsidR="0036687F">
              <w:rPr>
                <w:noProof/>
                <w:webHidden/>
              </w:rPr>
            </w:r>
            <w:r w:rsidR="0036687F">
              <w:rPr>
                <w:noProof/>
                <w:webHidden/>
              </w:rPr>
              <w:fldChar w:fldCharType="separate"/>
            </w:r>
            <w:r w:rsidR="00C47BFF">
              <w:rPr>
                <w:noProof/>
                <w:webHidden/>
              </w:rPr>
              <w:t>3</w:t>
            </w:r>
            <w:r w:rsidR="0036687F">
              <w:rPr>
                <w:noProof/>
                <w:webHidden/>
              </w:rPr>
              <w:fldChar w:fldCharType="end"/>
            </w:r>
          </w:hyperlink>
        </w:p>
        <w:p w14:paraId="5C9ECC20" w14:textId="20A7F714" w:rsidR="0036687F" w:rsidRDefault="00A14142">
          <w:pPr>
            <w:pStyle w:val="TM3"/>
            <w:tabs>
              <w:tab w:val="right" w:leader="dot" w:pos="9060"/>
            </w:tabs>
            <w:rPr>
              <w:rFonts w:eastAsiaTheme="minorEastAsia"/>
              <w:noProof/>
              <w:lang w:eastAsia="fr-FR"/>
            </w:rPr>
          </w:pPr>
          <w:hyperlink w:anchor="_Toc533413736" w:history="1">
            <w:r w:rsidR="0036687F" w:rsidRPr="00084752">
              <w:rPr>
                <w:rStyle w:val="Lienhypertexte"/>
                <w:rFonts w:ascii="Times New Roman" w:hAnsi="Times New Roman" w:cs="Times New Roman"/>
                <w:b/>
                <w:noProof/>
              </w:rPr>
              <w:t>1.2. Processus de développement et d’adoption des objectifs nationaux et parties prenantes</w:t>
            </w:r>
            <w:r w:rsidR="0036687F">
              <w:rPr>
                <w:noProof/>
                <w:webHidden/>
              </w:rPr>
              <w:tab/>
            </w:r>
            <w:r w:rsidR="0036687F">
              <w:rPr>
                <w:noProof/>
                <w:webHidden/>
              </w:rPr>
              <w:fldChar w:fldCharType="begin"/>
            </w:r>
            <w:r w:rsidR="0036687F">
              <w:rPr>
                <w:noProof/>
                <w:webHidden/>
              </w:rPr>
              <w:instrText xml:space="preserve"> PAGEREF _Toc533413736 \h </w:instrText>
            </w:r>
            <w:r w:rsidR="0036687F">
              <w:rPr>
                <w:noProof/>
                <w:webHidden/>
              </w:rPr>
            </w:r>
            <w:r w:rsidR="0036687F">
              <w:rPr>
                <w:noProof/>
                <w:webHidden/>
              </w:rPr>
              <w:fldChar w:fldCharType="separate"/>
            </w:r>
            <w:r w:rsidR="00C47BFF">
              <w:rPr>
                <w:noProof/>
                <w:webHidden/>
              </w:rPr>
              <w:t>10</w:t>
            </w:r>
            <w:r w:rsidR="0036687F">
              <w:rPr>
                <w:noProof/>
                <w:webHidden/>
              </w:rPr>
              <w:fldChar w:fldCharType="end"/>
            </w:r>
          </w:hyperlink>
        </w:p>
        <w:p w14:paraId="5309C4C3" w14:textId="35F75BFE" w:rsidR="0036687F" w:rsidRDefault="00A14142">
          <w:pPr>
            <w:pStyle w:val="TM3"/>
            <w:tabs>
              <w:tab w:val="right" w:leader="dot" w:pos="9060"/>
            </w:tabs>
            <w:rPr>
              <w:rFonts w:eastAsiaTheme="minorEastAsia"/>
              <w:noProof/>
              <w:lang w:eastAsia="fr-FR"/>
            </w:rPr>
          </w:pPr>
          <w:hyperlink w:anchor="_Toc533413737" w:history="1">
            <w:r w:rsidR="0036687F" w:rsidRPr="00084752">
              <w:rPr>
                <w:rStyle w:val="Lienhypertexte"/>
                <w:rFonts w:ascii="Times New Roman" w:hAnsi="Times New Roman" w:cs="Times New Roman"/>
                <w:b/>
                <w:bCs/>
                <w:noProof/>
              </w:rPr>
              <w:t>1.3. Objectifs à long terme pour la conservation de la diversité biologique</w:t>
            </w:r>
            <w:r w:rsidR="0036687F">
              <w:rPr>
                <w:noProof/>
                <w:webHidden/>
              </w:rPr>
              <w:tab/>
            </w:r>
            <w:r w:rsidR="0036687F">
              <w:rPr>
                <w:noProof/>
                <w:webHidden/>
              </w:rPr>
              <w:fldChar w:fldCharType="begin"/>
            </w:r>
            <w:r w:rsidR="0036687F">
              <w:rPr>
                <w:noProof/>
                <w:webHidden/>
              </w:rPr>
              <w:instrText xml:space="preserve"> PAGEREF _Toc533413737 \h </w:instrText>
            </w:r>
            <w:r w:rsidR="0036687F">
              <w:rPr>
                <w:noProof/>
                <w:webHidden/>
              </w:rPr>
            </w:r>
            <w:r w:rsidR="0036687F">
              <w:rPr>
                <w:noProof/>
                <w:webHidden/>
              </w:rPr>
              <w:fldChar w:fldCharType="separate"/>
            </w:r>
            <w:r w:rsidR="00C47BFF">
              <w:rPr>
                <w:noProof/>
                <w:webHidden/>
              </w:rPr>
              <w:t>10</w:t>
            </w:r>
            <w:r w:rsidR="0036687F">
              <w:rPr>
                <w:noProof/>
                <w:webHidden/>
              </w:rPr>
              <w:fldChar w:fldCharType="end"/>
            </w:r>
          </w:hyperlink>
        </w:p>
        <w:p w14:paraId="38CE3E36" w14:textId="6DBFFE8F" w:rsidR="0036687F" w:rsidRDefault="00A14142">
          <w:pPr>
            <w:pStyle w:val="TM3"/>
            <w:tabs>
              <w:tab w:val="right" w:leader="dot" w:pos="9060"/>
            </w:tabs>
            <w:rPr>
              <w:rFonts w:eastAsiaTheme="minorEastAsia"/>
              <w:noProof/>
              <w:lang w:eastAsia="fr-FR"/>
            </w:rPr>
          </w:pPr>
          <w:hyperlink w:anchor="_Toc533413738" w:history="1">
            <w:r w:rsidR="0036687F" w:rsidRPr="00084752">
              <w:rPr>
                <w:rStyle w:val="Lienhypertexte"/>
                <w:rFonts w:ascii="Times New Roman" w:hAnsi="Times New Roman" w:cs="Times New Roman"/>
                <w:b/>
                <w:bCs/>
                <w:noProof/>
              </w:rPr>
              <w:t>1.4. Objectifs nationaux et leur pertinence avec les Objectifs d’Aïchi pour la Biodiversité</w:t>
            </w:r>
            <w:r w:rsidR="0036687F">
              <w:rPr>
                <w:noProof/>
                <w:webHidden/>
              </w:rPr>
              <w:tab/>
            </w:r>
            <w:r w:rsidR="0036687F">
              <w:rPr>
                <w:noProof/>
                <w:webHidden/>
              </w:rPr>
              <w:fldChar w:fldCharType="begin"/>
            </w:r>
            <w:r w:rsidR="0036687F">
              <w:rPr>
                <w:noProof/>
                <w:webHidden/>
              </w:rPr>
              <w:instrText xml:space="preserve"> PAGEREF _Toc533413738 \h </w:instrText>
            </w:r>
            <w:r w:rsidR="0036687F">
              <w:rPr>
                <w:noProof/>
                <w:webHidden/>
              </w:rPr>
            </w:r>
            <w:r w:rsidR="0036687F">
              <w:rPr>
                <w:noProof/>
                <w:webHidden/>
              </w:rPr>
              <w:fldChar w:fldCharType="separate"/>
            </w:r>
            <w:r w:rsidR="00C47BFF">
              <w:rPr>
                <w:noProof/>
                <w:webHidden/>
              </w:rPr>
              <w:t>11</w:t>
            </w:r>
            <w:r w:rsidR="0036687F">
              <w:rPr>
                <w:noProof/>
                <w:webHidden/>
              </w:rPr>
              <w:fldChar w:fldCharType="end"/>
            </w:r>
          </w:hyperlink>
        </w:p>
        <w:p w14:paraId="5B35817F" w14:textId="7C08321F" w:rsidR="0036687F" w:rsidRDefault="00A14142">
          <w:pPr>
            <w:pStyle w:val="TM3"/>
            <w:tabs>
              <w:tab w:val="right" w:leader="dot" w:pos="9060"/>
            </w:tabs>
            <w:rPr>
              <w:rFonts w:eastAsiaTheme="minorEastAsia"/>
              <w:noProof/>
              <w:lang w:eastAsia="fr-FR"/>
            </w:rPr>
          </w:pPr>
          <w:hyperlink w:anchor="_Toc533413739" w:history="1">
            <w:r w:rsidR="0036687F" w:rsidRPr="00084752">
              <w:rPr>
                <w:rStyle w:val="Lienhypertexte"/>
                <w:rFonts w:ascii="Times New Roman" w:hAnsi="Times New Roman" w:cs="Times New Roman"/>
                <w:b/>
                <w:noProof/>
              </w:rPr>
              <w:t>1.6. Faiblesses de</w:t>
            </w:r>
            <w:r w:rsidR="006E77C1">
              <w:rPr>
                <w:rStyle w:val="Lienhypertexte"/>
                <w:rFonts w:ascii="Times New Roman" w:hAnsi="Times New Roman" w:cs="Times New Roman"/>
                <w:b/>
                <w:noProof/>
              </w:rPr>
              <w:t xml:space="preserve"> </w:t>
            </w:r>
            <w:r w:rsidR="0036687F" w:rsidRPr="00084752">
              <w:rPr>
                <w:rStyle w:val="Lienhypertexte"/>
                <w:rFonts w:ascii="Times New Roman" w:hAnsi="Times New Roman" w:cs="Times New Roman"/>
                <w:b/>
                <w:noProof/>
              </w:rPr>
              <w:t>la mise en œuvre des objectifs d’Aichi</w:t>
            </w:r>
            <w:r w:rsidR="0036687F">
              <w:rPr>
                <w:noProof/>
                <w:webHidden/>
              </w:rPr>
              <w:tab/>
            </w:r>
            <w:r w:rsidR="0036687F">
              <w:rPr>
                <w:noProof/>
                <w:webHidden/>
              </w:rPr>
              <w:fldChar w:fldCharType="begin"/>
            </w:r>
            <w:r w:rsidR="0036687F">
              <w:rPr>
                <w:noProof/>
                <w:webHidden/>
              </w:rPr>
              <w:instrText xml:space="preserve"> PAGEREF _Toc533413739 \h </w:instrText>
            </w:r>
            <w:r w:rsidR="0036687F">
              <w:rPr>
                <w:noProof/>
                <w:webHidden/>
              </w:rPr>
            </w:r>
            <w:r w:rsidR="0036687F">
              <w:rPr>
                <w:noProof/>
                <w:webHidden/>
              </w:rPr>
              <w:fldChar w:fldCharType="separate"/>
            </w:r>
            <w:r w:rsidR="00C47BFF">
              <w:rPr>
                <w:noProof/>
                <w:webHidden/>
              </w:rPr>
              <w:t>23</w:t>
            </w:r>
            <w:r w:rsidR="0036687F">
              <w:rPr>
                <w:noProof/>
                <w:webHidden/>
              </w:rPr>
              <w:fldChar w:fldCharType="end"/>
            </w:r>
          </w:hyperlink>
        </w:p>
        <w:p w14:paraId="2EB5C3D9" w14:textId="4DCEC96C" w:rsidR="0036687F" w:rsidRDefault="00A14142">
          <w:pPr>
            <w:pStyle w:val="TM3"/>
            <w:tabs>
              <w:tab w:val="left" w:pos="880"/>
              <w:tab w:val="right" w:leader="dot" w:pos="9060"/>
            </w:tabs>
            <w:rPr>
              <w:rFonts w:eastAsiaTheme="minorEastAsia"/>
              <w:noProof/>
              <w:lang w:eastAsia="fr-FR"/>
            </w:rPr>
          </w:pPr>
          <w:hyperlink w:anchor="_Toc533413740" w:history="1">
            <w:r w:rsidR="0036687F" w:rsidRPr="00084752">
              <w:rPr>
                <w:rStyle w:val="Lienhypertexte"/>
                <w:rFonts w:ascii="Times New Roman" w:hAnsi="Times New Roman" w:cs="Times New Roman"/>
                <w:b/>
                <w:noProof/>
              </w:rPr>
              <w:t>a)</w:t>
            </w:r>
            <w:r w:rsidR="0036687F">
              <w:rPr>
                <w:rFonts w:eastAsiaTheme="minorEastAsia"/>
                <w:noProof/>
                <w:lang w:eastAsia="fr-FR"/>
              </w:rPr>
              <w:tab/>
            </w:r>
            <w:r w:rsidR="0036687F" w:rsidRPr="00084752">
              <w:rPr>
                <w:rStyle w:val="Lienhypertexte"/>
                <w:rFonts w:ascii="Times New Roman" w:hAnsi="Times New Roman" w:cs="Times New Roman"/>
                <w:b/>
                <w:noProof/>
              </w:rPr>
              <w:t>Sur le plan politique et la planification environnementale</w:t>
            </w:r>
            <w:r w:rsidR="0036687F">
              <w:rPr>
                <w:noProof/>
                <w:webHidden/>
              </w:rPr>
              <w:tab/>
            </w:r>
            <w:r w:rsidR="0036687F">
              <w:rPr>
                <w:noProof/>
                <w:webHidden/>
              </w:rPr>
              <w:fldChar w:fldCharType="begin"/>
            </w:r>
            <w:r w:rsidR="0036687F">
              <w:rPr>
                <w:noProof/>
                <w:webHidden/>
              </w:rPr>
              <w:instrText xml:space="preserve"> PAGEREF _Toc533413740 \h </w:instrText>
            </w:r>
            <w:r w:rsidR="0036687F">
              <w:rPr>
                <w:noProof/>
                <w:webHidden/>
              </w:rPr>
            </w:r>
            <w:r w:rsidR="0036687F">
              <w:rPr>
                <w:noProof/>
                <w:webHidden/>
              </w:rPr>
              <w:fldChar w:fldCharType="separate"/>
            </w:r>
            <w:r w:rsidR="00C47BFF">
              <w:rPr>
                <w:noProof/>
                <w:webHidden/>
              </w:rPr>
              <w:t>23</w:t>
            </w:r>
            <w:r w:rsidR="0036687F">
              <w:rPr>
                <w:noProof/>
                <w:webHidden/>
              </w:rPr>
              <w:fldChar w:fldCharType="end"/>
            </w:r>
          </w:hyperlink>
        </w:p>
        <w:p w14:paraId="0E272617" w14:textId="7F1CC4C4" w:rsidR="0036687F" w:rsidRDefault="00A14142">
          <w:pPr>
            <w:pStyle w:val="TM3"/>
            <w:tabs>
              <w:tab w:val="left" w:pos="880"/>
              <w:tab w:val="right" w:leader="dot" w:pos="9060"/>
            </w:tabs>
            <w:rPr>
              <w:rFonts w:eastAsiaTheme="minorEastAsia"/>
              <w:noProof/>
              <w:lang w:eastAsia="fr-FR"/>
            </w:rPr>
          </w:pPr>
          <w:hyperlink w:anchor="_Toc533413741" w:history="1">
            <w:r w:rsidR="0036687F" w:rsidRPr="00084752">
              <w:rPr>
                <w:rStyle w:val="Lienhypertexte"/>
                <w:rFonts w:ascii="Times New Roman" w:hAnsi="Times New Roman" w:cs="Times New Roman"/>
                <w:b/>
                <w:noProof/>
              </w:rPr>
              <w:t>b)</w:t>
            </w:r>
            <w:r w:rsidR="0036687F">
              <w:rPr>
                <w:rFonts w:eastAsiaTheme="minorEastAsia"/>
                <w:noProof/>
                <w:lang w:eastAsia="fr-FR"/>
              </w:rPr>
              <w:tab/>
            </w:r>
            <w:r w:rsidR="0036687F" w:rsidRPr="00084752">
              <w:rPr>
                <w:rStyle w:val="Lienhypertexte"/>
                <w:rFonts w:ascii="Times New Roman" w:hAnsi="Times New Roman" w:cs="Times New Roman"/>
                <w:b/>
                <w:noProof/>
              </w:rPr>
              <w:t>Sur le plan juridique</w:t>
            </w:r>
            <w:r w:rsidR="0036687F">
              <w:rPr>
                <w:noProof/>
                <w:webHidden/>
              </w:rPr>
              <w:tab/>
            </w:r>
            <w:r w:rsidR="0036687F">
              <w:rPr>
                <w:noProof/>
                <w:webHidden/>
              </w:rPr>
              <w:fldChar w:fldCharType="begin"/>
            </w:r>
            <w:r w:rsidR="0036687F">
              <w:rPr>
                <w:noProof/>
                <w:webHidden/>
              </w:rPr>
              <w:instrText xml:space="preserve"> PAGEREF _Toc533413741 \h </w:instrText>
            </w:r>
            <w:r w:rsidR="0036687F">
              <w:rPr>
                <w:noProof/>
                <w:webHidden/>
              </w:rPr>
            </w:r>
            <w:r w:rsidR="0036687F">
              <w:rPr>
                <w:noProof/>
                <w:webHidden/>
              </w:rPr>
              <w:fldChar w:fldCharType="separate"/>
            </w:r>
            <w:r w:rsidR="00C47BFF">
              <w:rPr>
                <w:noProof/>
                <w:webHidden/>
              </w:rPr>
              <w:t>24</w:t>
            </w:r>
            <w:r w:rsidR="0036687F">
              <w:rPr>
                <w:noProof/>
                <w:webHidden/>
              </w:rPr>
              <w:fldChar w:fldCharType="end"/>
            </w:r>
          </w:hyperlink>
        </w:p>
        <w:p w14:paraId="0EECF40F" w14:textId="0946B592" w:rsidR="0036687F" w:rsidRDefault="00A14142">
          <w:pPr>
            <w:pStyle w:val="TM3"/>
            <w:tabs>
              <w:tab w:val="left" w:pos="880"/>
              <w:tab w:val="right" w:leader="dot" w:pos="9060"/>
            </w:tabs>
            <w:rPr>
              <w:rFonts w:eastAsiaTheme="minorEastAsia"/>
              <w:noProof/>
              <w:lang w:eastAsia="fr-FR"/>
            </w:rPr>
          </w:pPr>
          <w:hyperlink w:anchor="_Toc533413742" w:history="1">
            <w:r w:rsidR="0036687F" w:rsidRPr="00084752">
              <w:rPr>
                <w:rStyle w:val="Lienhypertexte"/>
                <w:rFonts w:ascii="Times New Roman" w:hAnsi="Times New Roman" w:cs="Times New Roman"/>
                <w:b/>
                <w:noProof/>
              </w:rPr>
              <w:t>c)</w:t>
            </w:r>
            <w:r w:rsidR="0036687F">
              <w:rPr>
                <w:rFonts w:eastAsiaTheme="minorEastAsia"/>
                <w:noProof/>
                <w:lang w:eastAsia="fr-FR"/>
              </w:rPr>
              <w:tab/>
            </w:r>
            <w:r w:rsidR="0036687F" w:rsidRPr="00084752">
              <w:rPr>
                <w:rStyle w:val="Lienhypertexte"/>
                <w:rFonts w:ascii="Times New Roman" w:hAnsi="Times New Roman" w:cs="Times New Roman"/>
                <w:b/>
                <w:noProof/>
              </w:rPr>
              <w:t>Sur le plan institutionnel</w:t>
            </w:r>
            <w:r w:rsidR="0036687F">
              <w:rPr>
                <w:noProof/>
                <w:webHidden/>
              </w:rPr>
              <w:tab/>
            </w:r>
            <w:r w:rsidR="0036687F">
              <w:rPr>
                <w:noProof/>
                <w:webHidden/>
              </w:rPr>
              <w:fldChar w:fldCharType="begin"/>
            </w:r>
            <w:r w:rsidR="0036687F">
              <w:rPr>
                <w:noProof/>
                <w:webHidden/>
              </w:rPr>
              <w:instrText xml:space="preserve"> PAGEREF _Toc533413742 \h </w:instrText>
            </w:r>
            <w:r w:rsidR="0036687F">
              <w:rPr>
                <w:noProof/>
                <w:webHidden/>
              </w:rPr>
            </w:r>
            <w:r w:rsidR="0036687F">
              <w:rPr>
                <w:noProof/>
                <w:webHidden/>
              </w:rPr>
              <w:fldChar w:fldCharType="separate"/>
            </w:r>
            <w:r w:rsidR="00C47BFF">
              <w:rPr>
                <w:noProof/>
                <w:webHidden/>
              </w:rPr>
              <w:t>25</w:t>
            </w:r>
            <w:r w:rsidR="0036687F">
              <w:rPr>
                <w:noProof/>
                <w:webHidden/>
              </w:rPr>
              <w:fldChar w:fldCharType="end"/>
            </w:r>
          </w:hyperlink>
        </w:p>
        <w:p w14:paraId="335BA3AA" w14:textId="1F35217B" w:rsidR="0036687F" w:rsidRDefault="00A14142">
          <w:pPr>
            <w:pStyle w:val="TM3"/>
            <w:tabs>
              <w:tab w:val="left" w:pos="880"/>
              <w:tab w:val="right" w:leader="dot" w:pos="9060"/>
            </w:tabs>
            <w:rPr>
              <w:rFonts w:eastAsiaTheme="minorEastAsia"/>
              <w:noProof/>
              <w:lang w:eastAsia="fr-FR"/>
            </w:rPr>
          </w:pPr>
          <w:hyperlink w:anchor="_Toc533413743" w:history="1">
            <w:r w:rsidR="0036687F" w:rsidRPr="00084752">
              <w:rPr>
                <w:rStyle w:val="Lienhypertexte"/>
                <w:rFonts w:ascii="Times New Roman" w:hAnsi="Times New Roman" w:cs="Times New Roman"/>
                <w:b/>
                <w:noProof/>
              </w:rPr>
              <w:t>d)</w:t>
            </w:r>
            <w:r w:rsidR="0036687F">
              <w:rPr>
                <w:rFonts w:eastAsiaTheme="minorEastAsia"/>
                <w:noProof/>
                <w:lang w:eastAsia="fr-FR"/>
              </w:rPr>
              <w:tab/>
            </w:r>
            <w:r w:rsidR="0036687F" w:rsidRPr="00084752">
              <w:rPr>
                <w:rStyle w:val="Lienhypertexte"/>
                <w:rFonts w:ascii="Times New Roman" w:hAnsi="Times New Roman" w:cs="Times New Roman"/>
                <w:b/>
                <w:noProof/>
              </w:rPr>
              <w:t>Sur le plan Technique</w:t>
            </w:r>
            <w:r w:rsidR="0036687F">
              <w:rPr>
                <w:noProof/>
                <w:webHidden/>
              </w:rPr>
              <w:tab/>
            </w:r>
            <w:r w:rsidR="0036687F">
              <w:rPr>
                <w:noProof/>
                <w:webHidden/>
              </w:rPr>
              <w:fldChar w:fldCharType="begin"/>
            </w:r>
            <w:r w:rsidR="0036687F">
              <w:rPr>
                <w:noProof/>
                <w:webHidden/>
              </w:rPr>
              <w:instrText xml:space="preserve"> PAGEREF _Toc533413743 \h </w:instrText>
            </w:r>
            <w:r w:rsidR="0036687F">
              <w:rPr>
                <w:noProof/>
                <w:webHidden/>
              </w:rPr>
            </w:r>
            <w:r w:rsidR="0036687F">
              <w:rPr>
                <w:noProof/>
                <w:webHidden/>
              </w:rPr>
              <w:fldChar w:fldCharType="separate"/>
            </w:r>
            <w:r w:rsidR="00C47BFF">
              <w:rPr>
                <w:noProof/>
                <w:webHidden/>
              </w:rPr>
              <w:t>25</w:t>
            </w:r>
            <w:r w:rsidR="0036687F">
              <w:rPr>
                <w:noProof/>
                <w:webHidden/>
              </w:rPr>
              <w:fldChar w:fldCharType="end"/>
            </w:r>
          </w:hyperlink>
        </w:p>
        <w:p w14:paraId="5DA27DC8" w14:textId="71704C4D" w:rsidR="0036687F" w:rsidRDefault="00A14142">
          <w:pPr>
            <w:pStyle w:val="TM3"/>
            <w:tabs>
              <w:tab w:val="left" w:pos="880"/>
              <w:tab w:val="right" w:leader="dot" w:pos="9060"/>
            </w:tabs>
            <w:rPr>
              <w:rFonts w:eastAsiaTheme="minorEastAsia"/>
              <w:noProof/>
              <w:lang w:eastAsia="fr-FR"/>
            </w:rPr>
          </w:pPr>
          <w:hyperlink w:anchor="_Toc533413744" w:history="1">
            <w:r w:rsidR="0036687F" w:rsidRPr="00084752">
              <w:rPr>
                <w:rStyle w:val="Lienhypertexte"/>
                <w:rFonts w:ascii="Times New Roman" w:hAnsi="Times New Roman" w:cs="Times New Roman"/>
                <w:b/>
                <w:noProof/>
              </w:rPr>
              <w:t>e)</w:t>
            </w:r>
            <w:r w:rsidR="0036687F">
              <w:rPr>
                <w:rFonts w:eastAsiaTheme="minorEastAsia"/>
                <w:noProof/>
                <w:lang w:eastAsia="fr-FR"/>
              </w:rPr>
              <w:tab/>
            </w:r>
            <w:r w:rsidR="0036687F" w:rsidRPr="00084752">
              <w:rPr>
                <w:rStyle w:val="Lienhypertexte"/>
                <w:rFonts w:ascii="Times New Roman" w:hAnsi="Times New Roman" w:cs="Times New Roman"/>
                <w:b/>
                <w:noProof/>
              </w:rPr>
              <w:t>Sur le plan socio-économique</w:t>
            </w:r>
            <w:r w:rsidR="0036687F">
              <w:rPr>
                <w:noProof/>
                <w:webHidden/>
              </w:rPr>
              <w:tab/>
            </w:r>
            <w:r w:rsidR="0036687F">
              <w:rPr>
                <w:noProof/>
                <w:webHidden/>
              </w:rPr>
              <w:fldChar w:fldCharType="begin"/>
            </w:r>
            <w:r w:rsidR="0036687F">
              <w:rPr>
                <w:noProof/>
                <w:webHidden/>
              </w:rPr>
              <w:instrText xml:space="preserve"> PAGEREF _Toc533413744 \h </w:instrText>
            </w:r>
            <w:r w:rsidR="0036687F">
              <w:rPr>
                <w:noProof/>
                <w:webHidden/>
              </w:rPr>
            </w:r>
            <w:r w:rsidR="0036687F">
              <w:rPr>
                <w:noProof/>
                <w:webHidden/>
              </w:rPr>
              <w:fldChar w:fldCharType="separate"/>
            </w:r>
            <w:r w:rsidR="00C47BFF">
              <w:rPr>
                <w:noProof/>
                <w:webHidden/>
              </w:rPr>
              <w:t>25</w:t>
            </w:r>
            <w:r w:rsidR="0036687F">
              <w:rPr>
                <w:noProof/>
                <w:webHidden/>
              </w:rPr>
              <w:fldChar w:fldCharType="end"/>
            </w:r>
          </w:hyperlink>
        </w:p>
        <w:p w14:paraId="3DC0575E" w14:textId="41408672" w:rsidR="0036687F" w:rsidRDefault="00A14142">
          <w:pPr>
            <w:pStyle w:val="TM3"/>
            <w:tabs>
              <w:tab w:val="left" w:pos="880"/>
              <w:tab w:val="right" w:leader="dot" w:pos="9060"/>
            </w:tabs>
            <w:rPr>
              <w:rFonts w:eastAsiaTheme="minorEastAsia"/>
              <w:noProof/>
              <w:lang w:eastAsia="fr-FR"/>
            </w:rPr>
          </w:pPr>
          <w:hyperlink w:anchor="_Toc533413745" w:history="1">
            <w:r w:rsidR="0036687F" w:rsidRPr="00084752">
              <w:rPr>
                <w:rStyle w:val="Lienhypertexte"/>
                <w:rFonts w:ascii="Times New Roman" w:hAnsi="Times New Roman" w:cs="Times New Roman"/>
                <w:b/>
                <w:noProof/>
              </w:rPr>
              <w:t>f)</w:t>
            </w:r>
            <w:r w:rsidR="0036687F">
              <w:rPr>
                <w:rFonts w:eastAsiaTheme="minorEastAsia"/>
                <w:noProof/>
                <w:lang w:eastAsia="fr-FR"/>
              </w:rPr>
              <w:tab/>
            </w:r>
            <w:r w:rsidR="0036687F" w:rsidRPr="00084752">
              <w:rPr>
                <w:rStyle w:val="Lienhypertexte"/>
                <w:rFonts w:ascii="Times New Roman" w:hAnsi="Times New Roman" w:cs="Times New Roman"/>
                <w:b/>
                <w:noProof/>
              </w:rPr>
              <w:t>Sur le plan de la communication</w:t>
            </w:r>
            <w:r w:rsidR="0036687F">
              <w:rPr>
                <w:noProof/>
                <w:webHidden/>
              </w:rPr>
              <w:tab/>
            </w:r>
            <w:r w:rsidR="0036687F">
              <w:rPr>
                <w:noProof/>
                <w:webHidden/>
              </w:rPr>
              <w:fldChar w:fldCharType="begin"/>
            </w:r>
            <w:r w:rsidR="0036687F">
              <w:rPr>
                <w:noProof/>
                <w:webHidden/>
              </w:rPr>
              <w:instrText xml:space="preserve"> PAGEREF _Toc533413745 \h </w:instrText>
            </w:r>
            <w:r w:rsidR="0036687F">
              <w:rPr>
                <w:noProof/>
                <w:webHidden/>
              </w:rPr>
            </w:r>
            <w:r w:rsidR="0036687F">
              <w:rPr>
                <w:noProof/>
                <w:webHidden/>
              </w:rPr>
              <w:fldChar w:fldCharType="separate"/>
            </w:r>
            <w:r w:rsidR="00C47BFF">
              <w:rPr>
                <w:noProof/>
                <w:webHidden/>
              </w:rPr>
              <w:t>25</w:t>
            </w:r>
            <w:r w:rsidR="0036687F">
              <w:rPr>
                <w:noProof/>
                <w:webHidden/>
              </w:rPr>
              <w:fldChar w:fldCharType="end"/>
            </w:r>
          </w:hyperlink>
        </w:p>
        <w:p w14:paraId="16E498B4" w14:textId="3D3BACFA" w:rsidR="0036687F" w:rsidRDefault="00A14142">
          <w:pPr>
            <w:pStyle w:val="TM1"/>
            <w:tabs>
              <w:tab w:val="right" w:leader="dot" w:pos="9060"/>
            </w:tabs>
            <w:rPr>
              <w:rFonts w:eastAsiaTheme="minorEastAsia"/>
              <w:noProof/>
              <w:lang w:eastAsia="fr-FR"/>
            </w:rPr>
          </w:pPr>
          <w:hyperlink w:anchor="_Toc533413746" w:history="1">
            <w:r w:rsidR="0036687F" w:rsidRPr="00084752">
              <w:rPr>
                <w:rStyle w:val="Lienhypertexte"/>
                <w:rFonts w:ascii="Times New Roman Gras" w:eastAsiaTheme="majorEastAsia" w:hAnsi="Times New Roman Gras" w:cs="Times New Roman"/>
                <w:b/>
                <w:bCs/>
                <w:caps/>
                <w:noProof/>
              </w:rPr>
              <w:t>II. Mesures de mise en œuvre, efficacité, obstacles et besoins scientifiques et techniques</w:t>
            </w:r>
            <w:r w:rsidR="0036687F">
              <w:rPr>
                <w:noProof/>
                <w:webHidden/>
              </w:rPr>
              <w:tab/>
            </w:r>
            <w:r w:rsidR="0036687F">
              <w:rPr>
                <w:noProof/>
                <w:webHidden/>
              </w:rPr>
              <w:fldChar w:fldCharType="begin"/>
            </w:r>
            <w:r w:rsidR="0036687F">
              <w:rPr>
                <w:noProof/>
                <w:webHidden/>
              </w:rPr>
              <w:instrText xml:space="preserve"> PAGEREF _Toc533413746 \h </w:instrText>
            </w:r>
            <w:r w:rsidR="0036687F">
              <w:rPr>
                <w:noProof/>
                <w:webHidden/>
              </w:rPr>
            </w:r>
            <w:r w:rsidR="0036687F">
              <w:rPr>
                <w:noProof/>
                <w:webHidden/>
              </w:rPr>
              <w:fldChar w:fldCharType="separate"/>
            </w:r>
            <w:r w:rsidR="00C47BFF">
              <w:rPr>
                <w:noProof/>
                <w:webHidden/>
              </w:rPr>
              <w:t>26</w:t>
            </w:r>
            <w:r w:rsidR="0036687F">
              <w:rPr>
                <w:noProof/>
                <w:webHidden/>
              </w:rPr>
              <w:fldChar w:fldCharType="end"/>
            </w:r>
          </w:hyperlink>
        </w:p>
        <w:p w14:paraId="5AC2E5EA" w14:textId="6B25F56D" w:rsidR="0036687F" w:rsidRDefault="00A14142">
          <w:pPr>
            <w:pStyle w:val="TM2"/>
            <w:tabs>
              <w:tab w:val="right" w:leader="dot" w:pos="9060"/>
            </w:tabs>
            <w:rPr>
              <w:rFonts w:eastAsiaTheme="minorEastAsia"/>
              <w:noProof/>
              <w:lang w:eastAsia="fr-FR"/>
            </w:rPr>
          </w:pPr>
          <w:hyperlink w:anchor="_Toc533413747" w:history="1">
            <w:r w:rsidR="0036687F" w:rsidRPr="00084752">
              <w:rPr>
                <w:rStyle w:val="Lienhypertexte"/>
                <w:rFonts w:ascii="Times New Roman" w:hAnsi="Times New Roman" w:cs="Times New Roman"/>
                <w:b/>
                <w:iCs/>
                <w:noProof/>
                <w:lang w:val="fr-CA"/>
              </w:rPr>
              <w:t>2.1. Méthodes utilisées pour évaluer la mise en œuvre des objectifs nationaux</w:t>
            </w:r>
            <w:r w:rsidR="0036687F">
              <w:rPr>
                <w:noProof/>
                <w:webHidden/>
              </w:rPr>
              <w:tab/>
            </w:r>
            <w:r w:rsidR="0036687F">
              <w:rPr>
                <w:noProof/>
                <w:webHidden/>
              </w:rPr>
              <w:fldChar w:fldCharType="begin"/>
            </w:r>
            <w:r w:rsidR="0036687F">
              <w:rPr>
                <w:noProof/>
                <w:webHidden/>
              </w:rPr>
              <w:instrText xml:space="preserve"> PAGEREF _Toc533413747 \h </w:instrText>
            </w:r>
            <w:r w:rsidR="0036687F">
              <w:rPr>
                <w:noProof/>
                <w:webHidden/>
              </w:rPr>
            </w:r>
            <w:r w:rsidR="0036687F">
              <w:rPr>
                <w:noProof/>
                <w:webHidden/>
              </w:rPr>
              <w:fldChar w:fldCharType="separate"/>
            </w:r>
            <w:r w:rsidR="00C47BFF">
              <w:rPr>
                <w:noProof/>
                <w:webHidden/>
              </w:rPr>
              <w:t>26</w:t>
            </w:r>
            <w:r w:rsidR="0036687F">
              <w:rPr>
                <w:noProof/>
                <w:webHidden/>
              </w:rPr>
              <w:fldChar w:fldCharType="end"/>
            </w:r>
          </w:hyperlink>
        </w:p>
        <w:p w14:paraId="01FB2884" w14:textId="3D37753A" w:rsidR="0036687F" w:rsidRDefault="00A14142">
          <w:pPr>
            <w:pStyle w:val="TM2"/>
            <w:tabs>
              <w:tab w:val="right" w:leader="dot" w:pos="9060"/>
            </w:tabs>
            <w:rPr>
              <w:rFonts w:eastAsiaTheme="minorEastAsia"/>
              <w:noProof/>
              <w:lang w:eastAsia="fr-FR"/>
            </w:rPr>
          </w:pPr>
          <w:hyperlink w:anchor="_Toc533413748" w:history="1">
            <w:r w:rsidR="0036687F" w:rsidRPr="00084752">
              <w:rPr>
                <w:rStyle w:val="Lienhypertexte"/>
                <w:rFonts w:ascii="Times New Roman" w:hAnsi="Times New Roman" w:cs="Times New Roman"/>
                <w:b/>
                <w:noProof/>
              </w:rPr>
              <w:t>2.2. Actions prévues pour la mise en œuvre de la SPANB du Togo</w:t>
            </w:r>
            <w:r w:rsidR="0036687F">
              <w:rPr>
                <w:noProof/>
                <w:webHidden/>
              </w:rPr>
              <w:tab/>
            </w:r>
            <w:r w:rsidR="0036687F">
              <w:rPr>
                <w:noProof/>
                <w:webHidden/>
              </w:rPr>
              <w:fldChar w:fldCharType="begin"/>
            </w:r>
            <w:r w:rsidR="0036687F">
              <w:rPr>
                <w:noProof/>
                <w:webHidden/>
              </w:rPr>
              <w:instrText xml:space="preserve"> PAGEREF _Toc533413748 \h </w:instrText>
            </w:r>
            <w:r w:rsidR="0036687F">
              <w:rPr>
                <w:noProof/>
                <w:webHidden/>
              </w:rPr>
            </w:r>
            <w:r w:rsidR="0036687F">
              <w:rPr>
                <w:noProof/>
                <w:webHidden/>
              </w:rPr>
              <w:fldChar w:fldCharType="separate"/>
            </w:r>
            <w:r w:rsidR="00C47BFF">
              <w:rPr>
                <w:noProof/>
                <w:webHidden/>
              </w:rPr>
              <w:t>26</w:t>
            </w:r>
            <w:r w:rsidR="0036687F">
              <w:rPr>
                <w:noProof/>
                <w:webHidden/>
              </w:rPr>
              <w:fldChar w:fldCharType="end"/>
            </w:r>
          </w:hyperlink>
        </w:p>
        <w:p w14:paraId="1B4DEFA6" w14:textId="6ED878EE" w:rsidR="0036687F" w:rsidRDefault="00A14142">
          <w:pPr>
            <w:pStyle w:val="TM2"/>
            <w:tabs>
              <w:tab w:val="right" w:leader="dot" w:pos="9060"/>
            </w:tabs>
            <w:rPr>
              <w:rFonts w:eastAsiaTheme="minorEastAsia"/>
              <w:noProof/>
              <w:lang w:eastAsia="fr-FR"/>
            </w:rPr>
          </w:pPr>
          <w:hyperlink w:anchor="_Toc533413749" w:history="1">
            <w:r w:rsidR="0036687F" w:rsidRPr="00084752">
              <w:rPr>
                <w:rStyle w:val="Lienhypertexte"/>
                <w:rFonts w:ascii="Times New Roman" w:eastAsia="Times New Roman" w:hAnsi="Times New Roman" w:cs="Times New Roman"/>
                <w:noProof/>
              </w:rPr>
              <w:t>-Politique nationale de l’environnement</w:t>
            </w:r>
            <w:r w:rsidR="0036687F">
              <w:rPr>
                <w:noProof/>
                <w:webHidden/>
              </w:rPr>
              <w:tab/>
            </w:r>
            <w:r w:rsidR="0036687F">
              <w:rPr>
                <w:noProof/>
                <w:webHidden/>
              </w:rPr>
              <w:fldChar w:fldCharType="begin"/>
            </w:r>
            <w:r w:rsidR="0036687F">
              <w:rPr>
                <w:noProof/>
                <w:webHidden/>
              </w:rPr>
              <w:instrText xml:space="preserve"> PAGEREF _Toc533413749 \h </w:instrText>
            </w:r>
            <w:r w:rsidR="0036687F">
              <w:rPr>
                <w:noProof/>
                <w:webHidden/>
              </w:rPr>
            </w:r>
            <w:r w:rsidR="0036687F">
              <w:rPr>
                <w:noProof/>
                <w:webHidden/>
              </w:rPr>
              <w:fldChar w:fldCharType="separate"/>
            </w:r>
            <w:r w:rsidR="00C47BFF">
              <w:rPr>
                <w:noProof/>
                <w:webHidden/>
              </w:rPr>
              <w:t>27</w:t>
            </w:r>
            <w:r w:rsidR="0036687F">
              <w:rPr>
                <w:noProof/>
                <w:webHidden/>
              </w:rPr>
              <w:fldChar w:fldCharType="end"/>
            </w:r>
          </w:hyperlink>
        </w:p>
        <w:p w14:paraId="17EF86C8" w14:textId="133FC0B8" w:rsidR="0036687F" w:rsidRDefault="00A14142">
          <w:pPr>
            <w:pStyle w:val="TM2"/>
            <w:tabs>
              <w:tab w:val="right" w:leader="dot" w:pos="9060"/>
            </w:tabs>
            <w:rPr>
              <w:rFonts w:eastAsiaTheme="minorEastAsia"/>
              <w:noProof/>
              <w:lang w:eastAsia="fr-FR"/>
            </w:rPr>
          </w:pPr>
          <w:hyperlink w:anchor="_Toc533413750" w:history="1">
            <w:r w:rsidR="0036687F" w:rsidRPr="00084752">
              <w:rPr>
                <w:rStyle w:val="Lienhypertexte"/>
                <w:rFonts w:ascii="Times New Roman" w:hAnsi="Times New Roman" w:cs="Times New Roman"/>
                <w:b/>
                <w:noProof/>
              </w:rPr>
              <w:t>2.3. Évaluation de l’efficacité des mesures prises</w:t>
            </w:r>
            <w:r w:rsidR="0036687F">
              <w:rPr>
                <w:noProof/>
                <w:webHidden/>
              </w:rPr>
              <w:tab/>
            </w:r>
            <w:r w:rsidR="0036687F">
              <w:rPr>
                <w:noProof/>
                <w:webHidden/>
              </w:rPr>
              <w:fldChar w:fldCharType="begin"/>
            </w:r>
            <w:r w:rsidR="0036687F">
              <w:rPr>
                <w:noProof/>
                <w:webHidden/>
              </w:rPr>
              <w:instrText xml:space="preserve"> PAGEREF _Toc533413750 \h </w:instrText>
            </w:r>
            <w:r w:rsidR="0036687F">
              <w:rPr>
                <w:noProof/>
                <w:webHidden/>
              </w:rPr>
            </w:r>
            <w:r w:rsidR="0036687F">
              <w:rPr>
                <w:noProof/>
                <w:webHidden/>
              </w:rPr>
              <w:fldChar w:fldCharType="separate"/>
            </w:r>
            <w:r w:rsidR="00C47BFF">
              <w:rPr>
                <w:noProof/>
                <w:webHidden/>
              </w:rPr>
              <w:t>30</w:t>
            </w:r>
            <w:r w:rsidR="0036687F">
              <w:rPr>
                <w:noProof/>
                <w:webHidden/>
              </w:rPr>
              <w:fldChar w:fldCharType="end"/>
            </w:r>
          </w:hyperlink>
        </w:p>
        <w:p w14:paraId="5B12581C" w14:textId="64AF49A3" w:rsidR="0036687F" w:rsidRDefault="00A14142">
          <w:pPr>
            <w:pStyle w:val="TM3"/>
            <w:tabs>
              <w:tab w:val="right" w:leader="dot" w:pos="9060"/>
            </w:tabs>
            <w:rPr>
              <w:rFonts w:eastAsiaTheme="minorEastAsia"/>
              <w:noProof/>
              <w:lang w:eastAsia="fr-FR"/>
            </w:rPr>
          </w:pPr>
          <w:hyperlink w:anchor="_Toc533413751" w:history="1">
            <w:r w:rsidR="0036687F" w:rsidRPr="00084752">
              <w:rPr>
                <w:rStyle w:val="Lienhypertexte"/>
                <w:rFonts w:ascii="Times New Roman" w:hAnsi="Times New Roman" w:cs="Times New Roman"/>
                <w:b/>
                <w:noProof/>
              </w:rPr>
              <w:t xml:space="preserve">2.3.1. </w:t>
            </w:r>
            <w:r w:rsidR="0036687F" w:rsidRPr="00084752">
              <w:rPr>
                <w:rStyle w:val="Lienhypertexte"/>
                <w:rFonts w:ascii="Times New Roman" w:hAnsi="Times New Roman" w:cs="Times New Roman"/>
                <w:b/>
                <w:iCs/>
                <w:noProof/>
              </w:rPr>
              <w:t>Efficacité des mesures à créer le changement dans l’état ou la tendance en matière de diversité biologique</w:t>
            </w:r>
            <w:r w:rsidR="0036687F">
              <w:rPr>
                <w:noProof/>
                <w:webHidden/>
              </w:rPr>
              <w:tab/>
            </w:r>
            <w:r w:rsidR="0036687F">
              <w:rPr>
                <w:noProof/>
                <w:webHidden/>
              </w:rPr>
              <w:fldChar w:fldCharType="begin"/>
            </w:r>
            <w:r w:rsidR="0036687F">
              <w:rPr>
                <w:noProof/>
                <w:webHidden/>
              </w:rPr>
              <w:instrText xml:space="preserve"> PAGEREF _Toc533413751 \h </w:instrText>
            </w:r>
            <w:r w:rsidR="0036687F">
              <w:rPr>
                <w:noProof/>
                <w:webHidden/>
              </w:rPr>
            </w:r>
            <w:r w:rsidR="0036687F">
              <w:rPr>
                <w:noProof/>
                <w:webHidden/>
              </w:rPr>
              <w:fldChar w:fldCharType="separate"/>
            </w:r>
            <w:r w:rsidR="00C47BFF">
              <w:rPr>
                <w:noProof/>
                <w:webHidden/>
              </w:rPr>
              <w:t>30</w:t>
            </w:r>
            <w:r w:rsidR="0036687F">
              <w:rPr>
                <w:noProof/>
                <w:webHidden/>
              </w:rPr>
              <w:fldChar w:fldCharType="end"/>
            </w:r>
          </w:hyperlink>
        </w:p>
        <w:p w14:paraId="69CAFF83" w14:textId="6FDDDD4E" w:rsidR="0036687F" w:rsidRDefault="00A14142">
          <w:pPr>
            <w:pStyle w:val="TM3"/>
            <w:tabs>
              <w:tab w:val="right" w:leader="dot" w:pos="9060"/>
            </w:tabs>
            <w:rPr>
              <w:rFonts w:eastAsiaTheme="minorEastAsia"/>
              <w:noProof/>
              <w:lang w:eastAsia="fr-FR"/>
            </w:rPr>
          </w:pPr>
          <w:hyperlink w:anchor="_Toc533413752" w:history="1">
            <w:r w:rsidR="0036687F" w:rsidRPr="00084752">
              <w:rPr>
                <w:rStyle w:val="Lienhypertexte"/>
                <w:rFonts w:ascii="Times New Roman" w:hAnsi="Times New Roman" w:cs="Times New Roman"/>
                <w:b/>
                <w:iCs/>
                <w:noProof/>
                <w:lang w:val="fr-CA"/>
              </w:rPr>
              <w:t>2.3.2. Etudes de cas liées aux mesures prises</w:t>
            </w:r>
            <w:r w:rsidR="0036687F">
              <w:rPr>
                <w:noProof/>
                <w:webHidden/>
              </w:rPr>
              <w:tab/>
            </w:r>
            <w:r w:rsidR="0036687F">
              <w:rPr>
                <w:noProof/>
                <w:webHidden/>
              </w:rPr>
              <w:fldChar w:fldCharType="begin"/>
            </w:r>
            <w:r w:rsidR="0036687F">
              <w:rPr>
                <w:noProof/>
                <w:webHidden/>
              </w:rPr>
              <w:instrText xml:space="preserve"> PAGEREF _Toc533413752 \h </w:instrText>
            </w:r>
            <w:r w:rsidR="0036687F">
              <w:rPr>
                <w:noProof/>
                <w:webHidden/>
              </w:rPr>
            </w:r>
            <w:r w:rsidR="0036687F">
              <w:rPr>
                <w:noProof/>
                <w:webHidden/>
              </w:rPr>
              <w:fldChar w:fldCharType="separate"/>
            </w:r>
            <w:r w:rsidR="00C47BFF">
              <w:rPr>
                <w:noProof/>
                <w:webHidden/>
              </w:rPr>
              <w:t>35</w:t>
            </w:r>
            <w:r w:rsidR="0036687F">
              <w:rPr>
                <w:noProof/>
                <w:webHidden/>
              </w:rPr>
              <w:fldChar w:fldCharType="end"/>
            </w:r>
          </w:hyperlink>
        </w:p>
        <w:p w14:paraId="2BB94086" w14:textId="205E82D9" w:rsidR="0036687F" w:rsidRDefault="00A14142">
          <w:pPr>
            <w:pStyle w:val="TM2"/>
            <w:tabs>
              <w:tab w:val="right" w:leader="dot" w:pos="9060"/>
            </w:tabs>
            <w:rPr>
              <w:rFonts w:eastAsiaTheme="minorEastAsia"/>
              <w:noProof/>
              <w:lang w:eastAsia="fr-FR"/>
            </w:rPr>
          </w:pPr>
          <w:hyperlink w:anchor="_Toc533413753" w:history="1">
            <w:r w:rsidR="0036687F" w:rsidRPr="00084752">
              <w:rPr>
                <w:rStyle w:val="Lienhypertexte"/>
                <w:rFonts w:ascii="Times New Roman" w:hAnsi="Times New Roman" w:cs="Times New Roman"/>
                <w:b/>
                <w:noProof/>
              </w:rPr>
              <w:t>2.4. Obstacles et besoins scientifiques et techniques</w:t>
            </w:r>
            <w:r w:rsidR="0036687F">
              <w:rPr>
                <w:noProof/>
                <w:webHidden/>
              </w:rPr>
              <w:tab/>
            </w:r>
            <w:r w:rsidR="0036687F">
              <w:rPr>
                <w:noProof/>
                <w:webHidden/>
              </w:rPr>
              <w:fldChar w:fldCharType="begin"/>
            </w:r>
            <w:r w:rsidR="0036687F">
              <w:rPr>
                <w:noProof/>
                <w:webHidden/>
              </w:rPr>
              <w:instrText xml:space="preserve"> PAGEREF _Toc533413753 \h </w:instrText>
            </w:r>
            <w:r w:rsidR="0036687F">
              <w:rPr>
                <w:noProof/>
                <w:webHidden/>
              </w:rPr>
            </w:r>
            <w:r w:rsidR="0036687F">
              <w:rPr>
                <w:noProof/>
                <w:webHidden/>
              </w:rPr>
              <w:fldChar w:fldCharType="separate"/>
            </w:r>
            <w:r w:rsidR="00C47BFF">
              <w:rPr>
                <w:noProof/>
                <w:webHidden/>
              </w:rPr>
              <w:t>43</w:t>
            </w:r>
            <w:r w:rsidR="0036687F">
              <w:rPr>
                <w:noProof/>
                <w:webHidden/>
              </w:rPr>
              <w:fldChar w:fldCharType="end"/>
            </w:r>
          </w:hyperlink>
        </w:p>
        <w:p w14:paraId="7CED18C9" w14:textId="63737F49" w:rsidR="0036687F" w:rsidRDefault="00A14142">
          <w:pPr>
            <w:pStyle w:val="TM3"/>
            <w:tabs>
              <w:tab w:val="right" w:leader="dot" w:pos="9060"/>
            </w:tabs>
            <w:rPr>
              <w:rFonts w:eastAsiaTheme="minorEastAsia"/>
              <w:noProof/>
              <w:lang w:eastAsia="fr-FR"/>
            </w:rPr>
          </w:pPr>
          <w:hyperlink w:anchor="_Toc533413754" w:history="1">
            <w:r w:rsidR="0036687F" w:rsidRPr="00084752">
              <w:rPr>
                <w:rStyle w:val="Lienhypertexte"/>
                <w:rFonts w:ascii="Times New Roman" w:hAnsi="Times New Roman" w:cs="Times New Roman"/>
                <w:b/>
                <w:iCs/>
                <w:noProof/>
                <w:kern w:val="22"/>
              </w:rPr>
              <w:t>2.4.1. Obstacles identifiés ou rencontrés en termes de mise en œuvre de la SPANB</w:t>
            </w:r>
            <w:r w:rsidR="0036687F">
              <w:rPr>
                <w:noProof/>
                <w:webHidden/>
              </w:rPr>
              <w:tab/>
            </w:r>
            <w:r w:rsidR="0036687F">
              <w:rPr>
                <w:noProof/>
                <w:webHidden/>
              </w:rPr>
              <w:fldChar w:fldCharType="begin"/>
            </w:r>
            <w:r w:rsidR="0036687F">
              <w:rPr>
                <w:noProof/>
                <w:webHidden/>
              </w:rPr>
              <w:instrText xml:space="preserve"> PAGEREF _Toc533413754 \h </w:instrText>
            </w:r>
            <w:r w:rsidR="0036687F">
              <w:rPr>
                <w:noProof/>
                <w:webHidden/>
              </w:rPr>
            </w:r>
            <w:r w:rsidR="0036687F">
              <w:rPr>
                <w:noProof/>
                <w:webHidden/>
              </w:rPr>
              <w:fldChar w:fldCharType="separate"/>
            </w:r>
            <w:r w:rsidR="00C47BFF">
              <w:rPr>
                <w:noProof/>
                <w:webHidden/>
              </w:rPr>
              <w:t>43</w:t>
            </w:r>
            <w:r w:rsidR="0036687F">
              <w:rPr>
                <w:noProof/>
                <w:webHidden/>
              </w:rPr>
              <w:fldChar w:fldCharType="end"/>
            </w:r>
          </w:hyperlink>
        </w:p>
        <w:p w14:paraId="2EDCDB7E" w14:textId="195FEF3D" w:rsidR="0036687F" w:rsidRDefault="00A14142">
          <w:pPr>
            <w:pStyle w:val="TM3"/>
            <w:tabs>
              <w:tab w:val="right" w:leader="dot" w:pos="9060"/>
            </w:tabs>
            <w:rPr>
              <w:rFonts w:eastAsiaTheme="minorEastAsia"/>
              <w:noProof/>
              <w:lang w:eastAsia="fr-FR"/>
            </w:rPr>
          </w:pPr>
          <w:hyperlink w:anchor="_Toc533413755" w:history="1">
            <w:r w:rsidR="0036687F" w:rsidRPr="00084752">
              <w:rPr>
                <w:rStyle w:val="Lienhypertexte"/>
                <w:rFonts w:ascii="Times New Roman" w:hAnsi="Times New Roman" w:cs="Times New Roman"/>
                <w:b/>
                <w:iCs/>
                <w:noProof/>
                <w:kern w:val="22"/>
              </w:rPr>
              <w:t>2.4.2. Questions spécifiques et domaines thématiques pour lesquels une assistance est requise</w:t>
            </w:r>
            <w:r w:rsidR="0036687F">
              <w:rPr>
                <w:noProof/>
                <w:webHidden/>
              </w:rPr>
              <w:tab/>
            </w:r>
            <w:r w:rsidR="0036687F">
              <w:rPr>
                <w:noProof/>
                <w:webHidden/>
              </w:rPr>
              <w:fldChar w:fldCharType="begin"/>
            </w:r>
            <w:r w:rsidR="0036687F">
              <w:rPr>
                <w:noProof/>
                <w:webHidden/>
              </w:rPr>
              <w:instrText xml:space="preserve"> PAGEREF _Toc533413755 \h </w:instrText>
            </w:r>
            <w:r w:rsidR="0036687F">
              <w:rPr>
                <w:noProof/>
                <w:webHidden/>
              </w:rPr>
            </w:r>
            <w:r w:rsidR="0036687F">
              <w:rPr>
                <w:noProof/>
                <w:webHidden/>
              </w:rPr>
              <w:fldChar w:fldCharType="separate"/>
            </w:r>
            <w:r w:rsidR="00C47BFF">
              <w:rPr>
                <w:noProof/>
                <w:webHidden/>
              </w:rPr>
              <w:t>45</w:t>
            </w:r>
            <w:r w:rsidR="0036687F">
              <w:rPr>
                <w:noProof/>
                <w:webHidden/>
              </w:rPr>
              <w:fldChar w:fldCharType="end"/>
            </w:r>
          </w:hyperlink>
        </w:p>
        <w:p w14:paraId="69DD5001" w14:textId="42E90830" w:rsidR="0036687F" w:rsidRDefault="00A14142">
          <w:pPr>
            <w:pStyle w:val="TM3"/>
            <w:tabs>
              <w:tab w:val="right" w:leader="dot" w:pos="9060"/>
            </w:tabs>
            <w:rPr>
              <w:rFonts w:eastAsiaTheme="minorEastAsia"/>
              <w:noProof/>
              <w:lang w:eastAsia="fr-FR"/>
            </w:rPr>
          </w:pPr>
          <w:hyperlink w:anchor="_Toc533413756" w:history="1">
            <w:r w:rsidR="0036687F" w:rsidRPr="00084752">
              <w:rPr>
                <w:rStyle w:val="Lienhypertexte"/>
                <w:rFonts w:ascii="Times New Roman" w:hAnsi="Times New Roman" w:cs="Times New Roman"/>
                <w:b/>
                <w:iCs/>
                <w:noProof/>
                <w:kern w:val="22"/>
              </w:rPr>
              <w:t>2.4.3. Groupes d’acteurs porteurs d’enjeux sur la biodiversité</w:t>
            </w:r>
            <w:r w:rsidR="0036687F">
              <w:rPr>
                <w:noProof/>
                <w:webHidden/>
              </w:rPr>
              <w:tab/>
            </w:r>
            <w:r w:rsidR="0036687F">
              <w:rPr>
                <w:noProof/>
                <w:webHidden/>
              </w:rPr>
              <w:fldChar w:fldCharType="begin"/>
            </w:r>
            <w:r w:rsidR="0036687F">
              <w:rPr>
                <w:noProof/>
                <w:webHidden/>
              </w:rPr>
              <w:instrText xml:space="preserve"> PAGEREF _Toc533413756 \h </w:instrText>
            </w:r>
            <w:r w:rsidR="0036687F">
              <w:rPr>
                <w:noProof/>
                <w:webHidden/>
              </w:rPr>
            </w:r>
            <w:r w:rsidR="0036687F">
              <w:rPr>
                <w:noProof/>
                <w:webHidden/>
              </w:rPr>
              <w:fldChar w:fldCharType="separate"/>
            </w:r>
            <w:r w:rsidR="00C47BFF">
              <w:rPr>
                <w:noProof/>
                <w:webHidden/>
              </w:rPr>
              <w:t>46</w:t>
            </w:r>
            <w:r w:rsidR="0036687F">
              <w:rPr>
                <w:noProof/>
                <w:webHidden/>
              </w:rPr>
              <w:fldChar w:fldCharType="end"/>
            </w:r>
          </w:hyperlink>
        </w:p>
        <w:p w14:paraId="6A533165" w14:textId="73D5BF82" w:rsidR="0036687F" w:rsidRDefault="00A14142">
          <w:pPr>
            <w:pStyle w:val="TM1"/>
            <w:tabs>
              <w:tab w:val="right" w:leader="dot" w:pos="9060"/>
            </w:tabs>
            <w:rPr>
              <w:rFonts w:eastAsiaTheme="minorEastAsia"/>
              <w:noProof/>
              <w:lang w:eastAsia="fr-FR"/>
            </w:rPr>
          </w:pPr>
          <w:hyperlink w:anchor="_Toc533413757" w:history="1">
            <w:r w:rsidR="0036687F" w:rsidRPr="00084752">
              <w:rPr>
                <w:rStyle w:val="Lienhypertexte"/>
                <w:rFonts w:ascii="Times New Roman Gras" w:eastAsiaTheme="majorEastAsia" w:hAnsi="Times New Roman Gras" w:cs="Times New Roman"/>
                <w:b/>
                <w:bCs/>
                <w:caps/>
                <w:noProof/>
              </w:rPr>
              <w:t>III. Évaluation du progrès dans la réalisation de chaque objectif national</w:t>
            </w:r>
            <w:r w:rsidR="0036687F">
              <w:rPr>
                <w:noProof/>
                <w:webHidden/>
              </w:rPr>
              <w:tab/>
            </w:r>
            <w:r w:rsidR="0036687F">
              <w:rPr>
                <w:noProof/>
                <w:webHidden/>
              </w:rPr>
              <w:fldChar w:fldCharType="begin"/>
            </w:r>
            <w:r w:rsidR="0036687F">
              <w:rPr>
                <w:noProof/>
                <w:webHidden/>
              </w:rPr>
              <w:instrText xml:space="preserve"> PAGEREF _Toc533413757 \h </w:instrText>
            </w:r>
            <w:r w:rsidR="0036687F">
              <w:rPr>
                <w:noProof/>
                <w:webHidden/>
              </w:rPr>
            </w:r>
            <w:r w:rsidR="0036687F">
              <w:rPr>
                <w:noProof/>
                <w:webHidden/>
              </w:rPr>
              <w:fldChar w:fldCharType="separate"/>
            </w:r>
            <w:r w:rsidR="00C47BFF">
              <w:rPr>
                <w:noProof/>
                <w:webHidden/>
              </w:rPr>
              <w:t>47</w:t>
            </w:r>
            <w:r w:rsidR="0036687F">
              <w:rPr>
                <w:noProof/>
                <w:webHidden/>
              </w:rPr>
              <w:fldChar w:fldCharType="end"/>
            </w:r>
          </w:hyperlink>
        </w:p>
        <w:p w14:paraId="149AD346" w14:textId="0A949894" w:rsidR="0036687F" w:rsidRDefault="00A14142">
          <w:pPr>
            <w:pStyle w:val="TM2"/>
            <w:tabs>
              <w:tab w:val="right" w:leader="dot" w:pos="9060"/>
            </w:tabs>
            <w:rPr>
              <w:rFonts w:eastAsiaTheme="minorEastAsia"/>
              <w:noProof/>
              <w:lang w:eastAsia="fr-FR"/>
            </w:rPr>
          </w:pPr>
          <w:hyperlink w:anchor="_Toc533413758" w:history="1">
            <w:r w:rsidR="0036687F" w:rsidRPr="00084752">
              <w:rPr>
                <w:rStyle w:val="Lienhypertexte"/>
                <w:rFonts w:ascii="Times New Roman" w:hAnsi="Times New Roman" w:cs="Times New Roman"/>
                <w:b/>
                <w:noProof/>
              </w:rPr>
              <w:t xml:space="preserve">3.1. </w:t>
            </w:r>
            <w:r w:rsidR="0036687F" w:rsidRPr="00084752">
              <w:rPr>
                <w:rStyle w:val="Lienhypertexte"/>
                <w:rFonts w:ascii="Times New Roman" w:hAnsi="Times New Roman" w:cs="Times New Roman"/>
                <w:b/>
                <w:iCs/>
                <w:noProof/>
                <w:lang w:val="fr-CA"/>
              </w:rPr>
              <w:t>Méthodes utilisées pour évaluer les progrès accomplis dans l’application des objectifs nationaux</w:t>
            </w:r>
            <w:r w:rsidR="0036687F">
              <w:rPr>
                <w:noProof/>
                <w:webHidden/>
              </w:rPr>
              <w:tab/>
            </w:r>
            <w:r w:rsidR="0036687F">
              <w:rPr>
                <w:noProof/>
                <w:webHidden/>
              </w:rPr>
              <w:fldChar w:fldCharType="begin"/>
            </w:r>
            <w:r w:rsidR="0036687F">
              <w:rPr>
                <w:noProof/>
                <w:webHidden/>
              </w:rPr>
              <w:instrText xml:space="preserve"> PAGEREF _Toc533413758 \h </w:instrText>
            </w:r>
            <w:r w:rsidR="0036687F">
              <w:rPr>
                <w:noProof/>
                <w:webHidden/>
              </w:rPr>
            </w:r>
            <w:r w:rsidR="0036687F">
              <w:rPr>
                <w:noProof/>
                <w:webHidden/>
              </w:rPr>
              <w:fldChar w:fldCharType="separate"/>
            </w:r>
            <w:r w:rsidR="00C47BFF">
              <w:rPr>
                <w:noProof/>
                <w:webHidden/>
              </w:rPr>
              <w:t>47</w:t>
            </w:r>
            <w:r w:rsidR="0036687F">
              <w:rPr>
                <w:noProof/>
                <w:webHidden/>
              </w:rPr>
              <w:fldChar w:fldCharType="end"/>
            </w:r>
          </w:hyperlink>
        </w:p>
        <w:p w14:paraId="12A7E745" w14:textId="11D13141" w:rsidR="0036687F" w:rsidRDefault="00A14142">
          <w:pPr>
            <w:pStyle w:val="TM2"/>
            <w:tabs>
              <w:tab w:val="right" w:leader="dot" w:pos="9060"/>
            </w:tabs>
            <w:rPr>
              <w:rFonts w:eastAsiaTheme="minorEastAsia"/>
              <w:noProof/>
              <w:lang w:eastAsia="fr-FR"/>
            </w:rPr>
          </w:pPr>
          <w:hyperlink w:anchor="_Toc533413759" w:history="1">
            <w:r w:rsidR="0036687F" w:rsidRPr="00084752">
              <w:rPr>
                <w:rStyle w:val="Lienhypertexte"/>
                <w:rFonts w:ascii="Times New Roman" w:hAnsi="Times New Roman"/>
                <w:b/>
                <w:noProof/>
              </w:rPr>
              <w:t>3.2. Progrès réalisé en vue de la mise en œuvre des objectifs</w:t>
            </w:r>
            <w:r w:rsidR="0036687F">
              <w:rPr>
                <w:noProof/>
                <w:webHidden/>
              </w:rPr>
              <w:tab/>
            </w:r>
            <w:r w:rsidR="0036687F">
              <w:rPr>
                <w:noProof/>
                <w:webHidden/>
              </w:rPr>
              <w:fldChar w:fldCharType="begin"/>
            </w:r>
            <w:r w:rsidR="0036687F">
              <w:rPr>
                <w:noProof/>
                <w:webHidden/>
              </w:rPr>
              <w:instrText xml:space="preserve"> PAGEREF _Toc533413759 \h </w:instrText>
            </w:r>
            <w:r w:rsidR="0036687F">
              <w:rPr>
                <w:noProof/>
                <w:webHidden/>
              </w:rPr>
            </w:r>
            <w:r w:rsidR="0036687F">
              <w:rPr>
                <w:noProof/>
                <w:webHidden/>
              </w:rPr>
              <w:fldChar w:fldCharType="separate"/>
            </w:r>
            <w:r w:rsidR="00C47BFF">
              <w:rPr>
                <w:noProof/>
                <w:webHidden/>
              </w:rPr>
              <w:t>47</w:t>
            </w:r>
            <w:r w:rsidR="0036687F">
              <w:rPr>
                <w:noProof/>
                <w:webHidden/>
              </w:rPr>
              <w:fldChar w:fldCharType="end"/>
            </w:r>
          </w:hyperlink>
        </w:p>
        <w:p w14:paraId="4E5FF671" w14:textId="4707A2E6" w:rsidR="0036687F" w:rsidRDefault="00A14142">
          <w:pPr>
            <w:pStyle w:val="TM3"/>
            <w:tabs>
              <w:tab w:val="right" w:leader="dot" w:pos="9060"/>
            </w:tabs>
            <w:rPr>
              <w:rFonts w:eastAsiaTheme="minorEastAsia"/>
              <w:noProof/>
              <w:lang w:eastAsia="fr-FR"/>
            </w:rPr>
          </w:pPr>
          <w:hyperlink w:anchor="_Toc533413760" w:history="1">
            <w:r w:rsidR="0036687F" w:rsidRPr="00084752">
              <w:rPr>
                <w:rStyle w:val="Lienhypertexte"/>
                <w:rFonts w:ascii="Times New Roman" w:hAnsi="Times New Roman"/>
                <w:b/>
                <w:iCs/>
                <w:noProof/>
                <w:lang w:val="fr-CA"/>
              </w:rPr>
              <w:t>3.2.1. Progrès d’ordre général de réalisation des objectifs de la biodiversité</w:t>
            </w:r>
            <w:r w:rsidR="0036687F">
              <w:rPr>
                <w:noProof/>
                <w:webHidden/>
              </w:rPr>
              <w:tab/>
            </w:r>
            <w:r w:rsidR="0036687F">
              <w:rPr>
                <w:noProof/>
                <w:webHidden/>
              </w:rPr>
              <w:fldChar w:fldCharType="begin"/>
            </w:r>
            <w:r w:rsidR="0036687F">
              <w:rPr>
                <w:noProof/>
                <w:webHidden/>
              </w:rPr>
              <w:instrText xml:space="preserve"> PAGEREF _Toc533413760 \h </w:instrText>
            </w:r>
            <w:r w:rsidR="0036687F">
              <w:rPr>
                <w:noProof/>
                <w:webHidden/>
              </w:rPr>
            </w:r>
            <w:r w:rsidR="0036687F">
              <w:rPr>
                <w:noProof/>
                <w:webHidden/>
              </w:rPr>
              <w:fldChar w:fldCharType="separate"/>
            </w:r>
            <w:r w:rsidR="00C47BFF">
              <w:rPr>
                <w:noProof/>
                <w:webHidden/>
              </w:rPr>
              <w:t>47</w:t>
            </w:r>
            <w:r w:rsidR="0036687F">
              <w:rPr>
                <w:noProof/>
                <w:webHidden/>
              </w:rPr>
              <w:fldChar w:fldCharType="end"/>
            </w:r>
          </w:hyperlink>
        </w:p>
        <w:p w14:paraId="527E259D" w14:textId="455265BA" w:rsidR="0036687F" w:rsidRDefault="00A14142">
          <w:pPr>
            <w:pStyle w:val="TM3"/>
            <w:tabs>
              <w:tab w:val="right" w:leader="dot" w:pos="9060"/>
            </w:tabs>
            <w:rPr>
              <w:rFonts w:eastAsiaTheme="minorEastAsia"/>
              <w:noProof/>
              <w:lang w:eastAsia="fr-FR"/>
            </w:rPr>
          </w:pPr>
          <w:hyperlink w:anchor="_Toc533413761" w:history="1">
            <w:r w:rsidR="0036687F" w:rsidRPr="00084752">
              <w:rPr>
                <w:rStyle w:val="Lienhypertexte"/>
                <w:rFonts w:ascii="Times New Roman" w:hAnsi="Times New Roman" w:cs="Times New Roman"/>
                <w:b/>
                <w:iCs/>
                <w:noProof/>
                <w:lang w:val="fr-CA"/>
              </w:rPr>
              <w:t>3.2.2. Renseignements et justification des choix du niveau des progrès réalisés pour la mise en œuvre des objectifs nationaux pour la biodiversité</w:t>
            </w:r>
            <w:r w:rsidR="0036687F">
              <w:rPr>
                <w:noProof/>
                <w:webHidden/>
              </w:rPr>
              <w:tab/>
            </w:r>
            <w:r w:rsidR="0036687F">
              <w:rPr>
                <w:noProof/>
                <w:webHidden/>
              </w:rPr>
              <w:fldChar w:fldCharType="begin"/>
            </w:r>
            <w:r w:rsidR="0036687F">
              <w:rPr>
                <w:noProof/>
                <w:webHidden/>
              </w:rPr>
              <w:instrText xml:space="preserve"> PAGEREF _Toc533413761 \h </w:instrText>
            </w:r>
            <w:r w:rsidR="0036687F">
              <w:rPr>
                <w:noProof/>
                <w:webHidden/>
              </w:rPr>
            </w:r>
            <w:r w:rsidR="0036687F">
              <w:rPr>
                <w:noProof/>
                <w:webHidden/>
              </w:rPr>
              <w:fldChar w:fldCharType="separate"/>
            </w:r>
            <w:r w:rsidR="00C47BFF">
              <w:rPr>
                <w:noProof/>
                <w:webHidden/>
              </w:rPr>
              <w:t>51</w:t>
            </w:r>
            <w:r w:rsidR="0036687F">
              <w:rPr>
                <w:noProof/>
                <w:webHidden/>
              </w:rPr>
              <w:fldChar w:fldCharType="end"/>
            </w:r>
          </w:hyperlink>
        </w:p>
        <w:p w14:paraId="4C75ECB3" w14:textId="23047FC8" w:rsidR="0036687F" w:rsidRDefault="00A14142">
          <w:pPr>
            <w:pStyle w:val="TM1"/>
            <w:tabs>
              <w:tab w:val="right" w:leader="dot" w:pos="9060"/>
            </w:tabs>
            <w:rPr>
              <w:rFonts w:eastAsiaTheme="minorEastAsia"/>
              <w:noProof/>
              <w:lang w:eastAsia="fr-FR"/>
            </w:rPr>
          </w:pPr>
          <w:hyperlink w:anchor="_Toc533413762" w:history="1">
            <w:r w:rsidR="0036687F" w:rsidRPr="00084752">
              <w:rPr>
                <w:rStyle w:val="Lienhypertexte"/>
                <w:rFonts w:ascii="Times New Roman Gras" w:eastAsiaTheme="majorEastAsia" w:hAnsi="Times New Roman Gras" w:cs="Times New Roman"/>
                <w:b/>
                <w:bCs/>
                <w:caps/>
                <w:noProof/>
              </w:rPr>
              <w:t>IV. Contribution nationale en vue de la réalisation de chaque OAB mondial</w:t>
            </w:r>
            <w:r w:rsidR="0036687F">
              <w:rPr>
                <w:noProof/>
                <w:webHidden/>
              </w:rPr>
              <w:tab/>
            </w:r>
            <w:r w:rsidR="0036687F">
              <w:rPr>
                <w:noProof/>
                <w:webHidden/>
              </w:rPr>
              <w:fldChar w:fldCharType="begin"/>
            </w:r>
            <w:r w:rsidR="0036687F">
              <w:rPr>
                <w:noProof/>
                <w:webHidden/>
              </w:rPr>
              <w:instrText xml:space="preserve"> PAGEREF _Toc533413762 \h </w:instrText>
            </w:r>
            <w:r w:rsidR="0036687F">
              <w:rPr>
                <w:noProof/>
                <w:webHidden/>
              </w:rPr>
            </w:r>
            <w:r w:rsidR="0036687F">
              <w:rPr>
                <w:noProof/>
                <w:webHidden/>
              </w:rPr>
              <w:fldChar w:fldCharType="separate"/>
            </w:r>
            <w:r w:rsidR="00C47BFF">
              <w:rPr>
                <w:noProof/>
                <w:webHidden/>
              </w:rPr>
              <w:t>71</w:t>
            </w:r>
            <w:r w:rsidR="0036687F">
              <w:rPr>
                <w:noProof/>
                <w:webHidden/>
              </w:rPr>
              <w:fldChar w:fldCharType="end"/>
            </w:r>
          </w:hyperlink>
        </w:p>
        <w:p w14:paraId="630661BF" w14:textId="643C30CB" w:rsidR="0036687F" w:rsidRDefault="00A14142">
          <w:pPr>
            <w:pStyle w:val="TM2"/>
            <w:tabs>
              <w:tab w:val="right" w:leader="dot" w:pos="9060"/>
            </w:tabs>
            <w:rPr>
              <w:rFonts w:eastAsiaTheme="minorEastAsia"/>
              <w:noProof/>
              <w:lang w:eastAsia="fr-FR"/>
            </w:rPr>
          </w:pPr>
          <w:hyperlink w:anchor="_Toc533413763" w:history="1">
            <w:r w:rsidR="0036687F" w:rsidRPr="00084752">
              <w:rPr>
                <w:rStyle w:val="Lienhypertexte"/>
                <w:rFonts w:ascii="Times New Roman" w:hAnsi="Times New Roman" w:cs="Times New Roman"/>
                <w:b/>
                <w:bCs/>
                <w:noProof/>
              </w:rPr>
              <w:t>4.1. Analyse par OAB</w:t>
            </w:r>
            <w:r w:rsidR="0036687F">
              <w:rPr>
                <w:noProof/>
                <w:webHidden/>
              </w:rPr>
              <w:tab/>
            </w:r>
            <w:r w:rsidR="0036687F">
              <w:rPr>
                <w:noProof/>
                <w:webHidden/>
              </w:rPr>
              <w:fldChar w:fldCharType="begin"/>
            </w:r>
            <w:r w:rsidR="0036687F">
              <w:rPr>
                <w:noProof/>
                <w:webHidden/>
              </w:rPr>
              <w:instrText xml:space="preserve"> PAGEREF _Toc533413763 \h </w:instrText>
            </w:r>
            <w:r w:rsidR="0036687F">
              <w:rPr>
                <w:noProof/>
                <w:webHidden/>
              </w:rPr>
            </w:r>
            <w:r w:rsidR="0036687F">
              <w:rPr>
                <w:noProof/>
                <w:webHidden/>
              </w:rPr>
              <w:fldChar w:fldCharType="separate"/>
            </w:r>
            <w:r w:rsidR="00C47BFF">
              <w:rPr>
                <w:noProof/>
                <w:webHidden/>
              </w:rPr>
              <w:t>71</w:t>
            </w:r>
            <w:r w:rsidR="0036687F">
              <w:rPr>
                <w:noProof/>
                <w:webHidden/>
              </w:rPr>
              <w:fldChar w:fldCharType="end"/>
            </w:r>
          </w:hyperlink>
        </w:p>
        <w:p w14:paraId="06E0CA9C" w14:textId="5A3AFC9C" w:rsidR="0036687F" w:rsidRDefault="00A14142">
          <w:pPr>
            <w:pStyle w:val="TM2"/>
            <w:tabs>
              <w:tab w:val="right" w:leader="dot" w:pos="9060"/>
            </w:tabs>
            <w:rPr>
              <w:rFonts w:eastAsiaTheme="minorEastAsia"/>
              <w:noProof/>
              <w:lang w:eastAsia="fr-FR"/>
            </w:rPr>
          </w:pPr>
          <w:hyperlink w:anchor="_Toc533413764" w:history="1">
            <w:r w:rsidR="0036687F" w:rsidRPr="00084752">
              <w:rPr>
                <w:rStyle w:val="Lienhypertexte"/>
                <w:rFonts w:ascii="Times New Roman" w:hAnsi="Times New Roman" w:cs="Times New Roman"/>
                <w:b/>
                <w:bCs/>
                <w:noProof/>
              </w:rPr>
              <w:t xml:space="preserve">4.2. Contribution à la mise en œuvre </w:t>
            </w:r>
            <w:r w:rsidR="0036687F" w:rsidRPr="00084752">
              <w:rPr>
                <w:rStyle w:val="Lienhypertexte"/>
                <w:rFonts w:ascii="Times New Roman" w:hAnsi="Times New Roman" w:cs="Times New Roman"/>
                <w:b/>
                <w:noProof/>
              </w:rPr>
              <w:t>du programme national de développement (PND) à l’horizon 2030 ainsi qu’aux Objectifs de développement durable</w:t>
            </w:r>
            <w:r w:rsidR="0036687F">
              <w:rPr>
                <w:noProof/>
                <w:webHidden/>
              </w:rPr>
              <w:tab/>
            </w:r>
            <w:r w:rsidR="0036687F">
              <w:rPr>
                <w:noProof/>
                <w:webHidden/>
              </w:rPr>
              <w:fldChar w:fldCharType="begin"/>
            </w:r>
            <w:r w:rsidR="0036687F">
              <w:rPr>
                <w:noProof/>
                <w:webHidden/>
              </w:rPr>
              <w:instrText xml:space="preserve"> PAGEREF _Toc533413764 \h </w:instrText>
            </w:r>
            <w:r w:rsidR="0036687F">
              <w:rPr>
                <w:noProof/>
                <w:webHidden/>
              </w:rPr>
            </w:r>
            <w:r w:rsidR="0036687F">
              <w:rPr>
                <w:noProof/>
                <w:webHidden/>
              </w:rPr>
              <w:fldChar w:fldCharType="separate"/>
            </w:r>
            <w:r w:rsidR="00C47BFF">
              <w:rPr>
                <w:noProof/>
                <w:webHidden/>
              </w:rPr>
              <w:t>96</w:t>
            </w:r>
            <w:r w:rsidR="0036687F">
              <w:rPr>
                <w:noProof/>
                <w:webHidden/>
              </w:rPr>
              <w:fldChar w:fldCharType="end"/>
            </w:r>
          </w:hyperlink>
        </w:p>
        <w:p w14:paraId="78C97D90" w14:textId="41A5D13A" w:rsidR="0036687F" w:rsidRDefault="00A14142">
          <w:pPr>
            <w:pStyle w:val="TM1"/>
            <w:tabs>
              <w:tab w:val="right" w:leader="dot" w:pos="9060"/>
            </w:tabs>
            <w:rPr>
              <w:rFonts w:eastAsiaTheme="minorEastAsia"/>
              <w:noProof/>
              <w:lang w:eastAsia="fr-FR"/>
            </w:rPr>
          </w:pPr>
          <w:hyperlink w:anchor="_Toc533413765" w:history="1">
            <w:r w:rsidR="0036687F" w:rsidRPr="00084752">
              <w:rPr>
                <w:rStyle w:val="Lienhypertexte"/>
                <w:rFonts w:ascii="Times New Roman Gras" w:eastAsiaTheme="majorEastAsia" w:hAnsi="Times New Roman Gras" w:cs="Times New Roman"/>
                <w:b/>
                <w:bCs/>
                <w:caps/>
                <w:noProof/>
              </w:rPr>
              <w:t>V. Contribution nationale en vue de la réalisation des objectifs de la Stratégie mondiale pour la conservation des plantes</w:t>
            </w:r>
            <w:r w:rsidR="0036687F">
              <w:rPr>
                <w:noProof/>
                <w:webHidden/>
              </w:rPr>
              <w:tab/>
            </w:r>
            <w:r w:rsidR="0036687F">
              <w:rPr>
                <w:noProof/>
                <w:webHidden/>
              </w:rPr>
              <w:fldChar w:fldCharType="begin"/>
            </w:r>
            <w:r w:rsidR="0036687F">
              <w:rPr>
                <w:noProof/>
                <w:webHidden/>
              </w:rPr>
              <w:instrText xml:space="preserve"> PAGEREF _Toc533413765 \h </w:instrText>
            </w:r>
            <w:r w:rsidR="0036687F">
              <w:rPr>
                <w:noProof/>
                <w:webHidden/>
              </w:rPr>
            </w:r>
            <w:r w:rsidR="0036687F">
              <w:rPr>
                <w:noProof/>
                <w:webHidden/>
              </w:rPr>
              <w:fldChar w:fldCharType="separate"/>
            </w:r>
            <w:r w:rsidR="00C47BFF">
              <w:rPr>
                <w:noProof/>
                <w:webHidden/>
              </w:rPr>
              <w:t>99</w:t>
            </w:r>
            <w:r w:rsidR="0036687F">
              <w:rPr>
                <w:noProof/>
                <w:webHidden/>
              </w:rPr>
              <w:fldChar w:fldCharType="end"/>
            </w:r>
          </w:hyperlink>
        </w:p>
        <w:p w14:paraId="64E2F4AC" w14:textId="08144D4E" w:rsidR="0036687F" w:rsidRDefault="00A14142">
          <w:pPr>
            <w:pStyle w:val="TM1"/>
            <w:tabs>
              <w:tab w:val="right" w:leader="dot" w:pos="9060"/>
            </w:tabs>
            <w:rPr>
              <w:rFonts w:eastAsiaTheme="minorEastAsia"/>
              <w:noProof/>
              <w:lang w:eastAsia="fr-FR"/>
            </w:rPr>
          </w:pPr>
          <w:hyperlink w:anchor="_Toc533413766" w:history="1">
            <w:r w:rsidR="0036687F" w:rsidRPr="00084752">
              <w:rPr>
                <w:rStyle w:val="Lienhypertexte"/>
                <w:rFonts w:ascii="Times New Roman" w:hAnsi="Times New Roman" w:cs="Times New Roman"/>
                <w:b/>
                <w:noProof/>
              </w:rPr>
              <w:t>5.1. Objectifs nationaux en lien avec les objectifs de la SMCP</w:t>
            </w:r>
            <w:r w:rsidR="0036687F">
              <w:rPr>
                <w:noProof/>
                <w:webHidden/>
              </w:rPr>
              <w:tab/>
            </w:r>
            <w:r w:rsidR="0036687F">
              <w:rPr>
                <w:noProof/>
                <w:webHidden/>
              </w:rPr>
              <w:fldChar w:fldCharType="begin"/>
            </w:r>
            <w:r w:rsidR="0036687F">
              <w:rPr>
                <w:noProof/>
                <w:webHidden/>
              </w:rPr>
              <w:instrText xml:space="preserve"> PAGEREF _Toc533413766 \h </w:instrText>
            </w:r>
            <w:r w:rsidR="0036687F">
              <w:rPr>
                <w:noProof/>
                <w:webHidden/>
              </w:rPr>
            </w:r>
            <w:r w:rsidR="0036687F">
              <w:rPr>
                <w:noProof/>
                <w:webHidden/>
              </w:rPr>
              <w:fldChar w:fldCharType="separate"/>
            </w:r>
            <w:r w:rsidR="00C47BFF">
              <w:rPr>
                <w:noProof/>
                <w:webHidden/>
              </w:rPr>
              <w:t>99</w:t>
            </w:r>
            <w:r w:rsidR="0036687F">
              <w:rPr>
                <w:noProof/>
                <w:webHidden/>
              </w:rPr>
              <w:fldChar w:fldCharType="end"/>
            </w:r>
          </w:hyperlink>
        </w:p>
        <w:p w14:paraId="71D151F5" w14:textId="5AF358AE" w:rsidR="0036687F" w:rsidRDefault="00A14142">
          <w:pPr>
            <w:pStyle w:val="TM2"/>
            <w:tabs>
              <w:tab w:val="right" w:leader="dot" w:pos="9060"/>
            </w:tabs>
            <w:rPr>
              <w:rFonts w:eastAsiaTheme="minorEastAsia"/>
              <w:noProof/>
              <w:lang w:eastAsia="fr-FR"/>
            </w:rPr>
          </w:pPr>
          <w:hyperlink w:anchor="_Toc533413767" w:history="1">
            <w:r w:rsidR="0036687F" w:rsidRPr="00084752">
              <w:rPr>
                <w:rStyle w:val="Lienhypertexte"/>
                <w:rFonts w:ascii="Times New Roman" w:hAnsi="Times New Roman" w:cs="Times New Roman"/>
                <w:b/>
                <w:noProof/>
              </w:rPr>
              <w:t>5.2. Réseau actif œuvrant pour la conservation des plantes</w:t>
            </w:r>
            <w:r w:rsidR="0036687F">
              <w:rPr>
                <w:noProof/>
                <w:webHidden/>
              </w:rPr>
              <w:tab/>
            </w:r>
            <w:r w:rsidR="0036687F">
              <w:rPr>
                <w:noProof/>
                <w:webHidden/>
              </w:rPr>
              <w:fldChar w:fldCharType="begin"/>
            </w:r>
            <w:r w:rsidR="0036687F">
              <w:rPr>
                <w:noProof/>
                <w:webHidden/>
              </w:rPr>
              <w:instrText xml:space="preserve"> PAGEREF _Toc533413767 \h </w:instrText>
            </w:r>
            <w:r w:rsidR="0036687F">
              <w:rPr>
                <w:noProof/>
                <w:webHidden/>
              </w:rPr>
            </w:r>
            <w:r w:rsidR="0036687F">
              <w:rPr>
                <w:noProof/>
                <w:webHidden/>
              </w:rPr>
              <w:fldChar w:fldCharType="separate"/>
            </w:r>
            <w:r w:rsidR="00C47BFF">
              <w:rPr>
                <w:noProof/>
                <w:webHidden/>
              </w:rPr>
              <w:t>104</w:t>
            </w:r>
            <w:r w:rsidR="0036687F">
              <w:rPr>
                <w:noProof/>
                <w:webHidden/>
              </w:rPr>
              <w:fldChar w:fldCharType="end"/>
            </w:r>
          </w:hyperlink>
        </w:p>
        <w:p w14:paraId="06421E4A" w14:textId="79C7A59D" w:rsidR="0036687F" w:rsidRDefault="00A14142">
          <w:pPr>
            <w:pStyle w:val="TM2"/>
            <w:tabs>
              <w:tab w:val="right" w:leader="dot" w:pos="9060"/>
            </w:tabs>
            <w:rPr>
              <w:rFonts w:eastAsiaTheme="minorEastAsia"/>
              <w:noProof/>
              <w:lang w:eastAsia="fr-FR"/>
            </w:rPr>
          </w:pPr>
          <w:hyperlink w:anchor="_Toc533413768" w:history="1">
            <w:r w:rsidR="0036687F" w:rsidRPr="00084752">
              <w:rPr>
                <w:rStyle w:val="Lienhypertexte"/>
                <w:rFonts w:ascii="Times New Roman" w:hAnsi="Times New Roman" w:cs="Times New Roman"/>
                <w:b/>
                <w:noProof/>
              </w:rPr>
              <w:t>5.3. Progrès réalisés par rapport aux objectifs de la SMCP au niveau national</w:t>
            </w:r>
            <w:r w:rsidR="0036687F">
              <w:rPr>
                <w:noProof/>
                <w:webHidden/>
              </w:rPr>
              <w:tab/>
            </w:r>
            <w:r w:rsidR="0036687F">
              <w:rPr>
                <w:noProof/>
                <w:webHidden/>
              </w:rPr>
              <w:fldChar w:fldCharType="begin"/>
            </w:r>
            <w:r w:rsidR="0036687F">
              <w:rPr>
                <w:noProof/>
                <w:webHidden/>
              </w:rPr>
              <w:instrText xml:space="preserve"> PAGEREF _Toc533413768 \h </w:instrText>
            </w:r>
            <w:r w:rsidR="0036687F">
              <w:rPr>
                <w:noProof/>
                <w:webHidden/>
              </w:rPr>
            </w:r>
            <w:r w:rsidR="0036687F">
              <w:rPr>
                <w:noProof/>
                <w:webHidden/>
              </w:rPr>
              <w:fldChar w:fldCharType="separate"/>
            </w:r>
            <w:r w:rsidR="00C47BFF">
              <w:rPr>
                <w:noProof/>
                <w:webHidden/>
              </w:rPr>
              <w:t>106</w:t>
            </w:r>
            <w:r w:rsidR="0036687F">
              <w:rPr>
                <w:noProof/>
                <w:webHidden/>
              </w:rPr>
              <w:fldChar w:fldCharType="end"/>
            </w:r>
          </w:hyperlink>
        </w:p>
        <w:p w14:paraId="3190C125" w14:textId="004A15AC" w:rsidR="0036687F" w:rsidRDefault="00A14142">
          <w:pPr>
            <w:pStyle w:val="TM1"/>
            <w:tabs>
              <w:tab w:val="right" w:leader="dot" w:pos="9060"/>
            </w:tabs>
            <w:rPr>
              <w:rFonts w:eastAsiaTheme="minorEastAsia"/>
              <w:noProof/>
              <w:lang w:eastAsia="fr-FR"/>
            </w:rPr>
          </w:pPr>
          <w:hyperlink w:anchor="_Toc533413769" w:history="1">
            <w:r w:rsidR="0036687F" w:rsidRPr="00084752">
              <w:rPr>
                <w:rStyle w:val="Lienhypertexte"/>
                <w:rFonts w:ascii="Times New Roman Gras" w:eastAsiaTheme="majorEastAsia" w:hAnsi="Times New Roman Gras" w:cs="Times New Roman"/>
                <w:b/>
                <w:bCs/>
                <w:caps/>
                <w:noProof/>
              </w:rPr>
              <w:t>VI. Contribution des communautés locales</w:t>
            </w:r>
            <w:r w:rsidR="0036687F">
              <w:rPr>
                <w:noProof/>
                <w:webHidden/>
              </w:rPr>
              <w:tab/>
            </w:r>
            <w:r w:rsidR="0036687F">
              <w:rPr>
                <w:noProof/>
                <w:webHidden/>
              </w:rPr>
              <w:fldChar w:fldCharType="begin"/>
            </w:r>
            <w:r w:rsidR="0036687F">
              <w:rPr>
                <w:noProof/>
                <w:webHidden/>
              </w:rPr>
              <w:instrText xml:space="preserve"> PAGEREF _Toc533413769 \h </w:instrText>
            </w:r>
            <w:r w:rsidR="0036687F">
              <w:rPr>
                <w:noProof/>
                <w:webHidden/>
              </w:rPr>
            </w:r>
            <w:r w:rsidR="0036687F">
              <w:rPr>
                <w:noProof/>
                <w:webHidden/>
              </w:rPr>
              <w:fldChar w:fldCharType="separate"/>
            </w:r>
            <w:r w:rsidR="00C47BFF">
              <w:rPr>
                <w:noProof/>
                <w:webHidden/>
              </w:rPr>
              <w:t>120</w:t>
            </w:r>
            <w:r w:rsidR="0036687F">
              <w:rPr>
                <w:noProof/>
                <w:webHidden/>
              </w:rPr>
              <w:fldChar w:fldCharType="end"/>
            </w:r>
          </w:hyperlink>
        </w:p>
        <w:p w14:paraId="194E6E21" w14:textId="4299BA63" w:rsidR="0036687F" w:rsidRDefault="00A14142">
          <w:pPr>
            <w:pStyle w:val="TM2"/>
            <w:tabs>
              <w:tab w:val="right" w:leader="dot" w:pos="9060"/>
            </w:tabs>
            <w:rPr>
              <w:rFonts w:eastAsiaTheme="minorEastAsia"/>
              <w:noProof/>
              <w:lang w:eastAsia="fr-FR"/>
            </w:rPr>
          </w:pPr>
          <w:hyperlink w:anchor="_Toc533413770" w:history="1">
            <w:r w:rsidR="0036687F" w:rsidRPr="00084752">
              <w:rPr>
                <w:rStyle w:val="Lienhypertexte"/>
                <w:rFonts w:ascii="Times New Roman" w:hAnsi="Times New Roman" w:cs="Times New Roman"/>
                <w:b/>
                <w:noProof/>
              </w:rPr>
              <w:t>6.1. Apport des communautés locales à l’atteinte des objectifs nationaux</w:t>
            </w:r>
            <w:r w:rsidR="0036687F">
              <w:rPr>
                <w:noProof/>
                <w:webHidden/>
              </w:rPr>
              <w:tab/>
            </w:r>
            <w:r w:rsidR="0036687F">
              <w:rPr>
                <w:noProof/>
                <w:webHidden/>
              </w:rPr>
              <w:fldChar w:fldCharType="begin"/>
            </w:r>
            <w:r w:rsidR="0036687F">
              <w:rPr>
                <w:noProof/>
                <w:webHidden/>
              </w:rPr>
              <w:instrText xml:space="preserve"> PAGEREF _Toc533413770 \h </w:instrText>
            </w:r>
            <w:r w:rsidR="0036687F">
              <w:rPr>
                <w:noProof/>
                <w:webHidden/>
              </w:rPr>
            </w:r>
            <w:r w:rsidR="0036687F">
              <w:rPr>
                <w:noProof/>
                <w:webHidden/>
              </w:rPr>
              <w:fldChar w:fldCharType="separate"/>
            </w:r>
            <w:r w:rsidR="00C47BFF">
              <w:rPr>
                <w:noProof/>
                <w:webHidden/>
              </w:rPr>
              <w:t>120</w:t>
            </w:r>
            <w:r w:rsidR="0036687F">
              <w:rPr>
                <w:noProof/>
                <w:webHidden/>
              </w:rPr>
              <w:fldChar w:fldCharType="end"/>
            </w:r>
          </w:hyperlink>
        </w:p>
        <w:p w14:paraId="70E3989D" w14:textId="21A071D6" w:rsidR="0036687F" w:rsidRDefault="00A14142">
          <w:pPr>
            <w:pStyle w:val="TM2"/>
            <w:tabs>
              <w:tab w:val="right" w:leader="dot" w:pos="9060"/>
            </w:tabs>
            <w:rPr>
              <w:rFonts w:eastAsiaTheme="minorEastAsia"/>
              <w:noProof/>
              <w:lang w:eastAsia="fr-FR"/>
            </w:rPr>
          </w:pPr>
          <w:hyperlink w:anchor="_Toc533413771" w:history="1">
            <w:r w:rsidR="0036687F" w:rsidRPr="00084752">
              <w:rPr>
                <w:rStyle w:val="Lienhypertexte"/>
                <w:rFonts w:ascii="Times New Roman" w:hAnsi="Times New Roman" w:cs="Times New Roman"/>
                <w:b/>
                <w:noProof/>
              </w:rPr>
              <w:t>6.2. Pratiques endogènes de conservation et de gestion de la biodiversite : études de cas</w:t>
            </w:r>
            <w:r w:rsidR="0036687F">
              <w:rPr>
                <w:noProof/>
                <w:webHidden/>
              </w:rPr>
              <w:tab/>
            </w:r>
            <w:r w:rsidR="0036687F">
              <w:rPr>
                <w:noProof/>
                <w:webHidden/>
              </w:rPr>
              <w:fldChar w:fldCharType="begin"/>
            </w:r>
            <w:r w:rsidR="0036687F">
              <w:rPr>
                <w:noProof/>
                <w:webHidden/>
              </w:rPr>
              <w:instrText xml:space="preserve"> PAGEREF _Toc533413771 \h </w:instrText>
            </w:r>
            <w:r w:rsidR="0036687F">
              <w:rPr>
                <w:noProof/>
                <w:webHidden/>
              </w:rPr>
            </w:r>
            <w:r w:rsidR="0036687F">
              <w:rPr>
                <w:noProof/>
                <w:webHidden/>
              </w:rPr>
              <w:fldChar w:fldCharType="separate"/>
            </w:r>
            <w:r w:rsidR="00C47BFF">
              <w:rPr>
                <w:noProof/>
                <w:webHidden/>
              </w:rPr>
              <w:t>121</w:t>
            </w:r>
            <w:r w:rsidR="0036687F">
              <w:rPr>
                <w:noProof/>
                <w:webHidden/>
              </w:rPr>
              <w:fldChar w:fldCharType="end"/>
            </w:r>
          </w:hyperlink>
        </w:p>
        <w:p w14:paraId="6662BAD1" w14:textId="48FC8004" w:rsidR="0036687F" w:rsidRDefault="00A14142">
          <w:pPr>
            <w:pStyle w:val="TM3"/>
            <w:tabs>
              <w:tab w:val="right" w:leader="dot" w:pos="9060"/>
            </w:tabs>
            <w:rPr>
              <w:rFonts w:eastAsiaTheme="minorEastAsia"/>
              <w:noProof/>
              <w:lang w:eastAsia="fr-FR"/>
            </w:rPr>
          </w:pPr>
          <w:hyperlink w:anchor="_Toc533413772" w:history="1">
            <w:r w:rsidR="0036687F" w:rsidRPr="00084752">
              <w:rPr>
                <w:rStyle w:val="Lienhypertexte"/>
                <w:rFonts w:ascii="Times New Roman" w:hAnsi="Times New Roman" w:cs="Times New Roman"/>
                <w:b/>
                <w:noProof/>
              </w:rPr>
              <w:t>6.2.1. Etude de cas</w:t>
            </w:r>
            <w:r w:rsidR="0036687F">
              <w:rPr>
                <w:noProof/>
                <w:webHidden/>
              </w:rPr>
              <w:tab/>
            </w:r>
            <w:r w:rsidR="0036687F">
              <w:rPr>
                <w:noProof/>
                <w:webHidden/>
              </w:rPr>
              <w:fldChar w:fldCharType="begin"/>
            </w:r>
            <w:r w:rsidR="0036687F">
              <w:rPr>
                <w:noProof/>
                <w:webHidden/>
              </w:rPr>
              <w:instrText xml:space="preserve"> PAGEREF _Toc533413772 \h </w:instrText>
            </w:r>
            <w:r w:rsidR="0036687F">
              <w:rPr>
                <w:noProof/>
                <w:webHidden/>
              </w:rPr>
            </w:r>
            <w:r w:rsidR="0036687F">
              <w:rPr>
                <w:noProof/>
                <w:webHidden/>
              </w:rPr>
              <w:fldChar w:fldCharType="separate"/>
            </w:r>
            <w:r w:rsidR="00C47BFF">
              <w:rPr>
                <w:noProof/>
                <w:webHidden/>
              </w:rPr>
              <w:t>121</w:t>
            </w:r>
            <w:r w:rsidR="0036687F">
              <w:rPr>
                <w:noProof/>
                <w:webHidden/>
              </w:rPr>
              <w:fldChar w:fldCharType="end"/>
            </w:r>
          </w:hyperlink>
        </w:p>
        <w:p w14:paraId="74A5C076" w14:textId="26BC16B2" w:rsidR="0036687F" w:rsidRDefault="00A14142">
          <w:pPr>
            <w:pStyle w:val="TM3"/>
            <w:tabs>
              <w:tab w:val="right" w:leader="dot" w:pos="9060"/>
            </w:tabs>
            <w:rPr>
              <w:rFonts w:eastAsiaTheme="minorEastAsia"/>
              <w:noProof/>
              <w:lang w:eastAsia="fr-FR"/>
            </w:rPr>
          </w:pPr>
          <w:hyperlink w:anchor="_Toc533413773" w:history="1">
            <w:r w:rsidR="0036687F" w:rsidRPr="00084752">
              <w:rPr>
                <w:rStyle w:val="Lienhypertexte"/>
                <w:rFonts w:ascii="Times New Roman" w:hAnsi="Times New Roman" w:cs="Times New Roman"/>
                <w:b/>
                <w:noProof/>
              </w:rPr>
              <w:t>5.2.2. Rôle conservateur de la biodiversité par ces pratiques locales</w:t>
            </w:r>
            <w:r w:rsidR="0036687F">
              <w:rPr>
                <w:noProof/>
                <w:webHidden/>
              </w:rPr>
              <w:tab/>
            </w:r>
            <w:r w:rsidR="0036687F">
              <w:rPr>
                <w:noProof/>
                <w:webHidden/>
              </w:rPr>
              <w:fldChar w:fldCharType="begin"/>
            </w:r>
            <w:r w:rsidR="0036687F">
              <w:rPr>
                <w:noProof/>
                <w:webHidden/>
              </w:rPr>
              <w:instrText xml:space="preserve"> PAGEREF _Toc533413773 \h </w:instrText>
            </w:r>
            <w:r w:rsidR="0036687F">
              <w:rPr>
                <w:noProof/>
                <w:webHidden/>
              </w:rPr>
            </w:r>
            <w:r w:rsidR="0036687F">
              <w:rPr>
                <w:noProof/>
                <w:webHidden/>
              </w:rPr>
              <w:fldChar w:fldCharType="separate"/>
            </w:r>
            <w:r w:rsidR="00C47BFF">
              <w:rPr>
                <w:noProof/>
                <w:webHidden/>
              </w:rPr>
              <w:t>128</w:t>
            </w:r>
            <w:r w:rsidR="0036687F">
              <w:rPr>
                <w:noProof/>
                <w:webHidden/>
              </w:rPr>
              <w:fldChar w:fldCharType="end"/>
            </w:r>
          </w:hyperlink>
        </w:p>
        <w:p w14:paraId="15D55539" w14:textId="042EB2DA" w:rsidR="0036687F" w:rsidRDefault="00A14142">
          <w:pPr>
            <w:pStyle w:val="TM1"/>
            <w:tabs>
              <w:tab w:val="right" w:leader="dot" w:pos="9060"/>
            </w:tabs>
            <w:rPr>
              <w:rFonts w:eastAsiaTheme="minorEastAsia"/>
              <w:noProof/>
              <w:lang w:eastAsia="fr-FR"/>
            </w:rPr>
          </w:pPr>
          <w:hyperlink w:anchor="_Toc533413774" w:history="1">
            <w:r w:rsidR="0036687F" w:rsidRPr="00084752">
              <w:rPr>
                <w:rStyle w:val="Lienhypertexte"/>
                <w:rFonts w:ascii="Times New Roman Gras" w:eastAsiaTheme="majorEastAsia" w:hAnsi="Times New Roman Gras" w:cs="Times New Roman"/>
                <w:b/>
                <w:bCs/>
                <w:caps/>
                <w:noProof/>
              </w:rPr>
              <w:t>VII. Mise à jour du profil de la biodiversité</w:t>
            </w:r>
            <w:r w:rsidR="0036687F">
              <w:rPr>
                <w:noProof/>
                <w:webHidden/>
              </w:rPr>
              <w:tab/>
            </w:r>
            <w:r w:rsidR="0036687F">
              <w:rPr>
                <w:noProof/>
                <w:webHidden/>
              </w:rPr>
              <w:fldChar w:fldCharType="begin"/>
            </w:r>
            <w:r w:rsidR="0036687F">
              <w:rPr>
                <w:noProof/>
                <w:webHidden/>
              </w:rPr>
              <w:instrText xml:space="preserve"> PAGEREF _Toc533413774 \h </w:instrText>
            </w:r>
            <w:r w:rsidR="0036687F">
              <w:rPr>
                <w:noProof/>
                <w:webHidden/>
              </w:rPr>
            </w:r>
            <w:r w:rsidR="0036687F">
              <w:rPr>
                <w:noProof/>
                <w:webHidden/>
              </w:rPr>
              <w:fldChar w:fldCharType="separate"/>
            </w:r>
            <w:r w:rsidR="00C47BFF">
              <w:rPr>
                <w:noProof/>
                <w:webHidden/>
              </w:rPr>
              <w:t>133</w:t>
            </w:r>
            <w:r w:rsidR="0036687F">
              <w:rPr>
                <w:noProof/>
                <w:webHidden/>
              </w:rPr>
              <w:fldChar w:fldCharType="end"/>
            </w:r>
          </w:hyperlink>
        </w:p>
        <w:p w14:paraId="343323FB" w14:textId="47B7B400" w:rsidR="0036687F" w:rsidRDefault="00A14142">
          <w:pPr>
            <w:pStyle w:val="TM2"/>
            <w:tabs>
              <w:tab w:val="right" w:leader="dot" w:pos="9060"/>
            </w:tabs>
            <w:rPr>
              <w:rFonts w:eastAsiaTheme="minorEastAsia"/>
              <w:noProof/>
              <w:lang w:eastAsia="fr-FR"/>
            </w:rPr>
          </w:pPr>
          <w:hyperlink w:anchor="_Toc533413775" w:history="1">
            <w:r w:rsidR="0036687F" w:rsidRPr="00084752">
              <w:rPr>
                <w:rStyle w:val="Lienhypertexte"/>
                <w:rFonts w:ascii="Times New Roman" w:hAnsi="Times New Roman" w:cs="Times New Roman"/>
                <w:b/>
                <w:noProof/>
              </w:rPr>
              <w:t>7.1. Faits relatifs à la biodiversité</w:t>
            </w:r>
            <w:r w:rsidR="0036687F">
              <w:rPr>
                <w:noProof/>
                <w:webHidden/>
              </w:rPr>
              <w:tab/>
            </w:r>
            <w:r w:rsidR="0036687F">
              <w:rPr>
                <w:noProof/>
                <w:webHidden/>
              </w:rPr>
              <w:fldChar w:fldCharType="begin"/>
            </w:r>
            <w:r w:rsidR="0036687F">
              <w:rPr>
                <w:noProof/>
                <w:webHidden/>
              </w:rPr>
              <w:instrText xml:space="preserve"> PAGEREF _Toc533413775 \h </w:instrText>
            </w:r>
            <w:r w:rsidR="0036687F">
              <w:rPr>
                <w:noProof/>
                <w:webHidden/>
              </w:rPr>
            </w:r>
            <w:r w:rsidR="0036687F">
              <w:rPr>
                <w:noProof/>
                <w:webHidden/>
              </w:rPr>
              <w:fldChar w:fldCharType="separate"/>
            </w:r>
            <w:r w:rsidR="00C47BFF">
              <w:rPr>
                <w:noProof/>
                <w:webHidden/>
              </w:rPr>
              <w:t>133</w:t>
            </w:r>
            <w:r w:rsidR="0036687F">
              <w:rPr>
                <w:noProof/>
                <w:webHidden/>
              </w:rPr>
              <w:fldChar w:fldCharType="end"/>
            </w:r>
          </w:hyperlink>
        </w:p>
        <w:p w14:paraId="28F81779" w14:textId="118D3A06" w:rsidR="0036687F" w:rsidRDefault="00A14142">
          <w:pPr>
            <w:pStyle w:val="TM3"/>
            <w:tabs>
              <w:tab w:val="right" w:leader="dot" w:pos="9060"/>
            </w:tabs>
            <w:rPr>
              <w:rFonts w:eastAsiaTheme="minorEastAsia"/>
              <w:noProof/>
              <w:lang w:eastAsia="fr-FR"/>
            </w:rPr>
          </w:pPr>
          <w:hyperlink w:anchor="_Toc533413776" w:history="1">
            <w:r w:rsidR="0036687F" w:rsidRPr="00084752">
              <w:rPr>
                <w:rStyle w:val="Lienhypertexte"/>
                <w:rFonts w:ascii="Times New Roman" w:hAnsi="Times New Roman" w:cs="Times New Roman"/>
                <w:b/>
                <w:noProof/>
              </w:rPr>
              <w:t>7.1.1. Statuts et tendance de la biodiversité, avantages de la biodiversité et des services écosystémiques compris</w:t>
            </w:r>
            <w:r w:rsidR="0036687F">
              <w:rPr>
                <w:noProof/>
                <w:webHidden/>
              </w:rPr>
              <w:tab/>
            </w:r>
            <w:r w:rsidR="0036687F">
              <w:rPr>
                <w:noProof/>
                <w:webHidden/>
              </w:rPr>
              <w:fldChar w:fldCharType="begin"/>
            </w:r>
            <w:r w:rsidR="0036687F">
              <w:rPr>
                <w:noProof/>
                <w:webHidden/>
              </w:rPr>
              <w:instrText xml:space="preserve"> PAGEREF _Toc533413776 \h </w:instrText>
            </w:r>
            <w:r w:rsidR="0036687F">
              <w:rPr>
                <w:noProof/>
                <w:webHidden/>
              </w:rPr>
            </w:r>
            <w:r w:rsidR="0036687F">
              <w:rPr>
                <w:noProof/>
                <w:webHidden/>
              </w:rPr>
              <w:fldChar w:fldCharType="separate"/>
            </w:r>
            <w:r w:rsidR="00C47BFF">
              <w:rPr>
                <w:noProof/>
                <w:webHidden/>
              </w:rPr>
              <w:t>133</w:t>
            </w:r>
            <w:r w:rsidR="0036687F">
              <w:rPr>
                <w:noProof/>
                <w:webHidden/>
              </w:rPr>
              <w:fldChar w:fldCharType="end"/>
            </w:r>
          </w:hyperlink>
        </w:p>
        <w:p w14:paraId="50A934C7" w14:textId="458C9D30" w:rsidR="0036687F" w:rsidRDefault="00A14142">
          <w:pPr>
            <w:pStyle w:val="TM2"/>
            <w:tabs>
              <w:tab w:val="right" w:leader="dot" w:pos="9060"/>
            </w:tabs>
            <w:rPr>
              <w:rFonts w:eastAsiaTheme="minorEastAsia"/>
              <w:noProof/>
              <w:lang w:eastAsia="fr-FR"/>
            </w:rPr>
          </w:pPr>
          <w:hyperlink w:anchor="_Toc533413777" w:history="1">
            <w:r w:rsidR="0036687F" w:rsidRPr="00084752">
              <w:rPr>
                <w:rStyle w:val="Lienhypertexte"/>
                <w:rFonts w:ascii="Times New Roman" w:hAnsi="Times New Roman" w:cs="Times New Roman"/>
                <w:b/>
                <w:noProof/>
                <w:lang w:eastAsia="fr-FR"/>
              </w:rPr>
              <w:t>c)</w:t>
            </w:r>
            <w:r w:rsidR="0036687F" w:rsidRPr="00084752">
              <w:rPr>
                <w:rStyle w:val="Lienhypertexte"/>
                <w:rFonts w:ascii="Times New Roman" w:hAnsi="Times New Roman" w:cs="Times New Roman"/>
                <w:b/>
                <w:noProof/>
              </w:rPr>
              <w:t>Utilisation des terres et changements d’affectation des terres</w:t>
            </w:r>
            <w:r w:rsidR="0036687F">
              <w:rPr>
                <w:noProof/>
                <w:webHidden/>
              </w:rPr>
              <w:tab/>
            </w:r>
            <w:r w:rsidR="0036687F">
              <w:rPr>
                <w:noProof/>
                <w:webHidden/>
              </w:rPr>
              <w:fldChar w:fldCharType="begin"/>
            </w:r>
            <w:r w:rsidR="0036687F">
              <w:rPr>
                <w:noProof/>
                <w:webHidden/>
              </w:rPr>
              <w:instrText xml:space="preserve"> PAGEREF _Toc533413777 \h </w:instrText>
            </w:r>
            <w:r w:rsidR="0036687F">
              <w:rPr>
                <w:noProof/>
                <w:webHidden/>
              </w:rPr>
            </w:r>
            <w:r w:rsidR="0036687F">
              <w:rPr>
                <w:noProof/>
                <w:webHidden/>
              </w:rPr>
              <w:fldChar w:fldCharType="separate"/>
            </w:r>
            <w:r w:rsidR="00C47BFF">
              <w:rPr>
                <w:noProof/>
                <w:webHidden/>
              </w:rPr>
              <w:t>142</w:t>
            </w:r>
            <w:r w:rsidR="0036687F">
              <w:rPr>
                <w:noProof/>
                <w:webHidden/>
              </w:rPr>
              <w:fldChar w:fldCharType="end"/>
            </w:r>
          </w:hyperlink>
        </w:p>
        <w:p w14:paraId="065A9C80" w14:textId="76CDD66E" w:rsidR="0036687F" w:rsidRDefault="00A14142">
          <w:pPr>
            <w:pStyle w:val="TM3"/>
            <w:tabs>
              <w:tab w:val="right" w:leader="dot" w:pos="9060"/>
            </w:tabs>
            <w:rPr>
              <w:rFonts w:eastAsiaTheme="minorEastAsia"/>
              <w:noProof/>
              <w:lang w:eastAsia="fr-FR"/>
            </w:rPr>
          </w:pPr>
          <w:hyperlink w:anchor="_Toc533413778" w:history="1">
            <w:r w:rsidR="0036687F" w:rsidRPr="00084752">
              <w:rPr>
                <w:rStyle w:val="Lienhypertexte"/>
                <w:rFonts w:ascii="Times New Roman" w:hAnsi="Times New Roman" w:cs="Times New Roman"/>
                <w:b/>
                <w:noProof/>
              </w:rPr>
              <w:t>7.1.2. Pressions principales et facteurs de changement exercés sur la biodiversité</w:t>
            </w:r>
            <w:r w:rsidR="0036687F">
              <w:rPr>
                <w:noProof/>
                <w:webHidden/>
              </w:rPr>
              <w:tab/>
            </w:r>
            <w:r w:rsidR="0036687F">
              <w:rPr>
                <w:noProof/>
                <w:webHidden/>
              </w:rPr>
              <w:fldChar w:fldCharType="begin"/>
            </w:r>
            <w:r w:rsidR="0036687F">
              <w:rPr>
                <w:noProof/>
                <w:webHidden/>
              </w:rPr>
              <w:instrText xml:space="preserve"> PAGEREF _Toc533413778 \h </w:instrText>
            </w:r>
            <w:r w:rsidR="0036687F">
              <w:rPr>
                <w:noProof/>
                <w:webHidden/>
              </w:rPr>
            </w:r>
            <w:r w:rsidR="0036687F">
              <w:rPr>
                <w:noProof/>
                <w:webHidden/>
              </w:rPr>
              <w:fldChar w:fldCharType="separate"/>
            </w:r>
            <w:r w:rsidR="00C47BFF">
              <w:rPr>
                <w:noProof/>
                <w:webHidden/>
              </w:rPr>
              <w:t>156</w:t>
            </w:r>
            <w:r w:rsidR="0036687F">
              <w:rPr>
                <w:noProof/>
                <w:webHidden/>
              </w:rPr>
              <w:fldChar w:fldCharType="end"/>
            </w:r>
          </w:hyperlink>
        </w:p>
        <w:p w14:paraId="5D3284AF" w14:textId="3E16EBA4" w:rsidR="0036687F" w:rsidRDefault="00A14142">
          <w:pPr>
            <w:pStyle w:val="TM2"/>
            <w:tabs>
              <w:tab w:val="right" w:leader="dot" w:pos="9060"/>
            </w:tabs>
            <w:rPr>
              <w:rFonts w:eastAsiaTheme="minorEastAsia"/>
              <w:noProof/>
              <w:lang w:eastAsia="fr-FR"/>
            </w:rPr>
          </w:pPr>
          <w:hyperlink w:anchor="_Toc533413779" w:history="1">
            <w:r w:rsidR="0036687F" w:rsidRPr="00084752">
              <w:rPr>
                <w:rStyle w:val="Lienhypertexte"/>
                <w:rFonts w:ascii="Times New Roman" w:hAnsi="Times New Roman" w:cs="Times New Roman"/>
                <w:b/>
                <w:noProof/>
              </w:rPr>
              <w:t>7.2. Mesures pour améliorer la mise en œuvre de la convention</w:t>
            </w:r>
            <w:r w:rsidR="0036687F">
              <w:rPr>
                <w:noProof/>
                <w:webHidden/>
              </w:rPr>
              <w:tab/>
            </w:r>
            <w:r w:rsidR="0036687F">
              <w:rPr>
                <w:noProof/>
                <w:webHidden/>
              </w:rPr>
              <w:fldChar w:fldCharType="begin"/>
            </w:r>
            <w:r w:rsidR="0036687F">
              <w:rPr>
                <w:noProof/>
                <w:webHidden/>
              </w:rPr>
              <w:instrText xml:space="preserve"> PAGEREF _Toc533413779 \h </w:instrText>
            </w:r>
            <w:r w:rsidR="0036687F">
              <w:rPr>
                <w:noProof/>
                <w:webHidden/>
              </w:rPr>
            </w:r>
            <w:r w:rsidR="0036687F">
              <w:rPr>
                <w:noProof/>
                <w:webHidden/>
              </w:rPr>
              <w:fldChar w:fldCharType="separate"/>
            </w:r>
            <w:r w:rsidR="00C47BFF">
              <w:rPr>
                <w:noProof/>
                <w:webHidden/>
              </w:rPr>
              <w:t>156</w:t>
            </w:r>
            <w:r w:rsidR="0036687F">
              <w:rPr>
                <w:noProof/>
                <w:webHidden/>
              </w:rPr>
              <w:fldChar w:fldCharType="end"/>
            </w:r>
          </w:hyperlink>
        </w:p>
        <w:p w14:paraId="76191187" w14:textId="088BBD96" w:rsidR="0036687F" w:rsidRDefault="00A14142">
          <w:pPr>
            <w:pStyle w:val="TM3"/>
            <w:tabs>
              <w:tab w:val="right" w:leader="dot" w:pos="9060"/>
            </w:tabs>
            <w:rPr>
              <w:rFonts w:eastAsiaTheme="minorEastAsia"/>
              <w:noProof/>
              <w:lang w:eastAsia="fr-FR"/>
            </w:rPr>
          </w:pPr>
          <w:hyperlink w:anchor="_Toc533413780" w:history="1">
            <w:r w:rsidR="0036687F" w:rsidRPr="00084752">
              <w:rPr>
                <w:rStyle w:val="Lienhypertexte"/>
                <w:rFonts w:ascii="Times New Roman" w:hAnsi="Times New Roman" w:cs="Times New Roman"/>
                <w:b/>
                <w:noProof/>
              </w:rPr>
              <w:t>7.2.1. Mise en œuvre des SPANB</w:t>
            </w:r>
            <w:r w:rsidR="0036687F">
              <w:rPr>
                <w:noProof/>
                <w:webHidden/>
              </w:rPr>
              <w:tab/>
            </w:r>
            <w:r w:rsidR="0036687F">
              <w:rPr>
                <w:noProof/>
                <w:webHidden/>
              </w:rPr>
              <w:fldChar w:fldCharType="begin"/>
            </w:r>
            <w:r w:rsidR="0036687F">
              <w:rPr>
                <w:noProof/>
                <w:webHidden/>
              </w:rPr>
              <w:instrText xml:space="preserve"> PAGEREF _Toc533413780 \h </w:instrText>
            </w:r>
            <w:r w:rsidR="0036687F">
              <w:rPr>
                <w:noProof/>
                <w:webHidden/>
              </w:rPr>
            </w:r>
            <w:r w:rsidR="0036687F">
              <w:rPr>
                <w:noProof/>
                <w:webHidden/>
              </w:rPr>
              <w:fldChar w:fldCharType="separate"/>
            </w:r>
            <w:r w:rsidR="00C47BFF">
              <w:rPr>
                <w:noProof/>
                <w:webHidden/>
              </w:rPr>
              <w:t>156</w:t>
            </w:r>
            <w:r w:rsidR="0036687F">
              <w:rPr>
                <w:noProof/>
                <w:webHidden/>
              </w:rPr>
              <w:fldChar w:fldCharType="end"/>
            </w:r>
          </w:hyperlink>
        </w:p>
        <w:p w14:paraId="3AC24DB9" w14:textId="146048D4" w:rsidR="0036687F" w:rsidRDefault="00A14142">
          <w:pPr>
            <w:pStyle w:val="TM3"/>
            <w:tabs>
              <w:tab w:val="right" w:leader="dot" w:pos="9060"/>
            </w:tabs>
            <w:rPr>
              <w:rFonts w:eastAsiaTheme="minorEastAsia"/>
              <w:noProof/>
              <w:lang w:eastAsia="fr-FR"/>
            </w:rPr>
          </w:pPr>
          <w:hyperlink w:anchor="_Toc533413781" w:history="1">
            <w:r w:rsidR="0036687F" w:rsidRPr="00084752">
              <w:rPr>
                <w:rStyle w:val="Lienhypertexte"/>
                <w:rFonts w:ascii="Times New Roman" w:hAnsi="Times New Roman" w:cs="Times New Roman"/>
                <w:b/>
                <w:noProof/>
              </w:rPr>
              <w:t>7.2.2. Mesures prises pour réaliser les OAB 2020</w:t>
            </w:r>
            <w:r w:rsidR="0036687F">
              <w:rPr>
                <w:noProof/>
                <w:webHidden/>
              </w:rPr>
              <w:tab/>
            </w:r>
            <w:r w:rsidR="0036687F">
              <w:rPr>
                <w:noProof/>
                <w:webHidden/>
              </w:rPr>
              <w:fldChar w:fldCharType="begin"/>
            </w:r>
            <w:r w:rsidR="0036687F">
              <w:rPr>
                <w:noProof/>
                <w:webHidden/>
              </w:rPr>
              <w:instrText xml:space="preserve"> PAGEREF _Toc533413781 \h </w:instrText>
            </w:r>
            <w:r w:rsidR="0036687F">
              <w:rPr>
                <w:noProof/>
                <w:webHidden/>
              </w:rPr>
            </w:r>
            <w:r w:rsidR="0036687F">
              <w:rPr>
                <w:noProof/>
                <w:webHidden/>
              </w:rPr>
              <w:fldChar w:fldCharType="separate"/>
            </w:r>
            <w:r w:rsidR="00C47BFF">
              <w:rPr>
                <w:noProof/>
                <w:webHidden/>
              </w:rPr>
              <w:t>157</w:t>
            </w:r>
            <w:r w:rsidR="0036687F">
              <w:rPr>
                <w:noProof/>
                <w:webHidden/>
              </w:rPr>
              <w:fldChar w:fldCharType="end"/>
            </w:r>
          </w:hyperlink>
        </w:p>
        <w:p w14:paraId="4B2C786A" w14:textId="605F18E0" w:rsidR="0036687F" w:rsidRDefault="00A14142">
          <w:pPr>
            <w:pStyle w:val="TM3"/>
            <w:tabs>
              <w:tab w:val="right" w:leader="dot" w:pos="9060"/>
            </w:tabs>
            <w:rPr>
              <w:rFonts w:eastAsiaTheme="minorEastAsia"/>
              <w:noProof/>
              <w:lang w:eastAsia="fr-FR"/>
            </w:rPr>
          </w:pPr>
          <w:hyperlink w:anchor="_Toc533413782" w:history="1">
            <w:r w:rsidR="0036687F" w:rsidRPr="00084752">
              <w:rPr>
                <w:rStyle w:val="Lienhypertexte"/>
                <w:rFonts w:ascii="Times New Roman" w:hAnsi="Times New Roman" w:cs="Times New Roman"/>
                <w:b/>
                <w:noProof/>
              </w:rPr>
              <w:t>7.2.3. Mécanismes de soutien pour la mise en œuvre, la législation, le financement, le développement de compétence, la coordination, l’intégration au niveau national</w:t>
            </w:r>
            <w:r w:rsidR="0036687F">
              <w:rPr>
                <w:noProof/>
                <w:webHidden/>
              </w:rPr>
              <w:tab/>
            </w:r>
            <w:r w:rsidR="0036687F">
              <w:rPr>
                <w:noProof/>
                <w:webHidden/>
              </w:rPr>
              <w:fldChar w:fldCharType="begin"/>
            </w:r>
            <w:r w:rsidR="0036687F">
              <w:rPr>
                <w:noProof/>
                <w:webHidden/>
              </w:rPr>
              <w:instrText xml:space="preserve"> PAGEREF _Toc533413782 \h </w:instrText>
            </w:r>
            <w:r w:rsidR="0036687F">
              <w:rPr>
                <w:noProof/>
                <w:webHidden/>
              </w:rPr>
            </w:r>
            <w:r w:rsidR="0036687F">
              <w:rPr>
                <w:noProof/>
                <w:webHidden/>
              </w:rPr>
              <w:fldChar w:fldCharType="separate"/>
            </w:r>
            <w:r w:rsidR="00C47BFF">
              <w:rPr>
                <w:noProof/>
                <w:webHidden/>
              </w:rPr>
              <w:t>157</w:t>
            </w:r>
            <w:r w:rsidR="0036687F">
              <w:rPr>
                <w:noProof/>
                <w:webHidden/>
              </w:rPr>
              <w:fldChar w:fldCharType="end"/>
            </w:r>
          </w:hyperlink>
        </w:p>
        <w:p w14:paraId="04145BEB" w14:textId="2915A58C" w:rsidR="0036687F" w:rsidRDefault="00A14142">
          <w:pPr>
            <w:pStyle w:val="TM3"/>
            <w:tabs>
              <w:tab w:val="right" w:leader="dot" w:pos="9060"/>
            </w:tabs>
            <w:rPr>
              <w:rFonts w:eastAsiaTheme="minorEastAsia"/>
              <w:noProof/>
              <w:lang w:eastAsia="fr-FR"/>
            </w:rPr>
          </w:pPr>
          <w:hyperlink w:anchor="_Toc533413783" w:history="1">
            <w:r w:rsidR="0036687F" w:rsidRPr="00084752">
              <w:rPr>
                <w:rStyle w:val="Lienhypertexte"/>
                <w:rFonts w:ascii="Times New Roman" w:hAnsi="Times New Roman" w:cs="Times New Roman"/>
                <w:b/>
                <w:noProof/>
              </w:rPr>
              <w:t>7.2.4. Mécanismes de suivi et d’examen de la mise en œuvre de la SPANB</w:t>
            </w:r>
            <w:r w:rsidR="0036687F">
              <w:rPr>
                <w:noProof/>
                <w:webHidden/>
              </w:rPr>
              <w:tab/>
            </w:r>
            <w:r w:rsidR="0036687F">
              <w:rPr>
                <w:noProof/>
                <w:webHidden/>
              </w:rPr>
              <w:fldChar w:fldCharType="begin"/>
            </w:r>
            <w:r w:rsidR="0036687F">
              <w:rPr>
                <w:noProof/>
                <w:webHidden/>
              </w:rPr>
              <w:instrText xml:space="preserve"> PAGEREF _Toc533413783 \h </w:instrText>
            </w:r>
            <w:r w:rsidR="0036687F">
              <w:rPr>
                <w:noProof/>
                <w:webHidden/>
              </w:rPr>
            </w:r>
            <w:r w:rsidR="0036687F">
              <w:rPr>
                <w:noProof/>
                <w:webHidden/>
              </w:rPr>
              <w:fldChar w:fldCharType="separate"/>
            </w:r>
            <w:r w:rsidR="00C47BFF">
              <w:rPr>
                <w:noProof/>
                <w:webHidden/>
              </w:rPr>
              <w:t>158</w:t>
            </w:r>
            <w:r w:rsidR="0036687F">
              <w:rPr>
                <w:noProof/>
                <w:webHidden/>
              </w:rPr>
              <w:fldChar w:fldCharType="end"/>
            </w:r>
          </w:hyperlink>
        </w:p>
        <w:p w14:paraId="1C16FEF2" w14:textId="50C81795" w:rsidR="0036687F" w:rsidRDefault="00A14142">
          <w:pPr>
            <w:pStyle w:val="TM2"/>
            <w:tabs>
              <w:tab w:val="right" w:leader="dot" w:pos="9060"/>
            </w:tabs>
            <w:rPr>
              <w:rFonts w:eastAsiaTheme="minorEastAsia"/>
              <w:noProof/>
              <w:lang w:eastAsia="fr-FR"/>
            </w:rPr>
          </w:pPr>
          <w:hyperlink w:anchor="_Toc533413784" w:history="1">
            <w:r w:rsidR="0036687F" w:rsidRPr="00084752">
              <w:rPr>
                <w:rStyle w:val="Lienhypertexte"/>
                <w:rFonts w:ascii="Times New Roman" w:hAnsi="Times New Roman" w:cs="Times New Roman"/>
                <w:b/>
                <w:noProof/>
              </w:rPr>
              <w:t>7.3. Relations nationales</w:t>
            </w:r>
            <w:r w:rsidR="0036687F">
              <w:rPr>
                <w:noProof/>
                <w:webHidden/>
              </w:rPr>
              <w:tab/>
            </w:r>
            <w:r w:rsidR="0036687F">
              <w:rPr>
                <w:noProof/>
                <w:webHidden/>
              </w:rPr>
              <w:fldChar w:fldCharType="begin"/>
            </w:r>
            <w:r w:rsidR="0036687F">
              <w:rPr>
                <w:noProof/>
                <w:webHidden/>
              </w:rPr>
              <w:instrText xml:space="preserve"> PAGEREF _Toc533413784 \h </w:instrText>
            </w:r>
            <w:r w:rsidR="0036687F">
              <w:rPr>
                <w:noProof/>
                <w:webHidden/>
              </w:rPr>
            </w:r>
            <w:r w:rsidR="0036687F">
              <w:rPr>
                <w:noProof/>
                <w:webHidden/>
              </w:rPr>
              <w:fldChar w:fldCharType="separate"/>
            </w:r>
            <w:r w:rsidR="00C47BFF">
              <w:rPr>
                <w:noProof/>
                <w:webHidden/>
              </w:rPr>
              <w:t>159</w:t>
            </w:r>
            <w:r w:rsidR="0036687F">
              <w:rPr>
                <w:noProof/>
                <w:webHidden/>
              </w:rPr>
              <w:fldChar w:fldCharType="end"/>
            </w:r>
          </w:hyperlink>
        </w:p>
        <w:p w14:paraId="393F42B6" w14:textId="7F7FDAF8" w:rsidR="0036687F" w:rsidRDefault="00A14142">
          <w:pPr>
            <w:pStyle w:val="TM3"/>
            <w:tabs>
              <w:tab w:val="right" w:leader="dot" w:pos="9060"/>
            </w:tabs>
            <w:rPr>
              <w:rFonts w:eastAsiaTheme="minorEastAsia"/>
              <w:noProof/>
              <w:lang w:eastAsia="fr-FR"/>
            </w:rPr>
          </w:pPr>
          <w:hyperlink w:anchor="_Toc533413785" w:history="1">
            <w:r w:rsidR="0036687F" w:rsidRPr="00084752">
              <w:rPr>
                <w:rStyle w:val="Lienhypertexte"/>
                <w:rFonts w:ascii="Times New Roman" w:hAnsi="Times New Roman" w:cs="Times New Roman"/>
                <w:b/>
                <w:noProof/>
              </w:rPr>
              <w:t>7.3.1. CDB</w:t>
            </w:r>
            <w:r w:rsidR="0036687F">
              <w:rPr>
                <w:noProof/>
                <w:webHidden/>
              </w:rPr>
              <w:tab/>
            </w:r>
            <w:r w:rsidR="0036687F">
              <w:rPr>
                <w:noProof/>
                <w:webHidden/>
              </w:rPr>
              <w:fldChar w:fldCharType="begin"/>
            </w:r>
            <w:r w:rsidR="0036687F">
              <w:rPr>
                <w:noProof/>
                <w:webHidden/>
              </w:rPr>
              <w:instrText xml:space="preserve"> PAGEREF _Toc533413785 \h </w:instrText>
            </w:r>
            <w:r w:rsidR="0036687F">
              <w:rPr>
                <w:noProof/>
                <w:webHidden/>
              </w:rPr>
            </w:r>
            <w:r w:rsidR="0036687F">
              <w:rPr>
                <w:noProof/>
                <w:webHidden/>
              </w:rPr>
              <w:fldChar w:fldCharType="separate"/>
            </w:r>
            <w:r w:rsidR="00C47BFF">
              <w:rPr>
                <w:noProof/>
                <w:webHidden/>
              </w:rPr>
              <w:t>159</w:t>
            </w:r>
            <w:r w:rsidR="0036687F">
              <w:rPr>
                <w:noProof/>
                <w:webHidden/>
              </w:rPr>
              <w:fldChar w:fldCharType="end"/>
            </w:r>
          </w:hyperlink>
        </w:p>
        <w:p w14:paraId="4AEF0DD1" w14:textId="120FF64F" w:rsidR="0036687F" w:rsidRDefault="00A14142">
          <w:pPr>
            <w:pStyle w:val="TM3"/>
            <w:tabs>
              <w:tab w:val="right" w:leader="dot" w:pos="9060"/>
            </w:tabs>
            <w:rPr>
              <w:rFonts w:eastAsiaTheme="minorEastAsia"/>
              <w:noProof/>
              <w:lang w:eastAsia="fr-FR"/>
            </w:rPr>
          </w:pPr>
          <w:hyperlink w:anchor="_Toc533413786" w:history="1">
            <w:r w:rsidR="0036687F" w:rsidRPr="00084752">
              <w:rPr>
                <w:rStyle w:val="Lienhypertexte"/>
                <w:rFonts w:ascii="Times New Roman" w:hAnsi="Times New Roman" w:cs="Times New Roman"/>
                <w:b/>
                <w:noProof/>
              </w:rPr>
              <w:t>7.3.2. Protocole de Cartagena sur la biosécurité</w:t>
            </w:r>
            <w:r w:rsidR="0036687F">
              <w:rPr>
                <w:noProof/>
                <w:webHidden/>
              </w:rPr>
              <w:tab/>
            </w:r>
            <w:r w:rsidR="0036687F">
              <w:rPr>
                <w:noProof/>
                <w:webHidden/>
              </w:rPr>
              <w:fldChar w:fldCharType="begin"/>
            </w:r>
            <w:r w:rsidR="0036687F">
              <w:rPr>
                <w:noProof/>
                <w:webHidden/>
              </w:rPr>
              <w:instrText xml:space="preserve"> PAGEREF _Toc533413786 \h </w:instrText>
            </w:r>
            <w:r w:rsidR="0036687F">
              <w:rPr>
                <w:noProof/>
                <w:webHidden/>
              </w:rPr>
            </w:r>
            <w:r w:rsidR="0036687F">
              <w:rPr>
                <w:noProof/>
                <w:webHidden/>
              </w:rPr>
              <w:fldChar w:fldCharType="separate"/>
            </w:r>
            <w:r w:rsidR="00C47BFF">
              <w:rPr>
                <w:noProof/>
                <w:webHidden/>
              </w:rPr>
              <w:t>160</w:t>
            </w:r>
            <w:r w:rsidR="0036687F">
              <w:rPr>
                <w:noProof/>
                <w:webHidden/>
              </w:rPr>
              <w:fldChar w:fldCharType="end"/>
            </w:r>
          </w:hyperlink>
        </w:p>
        <w:p w14:paraId="4FF1F2A0" w14:textId="1BEA1221" w:rsidR="0036687F" w:rsidRDefault="00A14142">
          <w:pPr>
            <w:pStyle w:val="TM3"/>
            <w:tabs>
              <w:tab w:val="right" w:leader="dot" w:pos="9060"/>
            </w:tabs>
            <w:rPr>
              <w:rFonts w:eastAsiaTheme="minorEastAsia"/>
              <w:noProof/>
              <w:lang w:eastAsia="fr-FR"/>
            </w:rPr>
          </w:pPr>
          <w:hyperlink w:anchor="_Toc533413787" w:history="1">
            <w:r w:rsidR="0036687F" w:rsidRPr="00084752">
              <w:rPr>
                <w:rStyle w:val="Lienhypertexte"/>
                <w:rFonts w:ascii="Times New Roman" w:hAnsi="Times New Roman" w:cs="Times New Roman"/>
                <w:b/>
                <w:noProof/>
              </w:rPr>
              <w:t>7.3.3. Protocole de Nagoya sur l'accès et le partage des avantages</w:t>
            </w:r>
            <w:r w:rsidR="0036687F">
              <w:rPr>
                <w:noProof/>
                <w:webHidden/>
              </w:rPr>
              <w:tab/>
            </w:r>
            <w:r w:rsidR="0036687F">
              <w:rPr>
                <w:noProof/>
                <w:webHidden/>
              </w:rPr>
              <w:fldChar w:fldCharType="begin"/>
            </w:r>
            <w:r w:rsidR="0036687F">
              <w:rPr>
                <w:noProof/>
                <w:webHidden/>
              </w:rPr>
              <w:instrText xml:space="preserve"> PAGEREF _Toc533413787 \h </w:instrText>
            </w:r>
            <w:r w:rsidR="0036687F">
              <w:rPr>
                <w:noProof/>
                <w:webHidden/>
              </w:rPr>
            </w:r>
            <w:r w:rsidR="0036687F">
              <w:rPr>
                <w:noProof/>
                <w:webHidden/>
              </w:rPr>
              <w:fldChar w:fldCharType="separate"/>
            </w:r>
            <w:r w:rsidR="00C47BFF">
              <w:rPr>
                <w:noProof/>
                <w:webHidden/>
              </w:rPr>
              <w:t>160</w:t>
            </w:r>
            <w:r w:rsidR="0036687F">
              <w:rPr>
                <w:noProof/>
                <w:webHidden/>
              </w:rPr>
              <w:fldChar w:fldCharType="end"/>
            </w:r>
          </w:hyperlink>
        </w:p>
        <w:p w14:paraId="0FF5CCF4" w14:textId="3A0BB7E4" w:rsidR="0036687F" w:rsidRDefault="00A14142">
          <w:pPr>
            <w:pStyle w:val="TM1"/>
            <w:tabs>
              <w:tab w:val="right" w:leader="dot" w:pos="9060"/>
            </w:tabs>
            <w:rPr>
              <w:rFonts w:eastAsiaTheme="minorEastAsia"/>
              <w:noProof/>
              <w:lang w:eastAsia="fr-FR"/>
            </w:rPr>
          </w:pPr>
          <w:hyperlink w:anchor="_Toc533413788" w:history="1">
            <w:r w:rsidR="0036687F" w:rsidRPr="00084752">
              <w:rPr>
                <w:rStyle w:val="Lienhypertexte"/>
                <w:rFonts w:ascii="Times New Roman Gras" w:hAnsi="Times New Roman Gras" w:cs="Times New Roman"/>
                <w:b/>
                <w:caps/>
                <w:noProof/>
              </w:rPr>
              <w:t>Conclusion générale</w:t>
            </w:r>
            <w:r w:rsidR="0036687F">
              <w:rPr>
                <w:noProof/>
                <w:webHidden/>
              </w:rPr>
              <w:tab/>
            </w:r>
            <w:r w:rsidR="0036687F">
              <w:rPr>
                <w:noProof/>
                <w:webHidden/>
              </w:rPr>
              <w:fldChar w:fldCharType="begin"/>
            </w:r>
            <w:r w:rsidR="0036687F">
              <w:rPr>
                <w:noProof/>
                <w:webHidden/>
              </w:rPr>
              <w:instrText xml:space="preserve"> PAGEREF _Toc533413788 \h </w:instrText>
            </w:r>
            <w:r w:rsidR="0036687F">
              <w:rPr>
                <w:noProof/>
                <w:webHidden/>
              </w:rPr>
            </w:r>
            <w:r w:rsidR="0036687F">
              <w:rPr>
                <w:noProof/>
                <w:webHidden/>
              </w:rPr>
              <w:fldChar w:fldCharType="separate"/>
            </w:r>
            <w:r w:rsidR="00C47BFF">
              <w:rPr>
                <w:noProof/>
                <w:webHidden/>
              </w:rPr>
              <w:t>162</w:t>
            </w:r>
            <w:r w:rsidR="0036687F">
              <w:rPr>
                <w:noProof/>
                <w:webHidden/>
              </w:rPr>
              <w:fldChar w:fldCharType="end"/>
            </w:r>
          </w:hyperlink>
        </w:p>
        <w:p w14:paraId="63C46489" w14:textId="369F6620" w:rsidR="0036687F" w:rsidRDefault="00A14142">
          <w:pPr>
            <w:pStyle w:val="TM1"/>
            <w:tabs>
              <w:tab w:val="right" w:leader="dot" w:pos="9060"/>
            </w:tabs>
            <w:rPr>
              <w:rFonts w:eastAsiaTheme="minorEastAsia"/>
              <w:noProof/>
              <w:lang w:eastAsia="fr-FR"/>
            </w:rPr>
          </w:pPr>
          <w:hyperlink w:anchor="_Toc533413789" w:history="1">
            <w:r w:rsidR="0036687F" w:rsidRPr="00084752">
              <w:rPr>
                <w:rStyle w:val="Lienhypertexte"/>
                <w:rFonts w:ascii="Times New Roman" w:hAnsi="Times New Roman" w:cs="Times New Roman"/>
                <w:b/>
                <w:noProof/>
              </w:rPr>
              <w:t>Bibliographie</w:t>
            </w:r>
            <w:r w:rsidR="0036687F">
              <w:rPr>
                <w:noProof/>
                <w:webHidden/>
              </w:rPr>
              <w:tab/>
            </w:r>
            <w:r w:rsidR="0036687F">
              <w:rPr>
                <w:noProof/>
                <w:webHidden/>
              </w:rPr>
              <w:fldChar w:fldCharType="begin"/>
            </w:r>
            <w:r w:rsidR="0036687F">
              <w:rPr>
                <w:noProof/>
                <w:webHidden/>
              </w:rPr>
              <w:instrText xml:space="preserve"> PAGEREF _Toc533413789 \h </w:instrText>
            </w:r>
            <w:r w:rsidR="0036687F">
              <w:rPr>
                <w:noProof/>
                <w:webHidden/>
              </w:rPr>
            </w:r>
            <w:r w:rsidR="0036687F">
              <w:rPr>
                <w:noProof/>
                <w:webHidden/>
              </w:rPr>
              <w:fldChar w:fldCharType="separate"/>
            </w:r>
            <w:r w:rsidR="00C47BFF">
              <w:rPr>
                <w:noProof/>
                <w:webHidden/>
              </w:rPr>
              <w:t>163</w:t>
            </w:r>
            <w:r w:rsidR="0036687F">
              <w:rPr>
                <w:noProof/>
                <w:webHidden/>
              </w:rPr>
              <w:fldChar w:fldCharType="end"/>
            </w:r>
          </w:hyperlink>
        </w:p>
        <w:p w14:paraId="0051C8F2" w14:textId="36EE56C5" w:rsidR="0036687F" w:rsidRDefault="00A14142">
          <w:pPr>
            <w:pStyle w:val="TM1"/>
            <w:tabs>
              <w:tab w:val="right" w:leader="dot" w:pos="9060"/>
            </w:tabs>
            <w:rPr>
              <w:rFonts w:eastAsiaTheme="minorEastAsia"/>
              <w:noProof/>
              <w:lang w:eastAsia="fr-FR"/>
            </w:rPr>
          </w:pPr>
          <w:hyperlink w:anchor="_Toc533413790" w:history="1">
            <w:r w:rsidR="0036687F" w:rsidRPr="00084752">
              <w:rPr>
                <w:rStyle w:val="Lienhypertexte"/>
                <w:rFonts w:ascii="Times New Roman Gras" w:hAnsi="Times New Roman Gras" w:cs="Times New Roman"/>
                <w:b/>
                <w:caps/>
                <w:noProof/>
              </w:rPr>
              <w:t>Annexes</w:t>
            </w:r>
            <w:r w:rsidR="0036687F">
              <w:rPr>
                <w:noProof/>
                <w:webHidden/>
              </w:rPr>
              <w:tab/>
            </w:r>
            <w:r w:rsidR="0036687F">
              <w:rPr>
                <w:noProof/>
                <w:webHidden/>
              </w:rPr>
              <w:fldChar w:fldCharType="begin"/>
            </w:r>
            <w:r w:rsidR="0036687F">
              <w:rPr>
                <w:noProof/>
                <w:webHidden/>
              </w:rPr>
              <w:instrText xml:space="preserve"> PAGEREF _Toc533413790 \h </w:instrText>
            </w:r>
            <w:r w:rsidR="0036687F">
              <w:rPr>
                <w:noProof/>
                <w:webHidden/>
              </w:rPr>
            </w:r>
            <w:r w:rsidR="0036687F">
              <w:rPr>
                <w:noProof/>
                <w:webHidden/>
              </w:rPr>
              <w:fldChar w:fldCharType="separate"/>
            </w:r>
            <w:r w:rsidR="00C47BFF">
              <w:rPr>
                <w:noProof/>
                <w:webHidden/>
              </w:rPr>
              <w:t>169</w:t>
            </w:r>
            <w:r w:rsidR="0036687F">
              <w:rPr>
                <w:noProof/>
                <w:webHidden/>
              </w:rPr>
              <w:fldChar w:fldCharType="end"/>
            </w:r>
          </w:hyperlink>
        </w:p>
        <w:p w14:paraId="631B6FC6" w14:textId="77777777" w:rsidR="00555B83" w:rsidRDefault="00620BEA">
          <w:r>
            <w:rPr>
              <w:b/>
              <w:bCs/>
            </w:rPr>
            <w:fldChar w:fldCharType="end"/>
          </w:r>
        </w:p>
      </w:sdtContent>
    </w:sdt>
    <w:p w14:paraId="7978A363" w14:textId="77777777" w:rsidR="00A76B9A" w:rsidRDefault="00A76B9A" w:rsidP="00DD7927">
      <w:pPr>
        <w:autoSpaceDE w:val="0"/>
        <w:autoSpaceDN w:val="0"/>
        <w:adjustRightInd w:val="0"/>
        <w:spacing w:after="0" w:line="240" w:lineRule="auto"/>
        <w:jc w:val="both"/>
        <w:rPr>
          <w:rFonts w:ascii="Times New Roman" w:hAnsi="Times New Roman" w:cs="Times New Roman"/>
          <w:b/>
          <w:sz w:val="24"/>
          <w:szCs w:val="24"/>
        </w:rPr>
      </w:pPr>
    </w:p>
    <w:p w14:paraId="2420F4E4" w14:textId="77777777" w:rsidR="00A76B9A" w:rsidRDefault="00A76B9A" w:rsidP="00DD7927">
      <w:pPr>
        <w:autoSpaceDE w:val="0"/>
        <w:autoSpaceDN w:val="0"/>
        <w:adjustRightInd w:val="0"/>
        <w:spacing w:after="0" w:line="240" w:lineRule="auto"/>
        <w:jc w:val="both"/>
        <w:rPr>
          <w:rFonts w:ascii="Times New Roman" w:hAnsi="Times New Roman" w:cs="Times New Roman"/>
          <w:b/>
          <w:sz w:val="24"/>
          <w:szCs w:val="24"/>
        </w:rPr>
      </w:pPr>
    </w:p>
    <w:p w14:paraId="2F1689DD" w14:textId="77777777" w:rsidR="00DD7927" w:rsidRPr="001633C1" w:rsidRDefault="00DD7927" w:rsidP="00DD7927">
      <w:pPr>
        <w:autoSpaceDE w:val="0"/>
        <w:autoSpaceDN w:val="0"/>
        <w:adjustRightInd w:val="0"/>
        <w:spacing w:after="0" w:line="240" w:lineRule="auto"/>
        <w:jc w:val="both"/>
        <w:rPr>
          <w:rFonts w:ascii="Times New Roman" w:hAnsi="Times New Roman" w:cs="Times New Roman"/>
          <w:b/>
          <w:sz w:val="24"/>
          <w:szCs w:val="24"/>
        </w:rPr>
      </w:pPr>
      <w:r w:rsidRPr="001633C1">
        <w:rPr>
          <w:rFonts w:ascii="Times New Roman" w:hAnsi="Times New Roman" w:cs="Times New Roman"/>
          <w:b/>
          <w:sz w:val="24"/>
          <w:szCs w:val="24"/>
        </w:rPr>
        <w:t>LISTE DES TABEAUX</w:t>
      </w:r>
    </w:p>
    <w:p w14:paraId="0EB3BAF4" w14:textId="77777777" w:rsidR="00DD7927" w:rsidRDefault="00DD7927" w:rsidP="00DD7927">
      <w:pPr>
        <w:autoSpaceDE w:val="0"/>
        <w:autoSpaceDN w:val="0"/>
        <w:adjustRightInd w:val="0"/>
        <w:spacing w:after="0" w:line="240" w:lineRule="auto"/>
        <w:jc w:val="both"/>
        <w:rPr>
          <w:rFonts w:ascii="Times New Roman" w:hAnsi="Times New Roman" w:cs="Times New Roman"/>
          <w:sz w:val="24"/>
          <w:szCs w:val="24"/>
        </w:rPr>
      </w:pPr>
    </w:p>
    <w:p w14:paraId="68F7FD96" w14:textId="75E82B77" w:rsidR="0036687F" w:rsidRDefault="00620BEA">
      <w:pPr>
        <w:pStyle w:val="Tabledesillustrations"/>
        <w:tabs>
          <w:tab w:val="right" w:leader="dot" w:pos="9060"/>
        </w:tabs>
        <w:rPr>
          <w:rFonts w:eastAsiaTheme="minorEastAsia"/>
          <w:noProof/>
          <w:lang w:eastAsia="fr-FR"/>
        </w:rPr>
      </w:pPr>
      <w:r>
        <w:rPr>
          <w:rFonts w:ascii="Times New Roman" w:hAnsi="Times New Roman" w:cs="Times New Roman"/>
          <w:sz w:val="24"/>
          <w:szCs w:val="24"/>
        </w:rPr>
        <w:fldChar w:fldCharType="begin"/>
      </w:r>
      <w:r w:rsidR="00A02AD3">
        <w:rPr>
          <w:rFonts w:ascii="Times New Roman" w:hAnsi="Times New Roman" w:cs="Times New Roman"/>
          <w:sz w:val="24"/>
          <w:szCs w:val="24"/>
        </w:rPr>
        <w:instrText xml:space="preserve"> TOC \h \z \c "Tableau" </w:instrText>
      </w:r>
      <w:r>
        <w:rPr>
          <w:rFonts w:ascii="Times New Roman" w:hAnsi="Times New Roman" w:cs="Times New Roman"/>
          <w:sz w:val="24"/>
          <w:szCs w:val="24"/>
        </w:rPr>
        <w:fldChar w:fldCharType="separate"/>
      </w:r>
      <w:hyperlink w:anchor="_Toc533413472" w:history="1">
        <w:r w:rsidR="0036687F" w:rsidRPr="00145495">
          <w:rPr>
            <w:rStyle w:val="Lienhypertexte"/>
            <w:rFonts w:ascii="Times New Roman" w:hAnsi="Times New Roman"/>
            <w:noProof/>
          </w:rPr>
          <w:t>Tableau 1: Nombre d’espèces de la Liste rouge (espèces à Statut IUCN) dans les classes de Vertébrés du Togo</w:t>
        </w:r>
        <w:r w:rsidR="0036687F">
          <w:rPr>
            <w:noProof/>
            <w:webHidden/>
          </w:rPr>
          <w:tab/>
        </w:r>
        <w:r w:rsidR="0036687F">
          <w:rPr>
            <w:noProof/>
            <w:webHidden/>
          </w:rPr>
          <w:fldChar w:fldCharType="begin"/>
        </w:r>
        <w:r w:rsidR="0036687F">
          <w:rPr>
            <w:noProof/>
            <w:webHidden/>
          </w:rPr>
          <w:instrText xml:space="preserve"> PAGEREF _Toc533413472 \h </w:instrText>
        </w:r>
        <w:r w:rsidR="0036687F">
          <w:rPr>
            <w:noProof/>
            <w:webHidden/>
          </w:rPr>
        </w:r>
        <w:r w:rsidR="0036687F">
          <w:rPr>
            <w:noProof/>
            <w:webHidden/>
          </w:rPr>
          <w:fldChar w:fldCharType="separate"/>
        </w:r>
        <w:r w:rsidR="00C47BFF">
          <w:rPr>
            <w:noProof/>
            <w:webHidden/>
          </w:rPr>
          <w:t>8</w:t>
        </w:r>
        <w:r w:rsidR="0036687F">
          <w:rPr>
            <w:noProof/>
            <w:webHidden/>
          </w:rPr>
          <w:fldChar w:fldCharType="end"/>
        </w:r>
      </w:hyperlink>
    </w:p>
    <w:p w14:paraId="0CC864D2" w14:textId="163A37A1" w:rsidR="0036687F" w:rsidRDefault="00A14142">
      <w:pPr>
        <w:pStyle w:val="Tabledesillustrations"/>
        <w:tabs>
          <w:tab w:val="right" w:leader="dot" w:pos="9060"/>
        </w:tabs>
        <w:rPr>
          <w:rFonts w:eastAsiaTheme="minorEastAsia"/>
          <w:noProof/>
          <w:lang w:eastAsia="fr-FR"/>
        </w:rPr>
      </w:pPr>
      <w:hyperlink w:anchor="_Toc533413473" w:history="1">
        <w:r w:rsidR="0036687F" w:rsidRPr="00145495">
          <w:rPr>
            <w:rStyle w:val="Lienhypertexte"/>
            <w:rFonts w:ascii="Times New Roman" w:hAnsi="Times New Roman"/>
            <w:noProof/>
          </w:rPr>
          <w:t>Tableau 2: Lien entre les Objectifs d’Aichi et les objectifs nationaux pour la biodiversité</w:t>
        </w:r>
        <w:r w:rsidR="0036687F">
          <w:rPr>
            <w:noProof/>
            <w:webHidden/>
          </w:rPr>
          <w:tab/>
        </w:r>
        <w:r w:rsidR="0036687F">
          <w:rPr>
            <w:noProof/>
            <w:webHidden/>
          </w:rPr>
          <w:fldChar w:fldCharType="begin"/>
        </w:r>
        <w:r w:rsidR="0036687F">
          <w:rPr>
            <w:noProof/>
            <w:webHidden/>
          </w:rPr>
          <w:instrText xml:space="preserve"> PAGEREF _Toc533413473 \h </w:instrText>
        </w:r>
        <w:r w:rsidR="0036687F">
          <w:rPr>
            <w:noProof/>
            <w:webHidden/>
          </w:rPr>
        </w:r>
        <w:r w:rsidR="0036687F">
          <w:rPr>
            <w:noProof/>
            <w:webHidden/>
          </w:rPr>
          <w:fldChar w:fldCharType="separate"/>
        </w:r>
        <w:r w:rsidR="00C47BFF">
          <w:rPr>
            <w:noProof/>
            <w:webHidden/>
          </w:rPr>
          <w:t>12</w:t>
        </w:r>
        <w:r w:rsidR="0036687F">
          <w:rPr>
            <w:noProof/>
            <w:webHidden/>
          </w:rPr>
          <w:fldChar w:fldCharType="end"/>
        </w:r>
      </w:hyperlink>
    </w:p>
    <w:p w14:paraId="7ED09364" w14:textId="6865322E" w:rsidR="0036687F" w:rsidRDefault="00A14142">
      <w:pPr>
        <w:pStyle w:val="Tabledesillustrations"/>
        <w:tabs>
          <w:tab w:val="right" w:leader="dot" w:pos="9060"/>
        </w:tabs>
        <w:rPr>
          <w:rFonts w:eastAsiaTheme="minorEastAsia"/>
          <w:noProof/>
          <w:lang w:eastAsia="fr-FR"/>
        </w:rPr>
      </w:pPr>
      <w:hyperlink w:anchor="_Toc533413474" w:history="1">
        <w:r w:rsidR="0036687F" w:rsidRPr="00145495">
          <w:rPr>
            <w:rStyle w:val="Lienhypertexte"/>
            <w:rFonts w:ascii="Times New Roman" w:hAnsi="Times New Roman"/>
            <w:noProof/>
          </w:rPr>
          <w:t>Tableau 3: Contenu des objectifs mondiaux et leur applicabilité au Togo</w:t>
        </w:r>
        <w:r w:rsidR="0036687F">
          <w:rPr>
            <w:noProof/>
            <w:webHidden/>
          </w:rPr>
          <w:tab/>
        </w:r>
        <w:r w:rsidR="0036687F">
          <w:rPr>
            <w:noProof/>
            <w:webHidden/>
          </w:rPr>
          <w:fldChar w:fldCharType="begin"/>
        </w:r>
        <w:r w:rsidR="0036687F">
          <w:rPr>
            <w:noProof/>
            <w:webHidden/>
          </w:rPr>
          <w:instrText xml:space="preserve"> PAGEREF _Toc533413474 \h </w:instrText>
        </w:r>
        <w:r w:rsidR="0036687F">
          <w:rPr>
            <w:noProof/>
            <w:webHidden/>
          </w:rPr>
        </w:r>
        <w:r w:rsidR="0036687F">
          <w:rPr>
            <w:noProof/>
            <w:webHidden/>
          </w:rPr>
          <w:fldChar w:fldCharType="separate"/>
        </w:r>
        <w:r w:rsidR="00C47BFF">
          <w:rPr>
            <w:noProof/>
            <w:webHidden/>
          </w:rPr>
          <w:t>21</w:t>
        </w:r>
        <w:r w:rsidR="0036687F">
          <w:rPr>
            <w:noProof/>
            <w:webHidden/>
          </w:rPr>
          <w:fldChar w:fldCharType="end"/>
        </w:r>
      </w:hyperlink>
    </w:p>
    <w:p w14:paraId="22B371FE" w14:textId="60DC55F6" w:rsidR="0036687F" w:rsidRDefault="00A14142">
      <w:pPr>
        <w:pStyle w:val="Tabledesillustrations"/>
        <w:tabs>
          <w:tab w:val="right" w:leader="dot" w:pos="9060"/>
        </w:tabs>
        <w:rPr>
          <w:rFonts w:eastAsiaTheme="minorEastAsia"/>
          <w:noProof/>
          <w:lang w:eastAsia="fr-FR"/>
        </w:rPr>
      </w:pPr>
      <w:hyperlink w:anchor="_Toc533413475" w:history="1">
        <w:r w:rsidR="0036687F" w:rsidRPr="00145495">
          <w:rPr>
            <w:rStyle w:val="Lienhypertexte"/>
            <w:rFonts w:ascii="Times New Roman" w:hAnsi="Times New Roman"/>
            <w:noProof/>
          </w:rPr>
          <w:t>Tableau 4: Actions menées dans la mise en œuvre de la SPANB</w:t>
        </w:r>
        <w:r w:rsidR="0036687F">
          <w:rPr>
            <w:noProof/>
            <w:webHidden/>
          </w:rPr>
          <w:tab/>
        </w:r>
        <w:r w:rsidR="0036687F">
          <w:rPr>
            <w:noProof/>
            <w:webHidden/>
          </w:rPr>
          <w:fldChar w:fldCharType="begin"/>
        </w:r>
        <w:r w:rsidR="0036687F">
          <w:rPr>
            <w:noProof/>
            <w:webHidden/>
          </w:rPr>
          <w:instrText xml:space="preserve"> PAGEREF _Toc533413475 \h </w:instrText>
        </w:r>
        <w:r w:rsidR="0036687F">
          <w:rPr>
            <w:noProof/>
            <w:webHidden/>
          </w:rPr>
        </w:r>
        <w:r w:rsidR="0036687F">
          <w:rPr>
            <w:noProof/>
            <w:webHidden/>
          </w:rPr>
          <w:fldChar w:fldCharType="separate"/>
        </w:r>
        <w:r w:rsidR="00C47BFF">
          <w:rPr>
            <w:noProof/>
            <w:webHidden/>
          </w:rPr>
          <w:t>27</w:t>
        </w:r>
        <w:r w:rsidR="0036687F">
          <w:rPr>
            <w:noProof/>
            <w:webHidden/>
          </w:rPr>
          <w:fldChar w:fldCharType="end"/>
        </w:r>
      </w:hyperlink>
    </w:p>
    <w:p w14:paraId="5928F11E" w14:textId="0443EA6F" w:rsidR="0036687F" w:rsidRDefault="00A14142">
      <w:pPr>
        <w:pStyle w:val="Tabledesillustrations"/>
        <w:tabs>
          <w:tab w:val="right" w:leader="dot" w:pos="9060"/>
        </w:tabs>
        <w:rPr>
          <w:rFonts w:eastAsiaTheme="minorEastAsia"/>
          <w:noProof/>
          <w:lang w:eastAsia="fr-FR"/>
        </w:rPr>
      </w:pPr>
      <w:hyperlink w:anchor="_Toc533413476" w:history="1">
        <w:r w:rsidR="0036687F" w:rsidRPr="00145495">
          <w:rPr>
            <w:rStyle w:val="Lienhypertexte"/>
            <w:rFonts w:ascii="Times New Roman" w:hAnsi="Times New Roman"/>
            <w:noProof/>
          </w:rPr>
          <w:t>Tableau 5 : Critères d’évaluation quantitative de la mise en œuvre des objectifs nationaux pour la conservation de la biodiversité</w:t>
        </w:r>
        <w:r w:rsidR="0036687F">
          <w:rPr>
            <w:noProof/>
            <w:webHidden/>
          </w:rPr>
          <w:tab/>
        </w:r>
        <w:r w:rsidR="0036687F">
          <w:rPr>
            <w:noProof/>
            <w:webHidden/>
          </w:rPr>
          <w:fldChar w:fldCharType="begin"/>
        </w:r>
        <w:r w:rsidR="0036687F">
          <w:rPr>
            <w:noProof/>
            <w:webHidden/>
          </w:rPr>
          <w:instrText xml:space="preserve"> PAGEREF _Toc533413476 \h </w:instrText>
        </w:r>
        <w:r w:rsidR="0036687F">
          <w:rPr>
            <w:noProof/>
            <w:webHidden/>
          </w:rPr>
        </w:r>
        <w:r w:rsidR="0036687F">
          <w:rPr>
            <w:noProof/>
            <w:webHidden/>
          </w:rPr>
          <w:fldChar w:fldCharType="separate"/>
        </w:r>
        <w:r w:rsidR="00C47BFF">
          <w:rPr>
            <w:noProof/>
            <w:webHidden/>
          </w:rPr>
          <w:t>47</w:t>
        </w:r>
        <w:r w:rsidR="0036687F">
          <w:rPr>
            <w:noProof/>
            <w:webHidden/>
          </w:rPr>
          <w:fldChar w:fldCharType="end"/>
        </w:r>
      </w:hyperlink>
    </w:p>
    <w:p w14:paraId="12B6EF8E" w14:textId="60D6F88B" w:rsidR="0036687F" w:rsidRDefault="00A14142">
      <w:pPr>
        <w:pStyle w:val="Tabledesillustrations"/>
        <w:tabs>
          <w:tab w:val="right" w:leader="dot" w:pos="9060"/>
        </w:tabs>
        <w:rPr>
          <w:rFonts w:eastAsiaTheme="minorEastAsia"/>
          <w:noProof/>
          <w:lang w:eastAsia="fr-FR"/>
        </w:rPr>
      </w:pPr>
      <w:hyperlink w:anchor="_Toc533413477" w:history="1">
        <w:r w:rsidR="0036687F" w:rsidRPr="00145495">
          <w:rPr>
            <w:rStyle w:val="Lienhypertexte"/>
            <w:rFonts w:ascii="Times New Roman" w:hAnsi="Times New Roman"/>
            <w:noProof/>
          </w:rPr>
          <w:t>Tableau 6: Niveau actuel de progrès accomplis dans la réalisation de chaque objectif national</w:t>
        </w:r>
        <w:r w:rsidR="0036687F">
          <w:rPr>
            <w:noProof/>
            <w:webHidden/>
          </w:rPr>
          <w:tab/>
        </w:r>
        <w:r w:rsidR="0036687F">
          <w:rPr>
            <w:noProof/>
            <w:webHidden/>
          </w:rPr>
          <w:fldChar w:fldCharType="begin"/>
        </w:r>
        <w:r w:rsidR="0036687F">
          <w:rPr>
            <w:noProof/>
            <w:webHidden/>
          </w:rPr>
          <w:instrText xml:space="preserve"> PAGEREF _Toc533413477 \h </w:instrText>
        </w:r>
        <w:r w:rsidR="0036687F">
          <w:rPr>
            <w:noProof/>
            <w:webHidden/>
          </w:rPr>
        </w:r>
        <w:r w:rsidR="0036687F">
          <w:rPr>
            <w:noProof/>
            <w:webHidden/>
          </w:rPr>
          <w:fldChar w:fldCharType="separate"/>
        </w:r>
        <w:r w:rsidR="00C47BFF">
          <w:rPr>
            <w:noProof/>
            <w:webHidden/>
          </w:rPr>
          <w:t>49</w:t>
        </w:r>
        <w:r w:rsidR="0036687F">
          <w:rPr>
            <w:noProof/>
            <w:webHidden/>
          </w:rPr>
          <w:fldChar w:fldCharType="end"/>
        </w:r>
      </w:hyperlink>
    </w:p>
    <w:p w14:paraId="0F10E465" w14:textId="3CA01C31" w:rsidR="0036687F" w:rsidRDefault="00A14142">
      <w:pPr>
        <w:pStyle w:val="Tabledesillustrations"/>
        <w:tabs>
          <w:tab w:val="right" w:leader="dot" w:pos="9060"/>
        </w:tabs>
        <w:rPr>
          <w:rFonts w:eastAsiaTheme="minorEastAsia"/>
          <w:noProof/>
          <w:lang w:eastAsia="fr-FR"/>
        </w:rPr>
      </w:pPr>
      <w:hyperlink w:anchor="_Toc533413478" w:history="1">
        <w:r w:rsidR="0036687F" w:rsidRPr="00145495">
          <w:rPr>
            <w:rStyle w:val="Lienhypertexte"/>
            <w:rFonts w:ascii="Times New Roman" w:hAnsi="Times New Roman"/>
            <w:noProof/>
          </w:rPr>
          <w:t>Tableau 7: Taux de couverture forestière des régions administratives du Togo</w:t>
        </w:r>
        <w:r w:rsidR="0036687F">
          <w:rPr>
            <w:noProof/>
            <w:webHidden/>
          </w:rPr>
          <w:tab/>
        </w:r>
        <w:r w:rsidR="0036687F">
          <w:rPr>
            <w:noProof/>
            <w:webHidden/>
          </w:rPr>
          <w:fldChar w:fldCharType="begin"/>
        </w:r>
        <w:r w:rsidR="0036687F">
          <w:rPr>
            <w:noProof/>
            <w:webHidden/>
          </w:rPr>
          <w:instrText xml:space="preserve"> PAGEREF _Toc533413478 \h </w:instrText>
        </w:r>
        <w:r w:rsidR="0036687F">
          <w:rPr>
            <w:noProof/>
            <w:webHidden/>
          </w:rPr>
        </w:r>
        <w:r w:rsidR="0036687F">
          <w:rPr>
            <w:noProof/>
            <w:webHidden/>
          </w:rPr>
          <w:fldChar w:fldCharType="separate"/>
        </w:r>
        <w:r w:rsidR="00C47BFF">
          <w:rPr>
            <w:noProof/>
            <w:webHidden/>
          </w:rPr>
          <w:t>66</w:t>
        </w:r>
        <w:r w:rsidR="0036687F">
          <w:rPr>
            <w:noProof/>
            <w:webHidden/>
          </w:rPr>
          <w:fldChar w:fldCharType="end"/>
        </w:r>
      </w:hyperlink>
    </w:p>
    <w:p w14:paraId="1616A6F3" w14:textId="1FB395D3" w:rsidR="0036687F" w:rsidRDefault="00A14142">
      <w:pPr>
        <w:pStyle w:val="Tabledesillustrations"/>
        <w:tabs>
          <w:tab w:val="right" w:leader="dot" w:pos="9060"/>
        </w:tabs>
        <w:rPr>
          <w:rFonts w:eastAsiaTheme="minorEastAsia"/>
          <w:noProof/>
          <w:lang w:eastAsia="fr-FR"/>
        </w:rPr>
      </w:pPr>
      <w:hyperlink w:anchor="_Toc533413479" w:history="1">
        <w:r w:rsidR="0036687F" w:rsidRPr="00145495">
          <w:rPr>
            <w:rStyle w:val="Lienhypertexte"/>
            <w:rFonts w:ascii="Times New Roman" w:hAnsi="Times New Roman"/>
            <w:noProof/>
          </w:rPr>
          <w:t>Tableau 8: Objectifs nationaux en lien avec la SMCP</w:t>
        </w:r>
        <w:r w:rsidR="0036687F">
          <w:rPr>
            <w:noProof/>
            <w:webHidden/>
          </w:rPr>
          <w:tab/>
        </w:r>
        <w:r w:rsidR="0036687F">
          <w:rPr>
            <w:noProof/>
            <w:webHidden/>
          </w:rPr>
          <w:fldChar w:fldCharType="begin"/>
        </w:r>
        <w:r w:rsidR="0036687F">
          <w:rPr>
            <w:noProof/>
            <w:webHidden/>
          </w:rPr>
          <w:instrText xml:space="preserve"> PAGEREF _Toc533413479 \h </w:instrText>
        </w:r>
        <w:r w:rsidR="0036687F">
          <w:rPr>
            <w:noProof/>
            <w:webHidden/>
          </w:rPr>
        </w:r>
        <w:r w:rsidR="0036687F">
          <w:rPr>
            <w:noProof/>
            <w:webHidden/>
          </w:rPr>
          <w:fldChar w:fldCharType="separate"/>
        </w:r>
        <w:r w:rsidR="00C47BFF">
          <w:rPr>
            <w:noProof/>
            <w:webHidden/>
          </w:rPr>
          <w:t>100</w:t>
        </w:r>
        <w:r w:rsidR="0036687F">
          <w:rPr>
            <w:noProof/>
            <w:webHidden/>
          </w:rPr>
          <w:fldChar w:fldCharType="end"/>
        </w:r>
      </w:hyperlink>
    </w:p>
    <w:p w14:paraId="7E0F6ADA" w14:textId="374951C2" w:rsidR="0036687F" w:rsidRDefault="00A14142">
      <w:pPr>
        <w:pStyle w:val="Tabledesillustrations"/>
        <w:tabs>
          <w:tab w:val="right" w:leader="dot" w:pos="9060"/>
        </w:tabs>
        <w:rPr>
          <w:rFonts w:eastAsiaTheme="minorEastAsia"/>
          <w:noProof/>
          <w:lang w:eastAsia="fr-FR"/>
        </w:rPr>
      </w:pPr>
      <w:hyperlink w:anchor="_Toc533413480" w:history="1">
        <w:r w:rsidR="0036687F" w:rsidRPr="00145495">
          <w:rPr>
            <w:rStyle w:val="Lienhypertexte"/>
            <w:rFonts w:ascii="Times New Roman" w:hAnsi="Times New Roman"/>
            <w:noProof/>
          </w:rPr>
          <w:t>Tableau 9: Quelques initiatives dans le domaine de la conservation des plantes</w:t>
        </w:r>
        <w:r w:rsidR="0036687F">
          <w:rPr>
            <w:noProof/>
            <w:webHidden/>
          </w:rPr>
          <w:tab/>
        </w:r>
        <w:r w:rsidR="0036687F">
          <w:rPr>
            <w:noProof/>
            <w:webHidden/>
          </w:rPr>
          <w:fldChar w:fldCharType="begin"/>
        </w:r>
        <w:r w:rsidR="0036687F">
          <w:rPr>
            <w:noProof/>
            <w:webHidden/>
          </w:rPr>
          <w:instrText xml:space="preserve"> PAGEREF _Toc533413480 \h </w:instrText>
        </w:r>
        <w:r w:rsidR="0036687F">
          <w:rPr>
            <w:noProof/>
            <w:webHidden/>
          </w:rPr>
        </w:r>
        <w:r w:rsidR="0036687F">
          <w:rPr>
            <w:noProof/>
            <w:webHidden/>
          </w:rPr>
          <w:fldChar w:fldCharType="separate"/>
        </w:r>
        <w:r w:rsidR="00C47BFF">
          <w:rPr>
            <w:noProof/>
            <w:webHidden/>
          </w:rPr>
          <w:t>104</w:t>
        </w:r>
        <w:r w:rsidR="0036687F">
          <w:rPr>
            <w:noProof/>
            <w:webHidden/>
          </w:rPr>
          <w:fldChar w:fldCharType="end"/>
        </w:r>
      </w:hyperlink>
    </w:p>
    <w:p w14:paraId="30831E57" w14:textId="29211C77" w:rsidR="0036687F" w:rsidRDefault="00A14142">
      <w:pPr>
        <w:pStyle w:val="Tabledesillustrations"/>
        <w:tabs>
          <w:tab w:val="right" w:leader="dot" w:pos="9060"/>
        </w:tabs>
        <w:rPr>
          <w:rFonts w:eastAsiaTheme="minorEastAsia"/>
          <w:noProof/>
          <w:lang w:eastAsia="fr-FR"/>
        </w:rPr>
      </w:pPr>
      <w:hyperlink w:anchor="_Toc533413481" w:history="1">
        <w:r w:rsidR="0036687F" w:rsidRPr="00145495">
          <w:rPr>
            <w:rStyle w:val="Lienhypertexte"/>
            <w:rFonts w:ascii="Times New Roman" w:hAnsi="Times New Roman"/>
            <w:noProof/>
          </w:rPr>
          <w:t>Tableau 10: Richesse de la flore du Togo</w:t>
        </w:r>
        <w:r w:rsidR="0036687F">
          <w:rPr>
            <w:noProof/>
            <w:webHidden/>
          </w:rPr>
          <w:tab/>
        </w:r>
        <w:r w:rsidR="0036687F">
          <w:rPr>
            <w:noProof/>
            <w:webHidden/>
          </w:rPr>
          <w:fldChar w:fldCharType="begin"/>
        </w:r>
        <w:r w:rsidR="0036687F">
          <w:rPr>
            <w:noProof/>
            <w:webHidden/>
          </w:rPr>
          <w:instrText xml:space="preserve"> PAGEREF _Toc533413481 \h </w:instrText>
        </w:r>
        <w:r w:rsidR="0036687F">
          <w:rPr>
            <w:noProof/>
            <w:webHidden/>
          </w:rPr>
        </w:r>
        <w:r w:rsidR="0036687F">
          <w:rPr>
            <w:noProof/>
            <w:webHidden/>
          </w:rPr>
          <w:fldChar w:fldCharType="separate"/>
        </w:r>
        <w:r w:rsidR="00C47BFF">
          <w:rPr>
            <w:noProof/>
            <w:webHidden/>
          </w:rPr>
          <w:t>106</w:t>
        </w:r>
        <w:r w:rsidR="0036687F">
          <w:rPr>
            <w:noProof/>
            <w:webHidden/>
          </w:rPr>
          <w:fldChar w:fldCharType="end"/>
        </w:r>
      </w:hyperlink>
    </w:p>
    <w:p w14:paraId="312FADDF" w14:textId="1F7EC564" w:rsidR="0036687F" w:rsidRDefault="00A14142">
      <w:pPr>
        <w:pStyle w:val="Tabledesillustrations"/>
        <w:tabs>
          <w:tab w:val="right" w:leader="dot" w:pos="9060"/>
        </w:tabs>
        <w:rPr>
          <w:rFonts w:eastAsiaTheme="minorEastAsia"/>
          <w:noProof/>
          <w:lang w:eastAsia="fr-FR"/>
        </w:rPr>
      </w:pPr>
      <w:hyperlink w:anchor="_Toc533413482" w:history="1">
        <w:r w:rsidR="0036687F" w:rsidRPr="00145495">
          <w:rPr>
            <w:rStyle w:val="Lienhypertexte"/>
            <w:rFonts w:ascii="Times New Roman" w:hAnsi="Times New Roman"/>
            <w:noProof/>
          </w:rPr>
          <w:t>Tableau 11: EEE les plus menaçantes au Togo.</w:t>
        </w:r>
        <w:r w:rsidR="0036687F">
          <w:rPr>
            <w:noProof/>
            <w:webHidden/>
          </w:rPr>
          <w:tab/>
        </w:r>
        <w:r w:rsidR="0036687F">
          <w:rPr>
            <w:noProof/>
            <w:webHidden/>
          </w:rPr>
          <w:fldChar w:fldCharType="begin"/>
        </w:r>
        <w:r w:rsidR="0036687F">
          <w:rPr>
            <w:noProof/>
            <w:webHidden/>
          </w:rPr>
          <w:instrText xml:space="preserve"> PAGEREF _Toc533413482 \h </w:instrText>
        </w:r>
        <w:r w:rsidR="0036687F">
          <w:rPr>
            <w:noProof/>
            <w:webHidden/>
          </w:rPr>
        </w:r>
        <w:r w:rsidR="0036687F">
          <w:rPr>
            <w:noProof/>
            <w:webHidden/>
          </w:rPr>
          <w:fldChar w:fldCharType="separate"/>
        </w:r>
        <w:r w:rsidR="00C47BFF">
          <w:rPr>
            <w:noProof/>
            <w:webHidden/>
          </w:rPr>
          <w:t>112</w:t>
        </w:r>
        <w:r w:rsidR="0036687F">
          <w:rPr>
            <w:noProof/>
            <w:webHidden/>
          </w:rPr>
          <w:fldChar w:fldCharType="end"/>
        </w:r>
      </w:hyperlink>
    </w:p>
    <w:p w14:paraId="0D2E1BAE" w14:textId="610AC405" w:rsidR="0036687F" w:rsidRDefault="00A14142">
      <w:pPr>
        <w:pStyle w:val="Tabledesillustrations"/>
        <w:tabs>
          <w:tab w:val="right" w:leader="dot" w:pos="9060"/>
        </w:tabs>
        <w:rPr>
          <w:rFonts w:eastAsiaTheme="minorEastAsia"/>
          <w:noProof/>
          <w:lang w:eastAsia="fr-FR"/>
        </w:rPr>
      </w:pPr>
      <w:hyperlink w:anchor="_Toc533413483" w:history="1">
        <w:r w:rsidR="0036687F" w:rsidRPr="00145495">
          <w:rPr>
            <w:rStyle w:val="Lienhypertexte"/>
            <w:rFonts w:ascii="Times New Roman" w:hAnsi="Times New Roman"/>
            <w:noProof/>
          </w:rPr>
          <w:t>Tableau 12: Quelques espèces végétales protégées par les communautés locales au Togo.</w:t>
        </w:r>
        <w:r w:rsidR="0036687F">
          <w:rPr>
            <w:noProof/>
            <w:webHidden/>
          </w:rPr>
          <w:tab/>
        </w:r>
        <w:r w:rsidR="0036687F">
          <w:rPr>
            <w:noProof/>
            <w:webHidden/>
          </w:rPr>
          <w:fldChar w:fldCharType="begin"/>
        </w:r>
        <w:r w:rsidR="0036687F">
          <w:rPr>
            <w:noProof/>
            <w:webHidden/>
          </w:rPr>
          <w:instrText xml:space="preserve"> PAGEREF _Toc533413483 \h </w:instrText>
        </w:r>
        <w:r w:rsidR="0036687F">
          <w:rPr>
            <w:noProof/>
            <w:webHidden/>
          </w:rPr>
        </w:r>
        <w:r w:rsidR="0036687F">
          <w:rPr>
            <w:noProof/>
            <w:webHidden/>
          </w:rPr>
          <w:fldChar w:fldCharType="separate"/>
        </w:r>
        <w:r w:rsidR="00C47BFF">
          <w:rPr>
            <w:noProof/>
            <w:webHidden/>
          </w:rPr>
          <w:t>130</w:t>
        </w:r>
        <w:r w:rsidR="0036687F">
          <w:rPr>
            <w:noProof/>
            <w:webHidden/>
          </w:rPr>
          <w:fldChar w:fldCharType="end"/>
        </w:r>
      </w:hyperlink>
    </w:p>
    <w:p w14:paraId="3CE8A99E" w14:textId="54283560" w:rsidR="0036687F" w:rsidRDefault="00A14142">
      <w:pPr>
        <w:pStyle w:val="Tabledesillustrations"/>
        <w:tabs>
          <w:tab w:val="right" w:leader="dot" w:pos="9060"/>
        </w:tabs>
        <w:rPr>
          <w:rFonts w:eastAsiaTheme="minorEastAsia"/>
          <w:noProof/>
          <w:lang w:eastAsia="fr-FR"/>
        </w:rPr>
      </w:pPr>
      <w:hyperlink w:anchor="_Toc533413484" w:history="1">
        <w:r w:rsidR="0036687F" w:rsidRPr="00145495">
          <w:rPr>
            <w:rStyle w:val="Lienhypertexte"/>
            <w:rFonts w:ascii="Times New Roman" w:hAnsi="Times New Roman"/>
            <w:noProof/>
          </w:rPr>
          <w:t>Tableau 13: Quelques espèces animales protégées par les communautés locales au Togo</w:t>
        </w:r>
        <w:r w:rsidR="0036687F">
          <w:rPr>
            <w:noProof/>
            <w:webHidden/>
          </w:rPr>
          <w:tab/>
        </w:r>
        <w:r w:rsidR="0036687F">
          <w:rPr>
            <w:noProof/>
            <w:webHidden/>
          </w:rPr>
          <w:fldChar w:fldCharType="begin"/>
        </w:r>
        <w:r w:rsidR="0036687F">
          <w:rPr>
            <w:noProof/>
            <w:webHidden/>
          </w:rPr>
          <w:instrText xml:space="preserve"> PAGEREF _Toc533413484 \h </w:instrText>
        </w:r>
        <w:r w:rsidR="0036687F">
          <w:rPr>
            <w:noProof/>
            <w:webHidden/>
          </w:rPr>
        </w:r>
        <w:r w:rsidR="0036687F">
          <w:rPr>
            <w:noProof/>
            <w:webHidden/>
          </w:rPr>
          <w:fldChar w:fldCharType="separate"/>
        </w:r>
        <w:r w:rsidR="00C47BFF">
          <w:rPr>
            <w:noProof/>
            <w:webHidden/>
          </w:rPr>
          <w:t>131</w:t>
        </w:r>
        <w:r w:rsidR="0036687F">
          <w:rPr>
            <w:noProof/>
            <w:webHidden/>
          </w:rPr>
          <w:fldChar w:fldCharType="end"/>
        </w:r>
      </w:hyperlink>
    </w:p>
    <w:p w14:paraId="44BFF035" w14:textId="4CF82388" w:rsidR="0036687F" w:rsidRDefault="00A14142">
      <w:pPr>
        <w:pStyle w:val="Tabledesillustrations"/>
        <w:tabs>
          <w:tab w:val="right" w:leader="dot" w:pos="9060"/>
        </w:tabs>
        <w:rPr>
          <w:rFonts w:eastAsiaTheme="minorEastAsia"/>
          <w:noProof/>
          <w:lang w:eastAsia="fr-FR"/>
        </w:rPr>
      </w:pPr>
      <w:hyperlink w:anchor="_Toc533413485" w:history="1">
        <w:r w:rsidR="0036687F" w:rsidRPr="00145495">
          <w:rPr>
            <w:rStyle w:val="Lienhypertexte"/>
            <w:rFonts w:ascii="Times New Roman" w:hAnsi="Times New Roman"/>
            <w:noProof/>
          </w:rPr>
          <w:t>Tableau 14: Grands ensembles de zones humides et superficie correspondante</w:t>
        </w:r>
        <w:r w:rsidR="0036687F">
          <w:rPr>
            <w:noProof/>
            <w:webHidden/>
          </w:rPr>
          <w:tab/>
        </w:r>
        <w:r w:rsidR="0036687F">
          <w:rPr>
            <w:noProof/>
            <w:webHidden/>
          </w:rPr>
          <w:fldChar w:fldCharType="begin"/>
        </w:r>
        <w:r w:rsidR="0036687F">
          <w:rPr>
            <w:noProof/>
            <w:webHidden/>
          </w:rPr>
          <w:instrText xml:space="preserve"> PAGEREF _Toc533413485 \h </w:instrText>
        </w:r>
        <w:r w:rsidR="0036687F">
          <w:rPr>
            <w:noProof/>
            <w:webHidden/>
          </w:rPr>
        </w:r>
        <w:r w:rsidR="0036687F">
          <w:rPr>
            <w:noProof/>
            <w:webHidden/>
          </w:rPr>
          <w:fldChar w:fldCharType="separate"/>
        </w:r>
        <w:r w:rsidR="00C47BFF">
          <w:rPr>
            <w:noProof/>
            <w:webHidden/>
          </w:rPr>
          <w:t>141</w:t>
        </w:r>
        <w:r w:rsidR="0036687F">
          <w:rPr>
            <w:noProof/>
            <w:webHidden/>
          </w:rPr>
          <w:fldChar w:fldCharType="end"/>
        </w:r>
      </w:hyperlink>
    </w:p>
    <w:p w14:paraId="126F0AFB" w14:textId="22786DDB" w:rsidR="0036687F" w:rsidRDefault="00A14142">
      <w:pPr>
        <w:pStyle w:val="Tabledesillustrations"/>
        <w:tabs>
          <w:tab w:val="right" w:leader="dot" w:pos="9060"/>
        </w:tabs>
        <w:rPr>
          <w:rFonts w:eastAsiaTheme="minorEastAsia"/>
          <w:noProof/>
          <w:lang w:eastAsia="fr-FR"/>
        </w:rPr>
      </w:pPr>
      <w:hyperlink w:anchor="_Toc533413486" w:history="1">
        <w:r w:rsidR="0036687F" w:rsidRPr="00145495">
          <w:rPr>
            <w:rStyle w:val="Lienhypertexte"/>
            <w:rFonts w:ascii="Times New Roman" w:hAnsi="Times New Roman"/>
            <w:noProof/>
          </w:rPr>
          <w:t>Tableau 15: Espèces alimentaires utilisées comme légumes</w:t>
        </w:r>
        <w:r w:rsidR="0036687F">
          <w:rPr>
            <w:noProof/>
            <w:webHidden/>
          </w:rPr>
          <w:tab/>
        </w:r>
        <w:r w:rsidR="0036687F">
          <w:rPr>
            <w:noProof/>
            <w:webHidden/>
          </w:rPr>
          <w:fldChar w:fldCharType="begin"/>
        </w:r>
        <w:r w:rsidR="0036687F">
          <w:rPr>
            <w:noProof/>
            <w:webHidden/>
          </w:rPr>
          <w:instrText xml:space="preserve"> PAGEREF _Toc533413486 \h </w:instrText>
        </w:r>
        <w:r w:rsidR="0036687F">
          <w:rPr>
            <w:noProof/>
            <w:webHidden/>
          </w:rPr>
        </w:r>
        <w:r w:rsidR="0036687F">
          <w:rPr>
            <w:noProof/>
            <w:webHidden/>
          </w:rPr>
          <w:fldChar w:fldCharType="separate"/>
        </w:r>
        <w:r w:rsidR="00C47BFF">
          <w:rPr>
            <w:noProof/>
            <w:webHidden/>
          </w:rPr>
          <w:t>149</w:t>
        </w:r>
        <w:r w:rsidR="0036687F">
          <w:rPr>
            <w:noProof/>
            <w:webHidden/>
          </w:rPr>
          <w:fldChar w:fldCharType="end"/>
        </w:r>
      </w:hyperlink>
    </w:p>
    <w:p w14:paraId="4904FDF9" w14:textId="08B80CCF" w:rsidR="0036687F" w:rsidRDefault="00A14142">
      <w:pPr>
        <w:pStyle w:val="Tabledesillustrations"/>
        <w:tabs>
          <w:tab w:val="right" w:leader="dot" w:pos="9060"/>
        </w:tabs>
        <w:rPr>
          <w:rFonts w:eastAsiaTheme="minorEastAsia"/>
          <w:noProof/>
          <w:lang w:eastAsia="fr-FR"/>
        </w:rPr>
      </w:pPr>
      <w:hyperlink w:anchor="_Toc533413487" w:history="1">
        <w:r w:rsidR="0036687F" w:rsidRPr="00145495">
          <w:rPr>
            <w:rStyle w:val="Lienhypertexte"/>
            <w:rFonts w:ascii="Times New Roman" w:hAnsi="Times New Roman"/>
            <w:noProof/>
          </w:rPr>
          <w:t>Tableau 16: Espèces à fruits comestibles usuelles du Togo</w:t>
        </w:r>
        <w:r w:rsidR="0036687F">
          <w:rPr>
            <w:noProof/>
            <w:webHidden/>
          </w:rPr>
          <w:tab/>
        </w:r>
        <w:r w:rsidR="0036687F">
          <w:rPr>
            <w:noProof/>
            <w:webHidden/>
          </w:rPr>
          <w:fldChar w:fldCharType="begin"/>
        </w:r>
        <w:r w:rsidR="0036687F">
          <w:rPr>
            <w:noProof/>
            <w:webHidden/>
          </w:rPr>
          <w:instrText xml:space="preserve"> PAGEREF _Toc533413487 \h </w:instrText>
        </w:r>
        <w:r w:rsidR="0036687F">
          <w:rPr>
            <w:noProof/>
            <w:webHidden/>
          </w:rPr>
        </w:r>
        <w:r w:rsidR="0036687F">
          <w:rPr>
            <w:noProof/>
            <w:webHidden/>
          </w:rPr>
          <w:fldChar w:fldCharType="separate"/>
        </w:r>
        <w:r w:rsidR="00C47BFF">
          <w:rPr>
            <w:noProof/>
            <w:webHidden/>
          </w:rPr>
          <w:t>150</w:t>
        </w:r>
        <w:r w:rsidR="0036687F">
          <w:rPr>
            <w:noProof/>
            <w:webHidden/>
          </w:rPr>
          <w:fldChar w:fldCharType="end"/>
        </w:r>
      </w:hyperlink>
    </w:p>
    <w:p w14:paraId="5F901B89" w14:textId="2220EBC5" w:rsidR="0036687F" w:rsidRDefault="00A14142">
      <w:pPr>
        <w:pStyle w:val="Tabledesillustrations"/>
        <w:tabs>
          <w:tab w:val="right" w:leader="dot" w:pos="9060"/>
        </w:tabs>
        <w:rPr>
          <w:rFonts w:eastAsiaTheme="minorEastAsia"/>
          <w:noProof/>
          <w:lang w:eastAsia="fr-FR"/>
        </w:rPr>
      </w:pPr>
      <w:hyperlink w:anchor="_Toc533413488" w:history="1">
        <w:r w:rsidR="0036687F" w:rsidRPr="00145495">
          <w:rPr>
            <w:rStyle w:val="Lienhypertexte"/>
            <w:rFonts w:ascii="Times New Roman" w:hAnsi="Times New Roman"/>
            <w:noProof/>
          </w:rPr>
          <w:t>Tableau 17: Espèces à usage artisanal</w:t>
        </w:r>
        <w:r w:rsidR="0036687F">
          <w:rPr>
            <w:noProof/>
            <w:webHidden/>
          </w:rPr>
          <w:tab/>
        </w:r>
        <w:r w:rsidR="0036687F">
          <w:rPr>
            <w:noProof/>
            <w:webHidden/>
          </w:rPr>
          <w:fldChar w:fldCharType="begin"/>
        </w:r>
        <w:r w:rsidR="0036687F">
          <w:rPr>
            <w:noProof/>
            <w:webHidden/>
          </w:rPr>
          <w:instrText xml:space="preserve"> PAGEREF _Toc533413488 \h </w:instrText>
        </w:r>
        <w:r w:rsidR="0036687F">
          <w:rPr>
            <w:noProof/>
            <w:webHidden/>
          </w:rPr>
        </w:r>
        <w:r w:rsidR="0036687F">
          <w:rPr>
            <w:noProof/>
            <w:webHidden/>
          </w:rPr>
          <w:fldChar w:fldCharType="separate"/>
        </w:r>
        <w:r w:rsidR="00C47BFF">
          <w:rPr>
            <w:noProof/>
            <w:webHidden/>
          </w:rPr>
          <w:t>152</w:t>
        </w:r>
        <w:r w:rsidR="0036687F">
          <w:rPr>
            <w:noProof/>
            <w:webHidden/>
          </w:rPr>
          <w:fldChar w:fldCharType="end"/>
        </w:r>
      </w:hyperlink>
    </w:p>
    <w:p w14:paraId="6DAFD815" w14:textId="77777777" w:rsidR="00DD7927" w:rsidRDefault="00620BEA" w:rsidP="00DD7927">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0E018782" w14:textId="77777777" w:rsidR="00DD7927" w:rsidRDefault="00DD7927" w:rsidP="00DD7927">
      <w:pPr>
        <w:autoSpaceDE w:val="0"/>
        <w:autoSpaceDN w:val="0"/>
        <w:adjustRightInd w:val="0"/>
        <w:spacing w:after="0" w:line="240" w:lineRule="auto"/>
        <w:jc w:val="both"/>
        <w:rPr>
          <w:rFonts w:ascii="Times New Roman" w:hAnsi="Times New Roman" w:cs="Times New Roman"/>
          <w:sz w:val="24"/>
          <w:szCs w:val="24"/>
        </w:rPr>
      </w:pPr>
    </w:p>
    <w:p w14:paraId="6BB82CAA" w14:textId="77777777" w:rsidR="00DD7927" w:rsidRPr="001633C1" w:rsidRDefault="00A02AD3" w:rsidP="00DD7927">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LISTE DES FI</w:t>
      </w:r>
      <w:r w:rsidR="00DD7927" w:rsidRPr="001633C1">
        <w:rPr>
          <w:rFonts w:ascii="Times New Roman" w:hAnsi="Times New Roman" w:cs="Times New Roman"/>
          <w:b/>
          <w:sz w:val="24"/>
          <w:szCs w:val="24"/>
        </w:rPr>
        <w:t>GURES</w:t>
      </w:r>
    </w:p>
    <w:p w14:paraId="13965691" w14:textId="77777777" w:rsidR="00DD7927" w:rsidRDefault="00DD7927" w:rsidP="00DD7927">
      <w:pPr>
        <w:autoSpaceDE w:val="0"/>
        <w:autoSpaceDN w:val="0"/>
        <w:adjustRightInd w:val="0"/>
        <w:spacing w:after="0" w:line="240" w:lineRule="auto"/>
        <w:jc w:val="both"/>
        <w:rPr>
          <w:rFonts w:ascii="Times New Roman" w:hAnsi="Times New Roman" w:cs="Times New Roman"/>
          <w:sz w:val="24"/>
          <w:szCs w:val="24"/>
        </w:rPr>
      </w:pPr>
    </w:p>
    <w:p w14:paraId="3972EF3B" w14:textId="2CA43A90" w:rsidR="0036687F" w:rsidRDefault="00620BEA">
      <w:pPr>
        <w:pStyle w:val="Tabledesillustrations"/>
        <w:tabs>
          <w:tab w:val="right" w:leader="dot" w:pos="9060"/>
        </w:tabs>
        <w:rPr>
          <w:rFonts w:eastAsiaTheme="minorEastAsia"/>
          <w:noProof/>
          <w:lang w:eastAsia="fr-FR"/>
        </w:rPr>
      </w:pPr>
      <w:r>
        <w:rPr>
          <w:rFonts w:ascii="Times New Roman" w:hAnsi="Times New Roman" w:cs="Times New Roman"/>
          <w:sz w:val="24"/>
          <w:szCs w:val="24"/>
        </w:rPr>
        <w:fldChar w:fldCharType="begin"/>
      </w:r>
      <w:r w:rsidR="00A02AD3">
        <w:rPr>
          <w:rFonts w:ascii="Times New Roman" w:hAnsi="Times New Roman" w:cs="Times New Roman"/>
          <w:sz w:val="24"/>
          <w:szCs w:val="24"/>
        </w:rPr>
        <w:instrText xml:space="preserve"> TOC \h \z \c "Figure" </w:instrText>
      </w:r>
      <w:r>
        <w:rPr>
          <w:rFonts w:ascii="Times New Roman" w:hAnsi="Times New Roman" w:cs="Times New Roman"/>
          <w:sz w:val="24"/>
          <w:szCs w:val="24"/>
        </w:rPr>
        <w:fldChar w:fldCharType="separate"/>
      </w:r>
      <w:hyperlink w:anchor="_Toc533413489" w:history="1">
        <w:r w:rsidR="0036687F" w:rsidRPr="007F2553">
          <w:rPr>
            <w:rStyle w:val="Lienhypertexte"/>
            <w:rFonts w:ascii="Times New Roman" w:hAnsi="Times New Roman"/>
            <w:noProof/>
          </w:rPr>
          <w:t>Figure 1: Estimation du nombre d’espèces de Vertébrés de la Liste rouge influencées par les importants dangers qui les menacent au Togo</w:t>
        </w:r>
        <w:r w:rsidR="0036687F">
          <w:rPr>
            <w:noProof/>
            <w:webHidden/>
          </w:rPr>
          <w:tab/>
        </w:r>
        <w:r w:rsidR="0036687F">
          <w:rPr>
            <w:noProof/>
            <w:webHidden/>
          </w:rPr>
          <w:fldChar w:fldCharType="begin"/>
        </w:r>
        <w:r w:rsidR="0036687F">
          <w:rPr>
            <w:noProof/>
            <w:webHidden/>
          </w:rPr>
          <w:instrText xml:space="preserve"> PAGEREF _Toc533413489 \h </w:instrText>
        </w:r>
        <w:r w:rsidR="0036687F">
          <w:rPr>
            <w:noProof/>
            <w:webHidden/>
          </w:rPr>
        </w:r>
        <w:r w:rsidR="0036687F">
          <w:rPr>
            <w:noProof/>
            <w:webHidden/>
          </w:rPr>
          <w:fldChar w:fldCharType="separate"/>
        </w:r>
        <w:r w:rsidR="00C47BFF">
          <w:rPr>
            <w:noProof/>
            <w:webHidden/>
          </w:rPr>
          <w:t>8</w:t>
        </w:r>
        <w:r w:rsidR="0036687F">
          <w:rPr>
            <w:noProof/>
            <w:webHidden/>
          </w:rPr>
          <w:fldChar w:fldCharType="end"/>
        </w:r>
      </w:hyperlink>
    </w:p>
    <w:p w14:paraId="095080FB" w14:textId="2053BBE4" w:rsidR="0036687F" w:rsidRDefault="00A14142">
      <w:pPr>
        <w:pStyle w:val="Tabledesillustrations"/>
        <w:tabs>
          <w:tab w:val="right" w:leader="dot" w:pos="9060"/>
        </w:tabs>
        <w:rPr>
          <w:rFonts w:eastAsiaTheme="minorEastAsia"/>
          <w:noProof/>
          <w:lang w:eastAsia="fr-FR"/>
        </w:rPr>
      </w:pPr>
      <w:hyperlink w:anchor="_Toc533413490" w:history="1">
        <w:r w:rsidR="0036687F" w:rsidRPr="007F2553">
          <w:rPr>
            <w:rStyle w:val="Lienhypertexte"/>
            <w:rFonts w:ascii="Times New Roman" w:hAnsi="Times New Roman"/>
            <w:noProof/>
          </w:rPr>
          <w:t>Figure 2: Variations du nombre d’espèces de Vertébrés de la Liste rouge en fonction de leur statut IUCN au Togo</w:t>
        </w:r>
        <w:r w:rsidR="0036687F">
          <w:rPr>
            <w:noProof/>
            <w:webHidden/>
          </w:rPr>
          <w:tab/>
        </w:r>
        <w:r w:rsidR="0036687F">
          <w:rPr>
            <w:noProof/>
            <w:webHidden/>
          </w:rPr>
          <w:fldChar w:fldCharType="begin"/>
        </w:r>
        <w:r w:rsidR="0036687F">
          <w:rPr>
            <w:noProof/>
            <w:webHidden/>
          </w:rPr>
          <w:instrText xml:space="preserve"> PAGEREF _Toc533413490 \h </w:instrText>
        </w:r>
        <w:r w:rsidR="0036687F">
          <w:rPr>
            <w:noProof/>
            <w:webHidden/>
          </w:rPr>
        </w:r>
        <w:r w:rsidR="0036687F">
          <w:rPr>
            <w:noProof/>
            <w:webHidden/>
          </w:rPr>
          <w:fldChar w:fldCharType="separate"/>
        </w:r>
        <w:r w:rsidR="00C47BFF">
          <w:rPr>
            <w:noProof/>
            <w:webHidden/>
          </w:rPr>
          <w:t>9</w:t>
        </w:r>
        <w:r w:rsidR="0036687F">
          <w:rPr>
            <w:noProof/>
            <w:webHidden/>
          </w:rPr>
          <w:fldChar w:fldCharType="end"/>
        </w:r>
      </w:hyperlink>
    </w:p>
    <w:p w14:paraId="7070C8CA" w14:textId="2B18F5E5" w:rsidR="0036687F" w:rsidRDefault="00A14142">
      <w:pPr>
        <w:pStyle w:val="Tabledesillustrations"/>
        <w:tabs>
          <w:tab w:val="right" w:leader="dot" w:pos="9060"/>
        </w:tabs>
        <w:rPr>
          <w:rFonts w:eastAsiaTheme="minorEastAsia"/>
          <w:noProof/>
          <w:lang w:eastAsia="fr-FR"/>
        </w:rPr>
      </w:pPr>
      <w:hyperlink w:anchor="_Toc533413491" w:history="1">
        <w:r w:rsidR="0036687F" w:rsidRPr="007F2553">
          <w:rPr>
            <w:rStyle w:val="Lienhypertexte"/>
            <w:rFonts w:ascii="Times New Roman" w:hAnsi="Times New Roman"/>
            <w:noProof/>
          </w:rPr>
          <w:t>Figure 3: Répartition des acteurs et domaine d’intervenant dans la mise en œuvre de la SPANB du Togo</w:t>
        </w:r>
        <w:r w:rsidR="0036687F">
          <w:rPr>
            <w:noProof/>
            <w:webHidden/>
          </w:rPr>
          <w:tab/>
        </w:r>
        <w:r w:rsidR="0036687F">
          <w:rPr>
            <w:noProof/>
            <w:webHidden/>
          </w:rPr>
          <w:fldChar w:fldCharType="begin"/>
        </w:r>
        <w:r w:rsidR="0036687F">
          <w:rPr>
            <w:noProof/>
            <w:webHidden/>
          </w:rPr>
          <w:instrText xml:space="preserve"> PAGEREF _Toc533413491 \h </w:instrText>
        </w:r>
        <w:r w:rsidR="0036687F">
          <w:rPr>
            <w:noProof/>
            <w:webHidden/>
          </w:rPr>
        </w:r>
        <w:r w:rsidR="0036687F">
          <w:rPr>
            <w:noProof/>
            <w:webHidden/>
          </w:rPr>
          <w:fldChar w:fldCharType="separate"/>
        </w:r>
        <w:r w:rsidR="00C47BFF">
          <w:rPr>
            <w:noProof/>
            <w:webHidden/>
          </w:rPr>
          <w:t>30</w:t>
        </w:r>
        <w:r w:rsidR="0036687F">
          <w:rPr>
            <w:noProof/>
            <w:webHidden/>
          </w:rPr>
          <w:fldChar w:fldCharType="end"/>
        </w:r>
      </w:hyperlink>
    </w:p>
    <w:p w14:paraId="31D3E2A6" w14:textId="05351852" w:rsidR="0036687F" w:rsidRDefault="00A14142">
      <w:pPr>
        <w:pStyle w:val="Tabledesillustrations"/>
        <w:tabs>
          <w:tab w:val="right" w:leader="dot" w:pos="9060"/>
        </w:tabs>
        <w:rPr>
          <w:rFonts w:eastAsiaTheme="minorEastAsia"/>
          <w:noProof/>
          <w:lang w:eastAsia="fr-FR"/>
        </w:rPr>
      </w:pPr>
      <w:hyperlink w:anchor="_Toc533413492" w:history="1">
        <w:r w:rsidR="0036687F" w:rsidRPr="007F2553">
          <w:rPr>
            <w:rStyle w:val="Lienhypertexte"/>
            <w:rFonts w:ascii="Times New Roman" w:hAnsi="Times New Roman"/>
            <w:noProof/>
          </w:rPr>
          <w:t>Figure 4: Perception de l’efficacité dans la mise en œuvre des objectifs nationaux</w:t>
        </w:r>
        <w:r w:rsidR="0036687F">
          <w:rPr>
            <w:noProof/>
            <w:webHidden/>
          </w:rPr>
          <w:tab/>
        </w:r>
        <w:r w:rsidR="0036687F">
          <w:rPr>
            <w:noProof/>
            <w:webHidden/>
          </w:rPr>
          <w:fldChar w:fldCharType="begin"/>
        </w:r>
        <w:r w:rsidR="0036687F">
          <w:rPr>
            <w:noProof/>
            <w:webHidden/>
          </w:rPr>
          <w:instrText xml:space="preserve"> PAGEREF _Toc533413492 \h </w:instrText>
        </w:r>
        <w:r w:rsidR="0036687F">
          <w:rPr>
            <w:noProof/>
            <w:webHidden/>
          </w:rPr>
        </w:r>
        <w:r w:rsidR="0036687F">
          <w:rPr>
            <w:noProof/>
            <w:webHidden/>
          </w:rPr>
          <w:fldChar w:fldCharType="separate"/>
        </w:r>
        <w:r w:rsidR="00C47BFF">
          <w:rPr>
            <w:noProof/>
            <w:webHidden/>
          </w:rPr>
          <w:t>31</w:t>
        </w:r>
        <w:r w:rsidR="0036687F">
          <w:rPr>
            <w:noProof/>
            <w:webHidden/>
          </w:rPr>
          <w:fldChar w:fldCharType="end"/>
        </w:r>
      </w:hyperlink>
    </w:p>
    <w:p w14:paraId="28AAB81F" w14:textId="5BCA303C" w:rsidR="0036687F" w:rsidRDefault="00A14142">
      <w:pPr>
        <w:pStyle w:val="Tabledesillustrations"/>
        <w:tabs>
          <w:tab w:val="right" w:leader="dot" w:pos="9060"/>
        </w:tabs>
        <w:rPr>
          <w:rFonts w:eastAsiaTheme="minorEastAsia"/>
          <w:noProof/>
          <w:lang w:eastAsia="fr-FR"/>
        </w:rPr>
      </w:pPr>
      <w:hyperlink w:anchor="_Toc533413493" w:history="1">
        <w:r w:rsidR="0036687F" w:rsidRPr="007F2553">
          <w:rPr>
            <w:rStyle w:val="Lienhypertexte"/>
            <w:rFonts w:ascii="Times New Roman" w:hAnsi="Times New Roman"/>
            <w:noProof/>
          </w:rPr>
          <w:t>Figure 5: Perception de l’efficacité dans la mise en oeuvre des mesures politiques dans le cadre de la mise en œuvre des objectifs nationaux</w:t>
        </w:r>
        <w:r w:rsidR="0036687F">
          <w:rPr>
            <w:noProof/>
            <w:webHidden/>
          </w:rPr>
          <w:tab/>
        </w:r>
        <w:r w:rsidR="0036687F">
          <w:rPr>
            <w:noProof/>
            <w:webHidden/>
          </w:rPr>
          <w:fldChar w:fldCharType="begin"/>
        </w:r>
        <w:r w:rsidR="0036687F">
          <w:rPr>
            <w:noProof/>
            <w:webHidden/>
          </w:rPr>
          <w:instrText xml:space="preserve"> PAGEREF _Toc533413493 \h </w:instrText>
        </w:r>
        <w:r w:rsidR="0036687F">
          <w:rPr>
            <w:noProof/>
            <w:webHidden/>
          </w:rPr>
        </w:r>
        <w:r w:rsidR="0036687F">
          <w:rPr>
            <w:noProof/>
            <w:webHidden/>
          </w:rPr>
          <w:fldChar w:fldCharType="separate"/>
        </w:r>
        <w:r w:rsidR="00C47BFF">
          <w:rPr>
            <w:noProof/>
            <w:webHidden/>
          </w:rPr>
          <w:t>32</w:t>
        </w:r>
        <w:r w:rsidR="0036687F">
          <w:rPr>
            <w:noProof/>
            <w:webHidden/>
          </w:rPr>
          <w:fldChar w:fldCharType="end"/>
        </w:r>
      </w:hyperlink>
    </w:p>
    <w:p w14:paraId="3866517B" w14:textId="57B243F0" w:rsidR="0036687F" w:rsidRDefault="00A14142">
      <w:pPr>
        <w:pStyle w:val="Tabledesillustrations"/>
        <w:tabs>
          <w:tab w:val="right" w:leader="dot" w:pos="9060"/>
        </w:tabs>
        <w:rPr>
          <w:rFonts w:eastAsiaTheme="minorEastAsia"/>
          <w:noProof/>
          <w:lang w:eastAsia="fr-FR"/>
        </w:rPr>
      </w:pPr>
      <w:hyperlink w:anchor="_Toc533413494" w:history="1">
        <w:r w:rsidR="0036687F" w:rsidRPr="007F2553">
          <w:rPr>
            <w:rStyle w:val="Lienhypertexte"/>
            <w:rFonts w:ascii="Times New Roman" w:hAnsi="Times New Roman"/>
            <w:noProof/>
          </w:rPr>
          <w:t>Figure 6: Perception de l’efficacité dans la mise en œuvre des mesures législatives dans le cadre de la mise en œuvre des objectifs nationaux</w:t>
        </w:r>
        <w:r w:rsidR="0036687F">
          <w:rPr>
            <w:noProof/>
            <w:webHidden/>
          </w:rPr>
          <w:tab/>
        </w:r>
        <w:r w:rsidR="0036687F">
          <w:rPr>
            <w:noProof/>
            <w:webHidden/>
          </w:rPr>
          <w:fldChar w:fldCharType="begin"/>
        </w:r>
        <w:r w:rsidR="0036687F">
          <w:rPr>
            <w:noProof/>
            <w:webHidden/>
          </w:rPr>
          <w:instrText xml:space="preserve"> PAGEREF _Toc533413494 \h </w:instrText>
        </w:r>
        <w:r w:rsidR="0036687F">
          <w:rPr>
            <w:noProof/>
            <w:webHidden/>
          </w:rPr>
        </w:r>
        <w:r w:rsidR="0036687F">
          <w:rPr>
            <w:noProof/>
            <w:webHidden/>
          </w:rPr>
          <w:fldChar w:fldCharType="separate"/>
        </w:r>
        <w:r w:rsidR="00C47BFF">
          <w:rPr>
            <w:noProof/>
            <w:webHidden/>
          </w:rPr>
          <w:t>33</w:t>
        </w:r>
        <w:r w:rsidR="0036687F">
          <w:rPr>
            <w:noProof/>
            <w:webHidden/>
          </w:rPr>
          <w:fldChar w:fldCharType="end"/>
        </w:r>
      </w:hyperlink>
    </w:p>
    <w:p w14:paraId="4850BBD1" w14:textId="2E82631D" w:rsidR="0036687F" w:rsidRDefault="00A14142">
      <w:pPr>
        <w:pStyle w:val="Tabledesillustrations"/>
        <w:tabs>
          <w:tab w:val="right" w:leader="dot" w:pos="9060"/>
        </w:tabs>
        <w:rPr>
          <w:rFonts w:eastAsiaTheme="minorEastAsia"/>
          <w:noProof/>
          <w:lang w:eastAsia="fr-FR"/>
        </w:rPr>
      </w:pPr>
      <w:hyperlink w:anchor="_Toc533413495" w:history="1">
        <w:r w:rsidR="0036687F" w:rsidRPr="007F2553">
          <w:rPr>
            <w:rStyle w:val="Lienhypertexte"/>
            <w:rFonts w:ascii="Times New Roman" w:hAnsi="Times New Roman"/>
            <w:noProof/>
          </w:rPr>
          <w:t>Figure 7: Perception de l’efficacité dans la mise en œuvre des mesures institutionnelles dans le cadre de la mise en œuvre des objectifs nationaux</w:t>
        </w:r>
        <w:r w:rsidR="0036687F">
          <w:rPr>
            <w:noProof/>
            <w:webHidden/>
          </w:rPr>
          <w:tab/>
        </w:r>
        <w:r w:rsidR="0036687F">
          <w:rPr>
            <w:noProof/>
            <w:webHidden/>
          </w:rPr>
          <w:fldChar w:fldCharType="begin"/>
        </w:r>
        <w:r w:rsidR="0036687F">
          <w:rPr>
            <w:noProof/>
            <w:webHidden/>
          </w:rPr>
          <w:instrText xml:space="preserve"> PAGEREF _Toc533413495 \h </w:instrText>
        </w:r>
        <w:r w:rsidR="0036687F">
          <w:rPr>
            <w:noProof/>
            <w:webHidden/>
          </w:rPr>
        </w:r>
        <w:r w:rsidR="0036687F">
          <w:rPr>
            <w:noProof/>
            <w:webHidden/>
          </w:rPr>
          <w:fldChar w:fldCharType="separate"/>
        </w:r>
        <w:r w:rsidR="00C47BFF">
          <w:rPr>
            <w:noProof/>
            <w:webHidden/>
          </w:rPr>
          <w:t>34</w:t>
        </w:r>
        <w:r w:rsidR="0036687F">
          <w:rPr>
            <w:noProof/>
            <w:webHidden/>
          </w:rPr>
          <w:fldChar w:fldCharType="end"/>
        </w:r>
      </w:hyperlink>
    </w:p>
    <w:p w14:paraId="5C421C7D" w14:textId="1EDEC059" w:rsidR="0036687F" w:rsidRDefault="00A14142">
      <w:pPr>
        <w:pStyle w:val="Tabledesillustrations"/>
        <w:tabs>
          <w:tab w:val="right" w:leader="dot" w:pos="9060"/>
        </w:tabs>
        <w:rPr>
          <w:rFonts w:eastAsiaTheme="minorEastAsia"/>
          <w:noProof/>
          <w:lang w:eastAsia="fr-FR"/>
        </w:rPr>
      </w:pPr>
      <w:hyperlink w:anchor="_Toc533413496" w:history="1">
        <w:r w:rsidR="0036687F" w:rsidRPr="007F2553">
          <w:rPr>
            <w:rStyle w:val="Lienhypertexte"/>
            <w:rFonts w:ascii="Times New Roman" w:hAnsi="Times New Roman"/>
            <w:noProof/>
          </w:rPr>
          <w:t>Figure 8: Perseption de l’efficacité dans la mise en oeuvre des mesures financières dans le cadre de la mise en œuvre des objectifs nationaux</w:t>
        </w:r>
        <w:r w:rsidR="0036687F">
          <w:rPr>
            <w:noProof/>
            <w:webHidden/>
          </w:rPr>
          <w:tab/>
        </w:r>
        <w:r w:rsidR="0036687F">
          <w:rPr>
            <w:noProof/>
            <w:webHidden/>
          </w:rPr>
          <w:fldChar w:fldCharType="begin"/>
        </w:r>
        <w:r w:rsidR="0036687F">
          <w:rPr>
            <w:noProof/>
            <w:webHidden/>
          </w:rPr>
          <w:instrText xml:space="preserve"> PAGEREF _Toc533413496 \h </w:instrText>
        </w:r>
        <w:r w:rsidR="0036687F">
          <w:rPr>
            <w:noProof/>
            <w:webHidden/>
          </w:rPr>
        </w:r>
        <w:r w:rsidR="0036687F">
          <w:rPr>
            <w:noProof/>
            <w:webHidden/>
          </w:rPr>
          <w:fldChar w:fldCharType="separate"/>
        </w:r>
        <w:r w:rsidR="00C47BFF">
          <w:rPr>
            <w:noProof/>
            <w:webHidden/>
          </w:rPr>
          <w:t>35</w:t>
        </w:r>
        <w:r w:rsidR="0036687F">
          <w:rPr>
            <w:noProof/>
            <w:webHidden/>
          </w:rPr>
          <w:fldChar w:fldCharType="end"/>
        </w:r>
      </w:hyperlink>
    </w:p>
    <w:p w14:paraId="6F4BBFE6" w14:textId="42D80DA5" w:rsidR="0036687F" w:rsidRDefault="00A14142">
      <w:pPr>
        <w:pStyle w:val="Tabledesillustrations"/>
        <w:tabs>
          <w:tab w:val="right" w:leader="dot" w:pos="9060"/>
        </w:tabs>
        <w:rPr>
          <w:rFonts w:eastAsiaTheme="minorEastAsia"/>
          <w:noProof/>
          <w:lang w:eastAsia="fr-FR"/>
        </w:rPr>
      </w:pPr>
      <w:hyperlink w:anchor="_Toc533413497" w:history="1">
        <w:r w:rsidR="0036687F" w:rsidRPr="007F2553">
          <w:rPr>
            <w:rStyle w:val="Lienhypertexte"/>
            <w:rFonts w:ascii="Times New Roman" w:hAnsi="Times New Roman"/>
            <w:noProof/>
          </w:rPr>
          <w:t>Figure 9: Perseption de l’efficacité dans la mise en œuvre des stratégies/plans/programmes/projets développés pour l’atteinte des objectifs nationaux</w:t>
        </w:r>
        <w:r w:rsidR="0036687F">
          <w:rPr>
            <w:noProof/>
            <w:webHidden/>
          </w:rPr>
          <w:tab/>
        </w:r>
        <w:r w:rsidR="0036687F">
          <w:rPr>
            <w:noProof/>
            <w:webHidden/>
          </w:rPr>
          <w:fldChar w:fldCharType="begin"/>
        </w:r>
        <w:r w:rsidR="0036687F">
          <w:rPr>
            <w:noProof/>
            <w:webHidden/>
          </w:rPr>
          <w:instrText xml:space="preserve"> PAGEREF _Toc533413497 \h </w:instrText>
        </w:r>
        <w:r w:rsidR="0036687F">
          <w:rPr>
            <w:noProof/>
            <w:webHidden/>
          </w:rPr>
        </w:r>
        <w:r w:rsidR="0036687F">
          <w:rPr>
            <w:noProof/>
            <w:webHidden/>
          </w:rPr>
          <w:fldChar w:fldCharType="separate"/>
        </w:r>
        <w:r w:rsidR="00C47BFF">
          <w:rPr>
            <w:noProof/>
            <w:webHidden/>
          </w:rPr>
          <w:t>35</w:t>
        </w:r>
        <w:r w:rsidR="0036687F">
          <w:rPr>
            <w:noProof/>
            <w:webHidden/>
          </w:rPr>
          <w:fldChar w:fldCharType="end"/>
        </w:r>
      </w:hyperlink>
    </w:p>
    <w:p w14:paraId="480DC840" w14:textId="3CDB5AF3" w:rsidR="0036687F" w:rsidRDefault="00A14142">
      <w:pPr>
        <w:pStyle w:val="Tabledesillustrations"/>
        <w:tabs>
          <w:tab w:val="right" w:leader="dot" w:pos="9060"/>
        </w:tabs>
        <w:rPr>
          <w:rFonts w:eastAsiaTheme="minorEastAsia"/>
          <w:noProof/>
          <w:lang w:eastAsia="fr-FR"/>
        </w:rPr>
      </w:pPr>
      <w:hyperlink w:anchor="_Toc533413498" w:history="1">
        <w:r w:rsidR="0036687F" w:rsidRPr="007F2553">
          <w:rPr>
            <w:rStyle w:val="Lienhypertexte"/>
            <w:rFonts w:ascii="Times New Roman" w:hAnsi="Times New Roman"/>
            <w:noProof/>
          </w:rPr>
          <w:t>Figure 10: Niveau de mise en œuvre globale des objectifs nationaux pour la conservation de la diversité biologique</w:t>
        </w:r>
        <w:r w:rsidR="0036687F">
          <w:rPr>
            <w:noProof/>
            <w:webHidden/>
          </w:rPr>
          <w:tab/>
        </w:r>
        <w:r w:rsidR="0036687F">
          <w:rPr>
            <w:noProof/>
            <w:webHidden/>
          </w:rPr>
          <w:fldChar w:fldCharType="begin"/>
        </w:r>
        <w:r w:rsidR="0036687F">
          <w:rPr>
            <w:noProof/>
            <w:webHidden/>
          </w:rPr>
          <w:instrText xml:space="preserve"> PAGEREF _Toc533413498 \h </w:instrText>
        </w:r>
        <w:r w:rsidR="0036687F">
          <w:rPr>
            <w:noProof/>
            <w:webHidden/>
          </w:rPr>
        </w:r>
        <w:r w:rsidR="0036687F">
          <w:rPr>
            <w:noProof/>
            <w:webHidden/>
          </w:rPr>
          <w:fldChar w:fldCharType="separate"/>
        </w:r>
        <w:r w:rsidR="00C47BFF">
          <w:rPr>
            <w:noProof/>
            <w:webHidden/>
          </w:rPr>
          <w:t>48</w:t>
        </w:r>
        <w:r w:rsidR="0036687F">
          <w:rPr>
            <w:noProof/>
            <w:webHidden/>
          </w:rPr>
          <w:fldChar w:fldCharType="end"/>
        </w:r>
      </w:hyperlink>
    </w:p>
    <w:p w14:paraId="53C81617" w14:textId="29144D18" w:rsidR="0036687F" w:rsidRDefault="00A14142">
      <w:pPr>
        <w:pStyle w:val="Tabledesillustrations"/>
        <w:tabs>
          <w:tab w:val="right" w:leader="dot" w:pos="9060"/>
        </w:tabs>
        <w:rPr>
          <w:rFonts w:eastAsiaTheme="minorEastAsia"/>
          <w:noProof/>
          <w:lang w:eastAsia="fr-FR"/>
        </w:rPr>
      </w:pPr>
      <w:hyperlink w:anchor="_Toc533413499" w:history="1">
        <w:r w:rsidR="0036687F" w:rsidRPr="007F2553">
          <w:rPr>
            <w:rStyle w:val="Lienhypertexte"/>
            <w:rFonts w:ascii="Times New Roman" w:hAnsi="Times New Roman"/>
            <w:noProof/>
          </w:rPr>
          <w:t>Figure 11: Niveau d’implication des structures pour la mise en œuvre des objectifs nationaux de la biodiversité</w:t>
        </w:r>
        <w:r w:rsidR="0036687F">
          <w:rPr>
            <w:noProof/>
            <w:webHidden/>
          </w:rPr>
          <w:tab/>
        </w:r>
        <w:r w:rsidR="0036687F">
          <w:rPr>
            <w:noProof/>
            <w:webHidden/>
          </w:rPr>
          <w:fldChar w:fldCharType="begin"/>
        </w:r>
        <w:r w:rsidR="0036687F">
          <w:rPr>
            <w:noProof/>
            <w:webHidden/>
          </w:rPr>
          <w:instrText xml:space="preserve"> PAGEREF _Toc533413499 \h </w:instrText>
        </w:r>
        <w:r w:rsidR="0036687F">
          <w:rPr>
            <w:noProof/>
            <w:webHidden/>
          </w:rPr>
        </w:r>
        <w:r w:rsidR="0036687F">
          <w:rPr>
            <w:noProof/>
            <w:webHidden/>
          </w:rPr>
          <w:fldChar w:fldCharType="separate"/>
        </w:r>
        <w:r w:rsidR="00C47BFF">
          <w:rPr>
            <w:noProof/>
            <w:webHidden/>
          </w:rPr>
          <w:t>51</w:t>
        </w:r>
        <w:r w:rsidR="0036687F">
          <w:rPr>
            <w:noProof/>
            <w:webHidden/>
          </w:rPr>
          <w:fldChar w:fldCharType="end"/>
        </w:r>
      </w:hyperlink>
    </w:p>
    <w:p w14:paraId="3E045E33" w14:textId="0E058A56" w:rsidR="0036687F" w:rsidRDefault="00A14142">
      <w:pPr>
        <w:pStyle w:val="Tabledesillustrations"/>
        <w:tabs>
          <w:tab w:val="right" w:leader="dot" w:pos="9060"/>
        </w:tabs>
        <w:rPr>
          <w:rFonts w:eastAsiaTheme="minorEastAsia"/>
          <w:noProof/>
          <w:lang w:eastAsia="fr-FR"/>
        </w:rPr>
      </w:pPr>
      <w:hyperlink w:anchor="_Toc533413500" w:history="1">
        <w:r w:rsidR="0036687F" w:rsidRPr="007F2553">
          <w:rPr>
            <w:rStyle w:val="Lienhypertexte"/>
            <w:rFonts w:ascii="Times New Roman" w:hAnsi="Times New Roman"/>
            <w:noProof/>
          </w:rPr>
          <w:t>Figure 12: Actions réalisées par les acteurs et thématiques traitées pour le compte de l’objectif national 1</w:t>
        </w:r>
        <w:r w:rsidR="0036687F">
          <w:rPr>
            <w:noProof/>
            <w:webHidden/>
          </w:rPr>
          <w:tab/>
        </w:r>
        <w:r w:rsidR="0036687F">
          <w:rPr>
            <w:noProof/>
            <w:webHidden/>
          </w:rPr>
          <w:fldChar w:fldCharType="begin"/>
        </w:r>
        <w:r w:rsidR="0036687F">
          <w:rPr>
            <w:noProof/>
            <w:webHidden/>
          </w:rPr>
          <w:instrText xml:space="preserve"> PAGEREF _Toc533413500 \h </w:instrText>
        </w:r>
        <w:r w:rsidR="0036687F">
          <w:rPr>
            <w:noProof/>
            <w:webHidden/>
          </w:rPr>
        </w:r>
        <w:r w:rsidR="0036687F">
          <w:rPr>
            <w:noProof/>
            <w:webHidden/>
          </w:rPr>
          <w:fldChar w:fldCharType="separate"/>
        </w:r>
        <w:r w:rsidR="00C47BFF">
          <w:rPr>
            <w:noProof/>
            <w:webHidden/>
          </w:rPr>
          <w:t>53</w:t>
        </w:r>
        <w:r w:rsidR="0036687F">
          <w:rPr>
            <w:noProof/>
            <w:webHidden/>
          </w:rPr>
          <w:fldChar w:fldCharType="end"/>
        </w:r>
      </w:hyperlink>
    </w:p>
    <w:p w14:paraId="489EAF4E" w14:textId="50A828DB" w:rsidR="0036687F" w:rsidRDefault="00A14142">
      <w:pPr>
        <w:pStyle w:val="Tabledesillustrations"/>
        <w:tabs>
          <w:tab w:val="right" w:leader="dot" w:pos="9060"/>
        </w:tabs>
        <w:rPr>
          <w:rFonts w:eastAsiaTheme="minorEastAsia"/>
          <w:noProof/>
          <w:lang w:eastAsia="fr-FR"/>
        </w:rPr>
      </w:pPr>
      <w:hyperlink w:anchor="_Toc533413501" w:history="1">
        <w:r w:rsidR="0036687F" w:rsidRPr="007F2553">
          <w:rPr>
            <w:rStyle w:val="Lienhypertexte"/>
            <w:rFonts w:ascii="Times New Roman" w:hAnsi="Times New Roman"/>
            <w:noProof/>
          </w:rPr>
          <w:t>Figure 13: Variation des superficies brulées et du nombre de feux actifs par campagne de feu de 2003 à 2016 (A) et des superficies brulées par zone écologique (B)</w:t>
        </w:r>
        <w:r w:rsidR="0036687F">
          <w:rPr>
            <w:noProof/>
            <w:webHidden/>
          </w:rPr>
          <w:tab/>
        </w:r>
        <w:r w:rsidR="0036687F">
          <w:rPr>
            <w:noProof/>
            <w:webHidden/>
          </w:rPr>
          <w:fldChar w:fldCharType="begin"/>
        </w:r>
        <w:r w:rsidR="0036687F">
          <w:rPr>
            <w:noProof/>
            <w:webHidden/>
          </w:rPr>
          <w:instrText xml:space="preserve"> PAGEREF _Toc533413501 \h </w:instrText>
        </w:r>
        <w:r w:rsidR="0036687F">
          <w:rPr>
            <w:noProof/>
            <w:webHidden/>
          </w:rPr>
        </w:r>
        <w:r w:rsidR="0036687F">
          <w:rPr>
            <w:noProof/>
            <w:webHidden/>
          </w:rPr>
          <w:fldChar w:fldCharType="separate"/>
        </w:r>
        <w:r w:rsidR="00C47BFF">
          <w:rPr>
            <w:noProof/>
            <w:webHidden/>
          </w:rPr>
          <w:t>60</w:t>
        </w:r>
        <w:r w:rsidR="0036687F">
          <w:rPr>
            <w:noProof/>
            <w:webHidden/>
          </w:rPr>
          <w:fldChar w:fldCharType="end"/>
        </w:r>
      </w:hyperlink>
    </w:p>
    <w:p w14:paraId="0AB828F1" w14:textId="17703604" w:rsidR="0036687F" w:rsidRDefault="00A14142">
      <w:pPr>
        <w:pStyle w:val="Tabledesillustrations"/>
        <w:tabs>
          <w:tab w:val="right" w:leader="dot" w:pos="9060"/>
        </w:tabs>
        <w:rPr>
          <w:rFonts w:eastAsiaTheme="minorEastAsia"/>
          <w:noProof/>
          <w:lang w:eastAsia="fr-FR"/>
        </w:rPr>
      </w:pPr>
      <w:hyperlink w:anchor="_Toc533413502" w:history="1">
        <w:r w:rsidR="0036687F" w:rsidRPr="007F2553">
          <w:rPr>
            <w:rStyle w:val="Lienhypertexte"/>
            <w:rFonts w:ascii="Times New Roman" w:hAnsi="Times New Roman"/>
            <w:noProof/>
          </w:rPr>
          <w:t>Figure 14: Statut UICN des espèces de la flore togolaise</w:t>
        </w:r>
        <w:r w:rsidR="0036687F">
          <w:rPr>
            <w:noProof/>
            <w:webHidden/>
          </w:rPr>
          <w:tab/>
        </w:r>
        <w:r w:rsidR="0036687F">
          <w:rPr>
            <w:noProof/>
            <w:webHidden/>
          </w:rPr>
          <w:fldChar w:fldCharType="begin"/>
        </w:r>
        <w:r w:rsidR="0036687F">
          <w:rPr>
            <w:noProof/>
            <w:webHidden/>
          </w:rPr>
          <w:instrText xml:space="preserve"> PAGEREF _Toc533413502 \h </w:instrText>
        </w:r>
        <w:r w:rsidR="0036687F">
          <w:rPr>
            <w:noProof/>
            <w:webHidden/>
          </w:rPr>
        </w:r>
        <w:r w:rsidR="0036687F">
          <w:rPr>
            <w:noProof/>
            <w:webHidden/>
          </w:rPr>
          <w:fldChar w:fldCharType="separate"/>
        </w:r>
        <w:r w:rsidR="00C47BFF">
          <w:rPr>
            <w:noProof/>
            <w:webHidden/>
          </w:rPr>
          <w:t>65</w:t>
        </w:r>
        <w:r w:rsidR="0036687F">
          <w:rPr>
            <w:noProof/>
            <w:webHidden/>
          </w:rPr>
          <w:fldChar w:fldCharType="end"/>
        </w:r>
      </w:hyperlink>
    </w:p>
    <w:p w14:paraId="560764B7" w14:textId="752DD120" w:rsidR="0036687F" w:rsidRDefault="00A14142">
      <w:pPr>
        <w:pStyle w:val="Tabledesillustrations"/>
        <w:tabs>
          <w:tab w:val="right" w:leader="dot" w:pos="9060"/>
        </w:tabs>
        <w:rPr>
          <w:rFonts w:eastAsiaTheme="minorEastAsia"/>
          <w:noProof/>
          <w:lang w:eastAsia="fr-FR"/>
        </w:rPr>
      </w:pPr>
      <w:hyperlink w:anchor="_Toc533413503" w:history="1">
        <w:r w:rsidR="0036687F" w:rsidRPr="007F2553">
          <w:rPr>
            <w:rStyle w:val="Lienhypertexte"/>
            <w:rFonts w:ascii="Times New Roman" w:hAnsi="Times New Roman" w:cs="Times New Roman"/>
            <w:b/>
            <w:noProof/>
          </w:rPr>
          <w:t xml:space="preserve">Figure 15: </w:t>
        </w:r>
        <w:r w:rsidR="0036687F" w:rsidRPr="007F2553">
          <w:rPr>
            <w:rStyle w:val="Lienhypertexte"/>
            <w:rFonts w:ascii="Times New Roman" w:hAnsi="Times New Roman"/>
            <w:b/>
            <w:noProof/>
          </w:rPr>
          <w:t>carte de la couverture végétale du Togo</w:t>
        </w:r>
        <w:r w:rsidR="0036687F">
          <w:rPr>
            <w:noProof/>
            <w:webHidden/>
          </w:rPr>
          <w:tab/>
        </w:r>
        <w:r w:rsidR="0036687F">
          <w:rPr>
            <w:noProof/>
            <w:webHidden/>
          </w:rPr>
          <w:fldChar w:fldCharType="begin"/>
        </w:r>
        <w:r w:rsidR="0036687F">
          <w:rPr>
            <w:noProof/>
            <w:webHidden/>
          </w:rPr>
          <w:instrText xml:space="preserve"> PAGEREF _Toc533413503 \h </w:instrText>
        </w:r>
        <w:r w:rsidR="0036687F">
          <w:rPr>
            <w:noProof/>
            <w:webHidden/>
          </w:rPr>
        </w:r>
        <w:r w:rsidR="0036687F">
          <w:rPr>
            <w:noProof/>
            <w:webHidden/>
          </w:rPr>
          <w:fldChar w:fldCharType="separate"/>
        </w:r>
        <w:r w:rsidR="00C47BFF">
          <w:rPr>
            <w:noProof/>
            <w:webHidden/>
          </w:rPr>
          <w:t>67</w:t>
        </w:r>
        <w:r w:rsidR="0036687F">
          <w:rPr>
            <w:noProof/>
            <w:webHidden/>
          </w:rPr>
          <w:fldChar w:fldCharType="end"/>
        </w:r>
      </w:hyperlink>
    </w:p>
    <w:p w14:paraId="74AF9F09" w14:textId="55C6C8E3" w:rsidR="0036687F" w:rsidRDefault="00A14142">
      <w:pPr>
        <w:pStyle w:val="Tabledesillustrations"/>
        <w:tabs>
          <w:tab w:val="right" w:leader="dot" w:pos="9060"/>
        </w:tabs>
        <w:rPr>
          <w:rFonts w:eastAsiaTheme="minorEastAsia"/>
          <w:noProof/>
          <w:lang w:eastAsia="fr-FR"/>
        </w:rPr>
      </w:pPr>
      <w:hyperlink w:anchor="_Toc533413504" w:history="1">
        <w:r w:rsidR="0036687F" w:rsidRPr="007F2553">
          <w:rPr>
            <w:rStyle w:val="Lienhypertexte"/>
            <w:rFonts w:ascii="Times New Roman" w:hAnsi="Times New Roman"/>
            <w:noProof/>
          </w:rPr>
          <w:t>Figure 16 : carte des des principales zones humides du Togo</w:t>
        </w:r>
        <w:r w:rsidR="0036687F">
          <w:rPr>
            <w:noProof/>
            <w:webHidden/>
          </w:rPr>
          <w:tab/>
        </w:r>
        <w:r w:rsidR="0036687F">
          <w:rPr>
            <w:noProof/>
            <w:webHidden/>
          </w:rPr>
          <w:fldChar w:fldCharType="begin"/>
        </w:r>
        <w:r w:rsidR="0036687F">
          <w:rPr>
            <w:noProof/>
            <w:webHidden/>
          </w:rPr>
          <w:instrText xml:space="preserve"> PAGEREF _Toc533413504 \h </w:instrText>
        </w:r>
        <w:r w:rsidR="0036687F">
          <w:rPr>
            <w:noProof/>
            <w:webHidden/>
          </w:rPr>
        </w:r>
        <w:r w:rsidR="0036687F">
          <w:rPr>
            <w:noProof/>
            <w:webHidden/>
          </w:rPr>
          <w:fldChar w:fldCharType="separate"/>
        </w:r>
        <w:r w:rsidR="00C47BFF">
          <w:rPr>
            <w:noProof/>
            <w:webHidden/>
          </w:rPr>
          <w:t>67</w:t>
        </w:r>
        <w:r w:rsidR="0036687F">
          <w:rPr>
            <w:noProof/>
            <w:webHidden/>
          </w:rPr>
          <w:fldChar w:fldCharType="end"/>
        </w:r>
      </w:hyperlink>
    </w:p>
    <w:p w14:paraId="10752551" w14:textId="4210788B" w:rsidR="0036687F" w:rsidRDefault="00A14142">
      <w:pPr>
        <w:pStyle w:val="Tabledesillustrations"/>
        <w:tabs>
          <w:tab w:val="right" w:leader="dot" w:pos="9060"/>
        </w:tabs>
        <w:rPr>
          <w:rFonts w:eastAsiaTheme="minorEastAsia"/>
          <w:noProof/>
          <w:lang w:eastAsia="fr-FR"/>
        </w:rPr>
      </w:pPr>
      <w:hyperlink w:anchor="_Toc533413505" w:history="1">
        <w:r w:rsidR="0036687F" w:rsidRPr="007F2553">
          <w:rPr>
            <w:rStyle w:val="Lienhypertexte"/>
            <w:rFonts w:ascii="Times New Roman" w:hAnsi="Times New Roman"/>
            <w:noProof/>
          </w:rPr>
          <w:t>Figure 17: Zones de récolte et d’observation des plantes au Togo (Source : Carte élaborée sur la base des données de GBIF-Togo)</w:t>
        </w:r>
        <w:r w:rsidR="0036687F">
          <w:rPr>
            <w:noProof/>
            <w:webHidden/>
          </w:rPr>
          <w:tab/>
        </w:r>
        <w:r w:rsidR="0036687F">
          <w:rPr>
            <w:noProof/>
            <w:webHidden/>
          </w:rPr>
          <w:fldChar w:fldCharType="begin"/>
        </w:r>
        <w:r w:rsidR="0036687F">
          <w:rPr>
            <w:noProof/>
            <w:webHidden/>
          </w:rPr>
          <w:instrText xml:space="preserve"> PAGEREF _Toc533413505 \h </w:instrText>
        </w:r>
        <w:r w:rsidR="0036687F">
          <w:rPr>
            <w:noProof/>
            <w:webHidden/>
          </w:rPr>
        </w:r>
        <w:r w:rsidR="0036687F">
          <w:rPr>
            <w:noProof/>
            <w:webHidden/>
          </w:rPr>
          <w:fldChar w:fldCharType="separate"/>
        </w:r>
        <w:r w:rsidR="00C47BFF">
          <w:rPr>
            <w:noProof/>
            <w:webHidden/>
          </w:rPr>
          <w:t>108</w:t>
        </w:r>
        <w:r w:rsidR="0036687F">
          <w:rPr>
            <w:noProof/>
            <w:webHidden/>
          </w:rPr>
          <w:fldChar w:fldCharType="end"/>
        </w:r>
      </w:hyperlink>
    </w:p>
    <w:p w14:paraId="79255071" w14:textId="06231DBF" w:rsidR="0036687F" w:rsidRDefault="00A14142">
      <w:pPr>
        <w:pStyle w:val="Tabledesillustrations"/>
        <w:tabs>
          <w:tab w:val="right" w:leader="dot" w:pos="9060"/>
        </w:tabs>
        <w:rPr>
          <w:rFonts w:eastAsiaTheme="minorEastAsia"/>
          <w:noProof/>
          <w:lang w:eastAsia="fr-FR"/>
        </w:rPr>
      </w:pPr>
      <w:hyperlink w:anchor="_Toc533413506" w:history="1">
        <w:r w:rsidR="0036687F" w:rsidRPr="007F2553">
          <w:rPr>
            <w:rStyle w:val="Lienhypertexte"/>
            <w:rFonts w:ascii="Times New Roman" w:hAnsi="Times New Roman"/>
            <w:noProof/>
          </w:rPr>
          <w:t>Figure 18: Proportion des récoltes par région économique du pays</w:t>
        </w:r>
        <w:r w:rsidR="0036687F">
          <w:rPr>
            <w:noProof/>
            <w:webHidden/>
          </w:rPr>
          <w:tab/>
        </w:r>
        <w:r w:rsidR="0036687F">
          <w:rPr>
            <w:noProof/>
            <w:webHidden/>
          </w:rPr>
          <w:fldChar w:fldCharType="begin"/>
        </w:r>
        <w:r w:rsidR="0036687F">
          <w:rPr>
            <w:noProof/>
            <w:webHidden/>
          </w:rPr>
          <w:instrText xml:space="preserve"> PAGEREF _Toc533413506 \h </w:instrText>
        </w:r>
        <w:r w:rsidR="0036687F">
          <w:rPr>
            <w:noProof/>
            <w:webHidden/>
          </w:rPr>
        </w:r>
        <w:r w:rsidR="0036687F">
          <w:rPr>
            <w:noProof/>
            <w:webHidden/>
          </w:rPr>
          <w:fldChar w:fldCharType="separate"/>
        </w:r>
        <w:r w:rsidR="00C47BFF">
          <w:rPr>
            <w:noProof/>
            <w:webHidden/>
          </w:rPr>
          <w:t>109</w:t>
        </w:r>
        <w:r w:rsidR="0036687F">
          <w:rPr>
            <w:noProof/>
            <w:webHidden/>
          </w:rPr>
          <w:fldChar w:fldCharType="end"/>
        </w:r>
      </w:hyperlink>
    </w:p>
    <w:p w14:paraId="278BEBD9" w14:textId="7A915363" w:rsidR="0036687F" w:rsidRDefault="00A14142">
      <w:pPr>
        <w:pStyle w:val="Tabledesillustrations"/>
        <w:tabs>
          <w:tab w:val="right" w:leader="dot" w:pos="9060"/>
        </w:tabs>
        <w:rPr>
          <w:rFonts w:eastAsiaTheme="minorEastAsia"/>
          <w:noProof/>
          <w:lang w:eastAsia="fr-FR"/>
        </w:rPr>
      </w:pPr>
      <w:hyperlink w:anchor="_Toc533413507" w:history="1">
        <w:r w:rsidR="0036687F" w:rsidRPr="007F2553">
          <w:rPr>
            <w:rStyle w:val="Lienhypertexte"/>
            <w:rFonts w:ascii="Times New Roman" w:hAnsi="Times New Roman"/>
            <w:noProof/>
          </w:rPr>
          <w:t>Figure 19: Principales zones potentielles de conservation de la biodiversité au Togo (Source: réalisée sur la base de la carte IGN TOGO)</w:t>
        </w:r>
        <w:r w:rsidR="0036687F">
          <w:rPr>
            <w:noProof/>
            <w:webHidden/>
          </w:rPr>
          <w:tab/>
        </w:r>
        <w:r w:rsidR="0036687F">
          <w:rPr>
            <w:noProof/>
            <w:webHidden/>
          </w:rPr>
          <w:fldChar w:fldCharType="begin"/>
        </w:r>
        <w:r w:rsidR="0036687F">
          <w:rPr>
            <w:noProof/>
            <w:webHidden/>
          </w:rPr>
          <w:instrText xml:space="preserve"> PAGEREF _Toc533413507 \h </w:instrText>
        </w:r>
        <w:r w:rsidR="0036687F">
          <w:rPr>
            <w:noProof/>
            <w:webHidden/>
          </w:rPr>
        </w:r>
        <w:r w:rsidR="0036687F">
          <w:rPr>
            <w:noProof/>
            <w:webHidden/>
          </w:rPr>
          <w:fldChar w:fldCharType="separate"/>
        </w:r>
        <w:r w:rsidR="00C47BFF">
          <w:rPr>
            <w:noProof/>
            <w:webHidden/>
          </w:rPr>
          <w:t>137</w:t>
        </w:r>
        <w:r w:rsidR="0036687F">
          <w:rPr>
            <w:noProof/>
            <w:webHidden/>
          </w:rPr>
          <w:fldChar w:fldCharType="end"/>
        </w:r>
      </w:hyperlink>
    </w:p>
    <w:p w14:paraId="3DE3B3C8" w14:textId="091BAEF5" w:rsidR="0036687F" w:rsidRDefault="00A14142">
      <w:pPr>
        <w:pStyle w:val="Tabledesillustrations"/>
        <w:tabs>
          <w:tab w:val="right" w:leader="dot" w:pos="9060"/>
        </w:tabs>
        <w:rPr>
          <w:rFonts w:eastAsiaTheme="minorEastAsia"/>
          <w:noProof/>
          <w:lang w:eastAsia="fr-FR"/>
        </w:rPr>
      </w:pPr>
      <w:hyperlink w:anchor="_Toc533413508" w:history="1">
        <w:r w:rsidR="0036687F" w:rsidRPr="007F2553">
          <w:rPr>
            <w:rStyle w:val="Lienhypertexte"/>
            <w:rFonts w:ascii="Times New Roman" w:hAnsi="Times New Roman"/>
            <w:noProof/>
          </w:rPr>
          <w:t>Figure 20: Zonage des aires de conservation de la réserve de biosphère transfrontalière du Mono.</w:t>
        </w:r>
        <w:r w:rsidR="0036687F">
          <w:rPr>
            <w:noProof/>
            <w:webHidden/>
          </w:rPr>
          <w:tab/>
        </w:r>
        <w:r w:rsidR="0036687F">
          <w:rPr>
            <w:noProof/>
            <w:webHidden/>
          </w:rPr>
          <w:fldChar w:fldCharType="begin"/>
        </w:r>
        <w:r w:rsidR="0036687F">
          <w:rPr>
            <w:noProof/>
            <w:webHidden/>
          </w:rPr>
          <w:instrText xml:space="preserve"> PAGEREF _Toc533413508 \h </w:instrText>
        </w:r>
        <w:r w:rsidR="0036687F">
          <w:rPr>
            <w:noProof/>
            <w:webHidden/>
          </w:rPr>
        </w:r>
        <w:r w:rsidR="0036687F">
          <w:rPr>
            <w:noProof/>
            <w:webHidden/>
          </w:rPr>
          <w:fldChar w:fldCharType="separate"/>
        </w:r>
        <w:r w:rsidR="00C47BFF">
          <w:rPr>
            <w:noProof/>
            <w:webHidden/>
          </w:rPr>
          <w:t>139</w:t>
        </w:r>
        <w:r w:rsidR="0036687F">
          <w:rPr>
            <w:noProof/>
            <w:webHidden/>
          </w:rPr>
          <w:fldChar w:fldCharType="end"/>
        </w:r>
      </w:hyperlink>
    </w:p>
    <w:p w14:paraId="6374D23A" w14:textId="3BD4EB47" w:rsidR="0036687F" w:rsidRDefault="00A14142">
      <w:pPr>
        <w:pStyle w:val="Tabledesillustrations"/>
        <w:tabs>
          <w:tab w:val="right" w:leader="dot" w:pos="9060"/>
        </w:tabs>
        <w:rPr>
          <w:rFonts w:eastAsiaTheme="minorEastAsia"/>
          <w:noProof/>
          <w:lang w:eastAsia="fr-FR"/>
        </w:rPr>
      </w:pPr>
      <w:hyperlink w:anchor="_Toc533413509" w:history="1">
        <w:r w:rsidR="0036687F" w:rsidRPr="007F2553">
          <w:rPr>
            <w:rStyle w:val="Lienhypertexte"/>
            <w:rFonts w:ascii="Times New Roman" w:hAnsi="Times New Roman"/>
            <w:noProof/>
          </w:rPr>
          <w:t>Figure 21: Tendances de l’occupation et d’utilisation des terres (2005, 2013 et 2017)</w:t>
        </w:r>
        <w:r w:rsidR="0036687F">
          <w:rPr>
            <w:noProof/>
            <w:webHidden/>
          </w:rPr>
          <w:tab/>
        </w:r>
        <w:r w:rsidR="0036687F">
          <w:rPr>
            <w:noProof/>
            <w:webHidden/>
          </w:rPr>
          <w:fldChar w:fldCharType="begin"/>
        </w:r>
        <w:r w:rsidR="0036687F">
          <w:rPr>
            <w:noProof/>
            <w:webHidden/>
          </w:rPr>
          <w:instrText xml:space="preserve"> PAGEREF _Toc533413509 \h </w:instrText>
        </w:r>
        <w:r w:rsidR="0036687F">
          <w:rPr>
            <w:noProof/>
            <w:webHidden/>
          </w:rPr>
        </w:r>
        <w:r w:rsidR="0036687F">
          <w:rPr>
            <w:noProof/>
            <w:webHidden/>
          </w:rPr>
          <w:fldChar w:fldCharType="separate"/>
        </w:r>
        <w:r w:rsidR="00C47BFF">
          <w:rPr>
            <w:noProof/>
            <w:webHidden/>
          </w:rPr>
          <w:t>142</w:t>
        </w:r>
        <w:r w:rsidR="0036687F">
          <w:rPr>
            <w:noProof/>
            <w:webHidden/>
          </w:rPr>
          <w:fldChar w:fldCharType="end"/>
        </w:r>
      </w:hyperlink>
    </w:p>
    <w:p w14:paraId="13B1DB5B" w14:textId="6CE7870D" w:rsidR="0036687F" w:rsidRDefault="00A14142">
      <w:pPr>
        <w:pStyle w:val="Tabledesillustrations"/>
        <w:tabs>
          <w:tab w:val="right" w:leader="dot" w:pos="9060"/>
        </w:tabs>
        <w:rPr>
          <w:rFonts w:eastAsiaTheme="minorEastAsia"/>
          <w:noProof/>
          <w:lang w:eastAsia="fr-FR"/>
        </w:rPr>
      </w:pPr>
      <w:hyperlink w:anchor="_Toc533413510" w:history="1">
        <w:r w:rsidR="0036687F" w:rsidRPr="007F2553">
          <w:rPr>
            <w:rStyle w:val="Lienhypertexte"/>
            <w:rFonts w:ascii="Times New Roman" w:hAnsi="Times New Roman"/>
            <w:noProof/>
          </w:rPr>
          <w:t>Figure 22: Evolution des strates forestières du Togo au cours des périodes 1976 - 1985 et 2013 - 2014 suivant les photos aériennes et les images Rapid</w:t>
        </w:r>
        <w:r w:rsidR="006E77C1">
          <w:rPr>
            <w:rStyle w:val="Lienhypertexte"/>
            <w:rFonts w:ascii="Times New Roman" w:hAnsi="Times New Roman"/>
            <w:noProof/>
          </w:rPr>
          <w:t xml:space="preserve"> </w:t>
        </w:r>
        <w:r w:rsidR="0036687F" w:rsidRPr="007F2553">
          <w:rPr>
            <w:rStyle w:val="Lienhypertexte"/>
            <w:rFonts w:ascii="Times New Roman" w:hAnsi="Times New Roman"/>
            <w:noProof/>
          </w:rPr>
          <w:t>Eye (MERF, 2016).</w:t>
        </w:r>
        <w:r w:rsidR="0036687F">
          <w:rPr>
            <w:noProof/>
            <w:webHidden/>
          </w:rPr>
          <w:tab/>
        </w:r>
        <w:r w:rsidR="0036687F">
          <w:rPr>
            <w:noProof/>
            <w:webHidden/>
          </w:rPr>
          <w:fldChar w:fldCharType="begin"/>
        </w:r>
        <w:r w:rsidR="0036687F">
          <w:rPr>
            <w:noProof/>
            <w:webHidden/>
          </w:rPr>
          <w:instrText xml:space="preserve"> PAGEREF _Toc533413510 \h </w:instrText>
        </w:r>
        <w:r w:rsidR="0036687F">
          <w:rPr>
            <w:noProof/>
            <w:webHidden/>
          </w:rPr>
        </w:r>
        <w:r w:rsidR="0036687F">
          <w:rPr>
            <w:noProof/>
            <w:webHidden/>
          </w:rPr>
          <w:fldChar w:fldCharType="separate"/>
        </w:r>
        <w:r w:rsidR="00C47BFF">
          <w:rPr>
            <w:noProof/>
            <w:webHidden/>
          </w:rPr>
          <w:t>143</w:t>
        </w:r>
        <w:r w:rsidR="0036687F">
          <w:rPr>
            <w:noProof/>
            <w:webHidden/>
          </w:rPr>
          <w:fldChar w:fldCharType="end"/>
        </w:r>
      </w:hyperlink>
    </w:p>
    <w:p w14:paraId="2938F532" w14:textId="4F1B5492" w:rsidR="0036687F" w:rsidRDefault="00A14142">
      <w:pPr>
        <w:pStyle w:val="Tabledesillustrations"/>
        <w:tabs>
          <w:tab w:val="right" w:leader="dot" w:pos="9060"/>
        </w:tabs>
        <w:rPr>
          <w:rFonts w:eastAsiaTheme="minorEastAsia"/>
          <w:noProof/>
          <w:lang w:eastAsia="fr-FR"/>
        </w:rPr>
      </w:pPr>
      <w:hyperlink w:anchor="_Toc533413511" w:history="1">
        <w:r w:rsidR="0036687F" w:rsidRPr="007F2553">
          <w:rPr>
            <w:rStyle w:val="Lienhypertexte"/>
            <w:rFonts w:ascii="Times New Roman" w:hAnsi="Times New Roman"/>
            <w:noProof/>
          </w:rPr>
          <w:t>Figure 23: Répartition (%) des micro-algues du Togo par embranchement.</w:t>
        </w:r>
        <w:r w:rsidR="0036687F">
          <w:rPr>
            <w:noProof/>
            <w:webHidden/>
          </w:rPr>
          <w:tab/>
        </w:r>
        <w:r w:rsidR="0036687F">
          <w:rPr>
            <w:noProof/>
            <w:webHidden/>
          </w:rPr>
          <w:fldChar w:fldCharType="begin"/>
        </w:r>
        <w:r w:rsidR="0036687F">
          <w:rPr>
            <w:noProof/>
            <w:webHidden/>
          </w:rPr>
          <w:instrText xml:space="preserve"> PAGEREF _Toc533413511 \h </w:instrText>
        </w:r>
        <w:r w:rsidR="0036687F">
          <w:rPr>
            <w:noProof/>
            <w:webHidden/>
          </w:rPr>
        </w:r>
        <w:r w:rsidR="0036687F">
          <w:rPr>
            <w:noProof/>
            <w:webHidden/>
          </w:rPr>
          <w:fldChar w:fldCharType="separate"/>
        </w:r>
        <w:r w:rsidR="00C47BFF">
          <w:rPr>
            <w:noProof/>
            <w:webHidden/>
          </w:rPr>
          <w:t>145</w:t>
        </w:r>
        <w:r w:rsidR="0036687F">
          <w:rPr>
            <w:noProof/>
            <w:webHidden/>
          </w:rPr>
          <w:fldChar w:fldCharType="end"/>
        </w:r>
      </w:hyperlink>
    </w:p>
    <w:p w14:paraId="1F0835E9" w14:textId="77777777" w:rsidR="00DD7927" w:rsidRDefault="00620BEA" w:rsidP="003A74B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1908EAD0" w14:textId="77777777" w:rsidR="00DD7927" w:rsidRPr="001633C1" w:rsidRDefault="00DD7927" w:rsidP="003A74BD">
      <w:pPr>
        <w:autoSpaceDE w:val="0"/>
        <w:autoSpaceDN w:val="0"/>
        <w:adjustRightInd w:val="0"/>
        <w:spacing w:after="0" w:line="240" w:lineRule="auto"/>
        <w:jc w:val="both"/>
        <w:rPr>
          <w:rFonts w:ascii="Times New Roman" w:hAnsi="Times New Roman" w:cs="Times New Roman"/>
          <w:b/>
          <w:sz w:val="24"/>
          <w:szCs w:val="24"/>
        </w:rPr>
      </w:pPr>
      <w:r w:rsidRPr="001633C1">
        <w:rPr>
          <w:rFonts w:ascii="Times New Roman" w:hAnsi="Times New Roman" w:cs="Times New Roman"/>
          <w:b/>
          <w:sz w:val="24"/>
          <w:szCs w:val="24"/>
        </w:rPr>
        <w:t>LISTE DES PHOTOS</w:t>
      </w:r>
    </w:p>
    <w:p w14:paraId="0624E5C3" w14:textId="77777777" w:rsidR="00DD7927" w:rsidRDefault="00DD7927" w:rsidP="003A74BD">
      <w:pPr>
        <w:autoSpaceDE w:val="0"/>
        <w:autoSpaceDN w:val="0"/>
        <w:adjustRightInd w:val="0"/>
        <w:spacing w:after="0" w:line="240" w:lineRule="auto"/>
        <w:jc w:val="both"/>
        <w:rPr>
          <w:rFonts w:ascii="Times New Roman" w:hAnsi="Times New Roman" w:cs="Times New Roman"/>
          <w:sz w:val="24"/>
          <w:szCs w:val="24"/>
        </w:rPr>
      </w:pPr>
    </w:p>
    <w:p w14:paraId="11D644CB" w14:textId="1520210F" w:rsidR="0036687F" w:rsidRPr="0036687F" w:rsidRDefault="00620BEA">
      <w:pPr>
        <w:pStyle w:val="Tabledesillustrations"/>
        <w:tabs>
          <w:tab w:val="right" w:leader="dot" w:pos="9060"/>
        </w:tabs>
        <w:rPr>
          <w:rFonts w:eastAsiaTheme="minorEastAsia"/>
          <w:noProof/>
          <w:lang w:eastAsia="fr-FR"/>
        </w:rPr>
      </w:pPr>
      <w:r w:rsidRPr="0036687F">
        <w:rPr>
          <w:rFonts w:ascii="Times New Roman" w:hAnsi="Times New Roman" w:cs="Times New Roman"/>
          <w:sz w:val="24"/>
          <w:szCs w:val="24"/>
        </w:rPr>
        <w:fldChar w:fldCharType="begin"/>
      </w:r>
      <w:r w:rsidR="00A02AD3" w:rsidRPr="0036687F">
        <w:rPr>
          <w:rFonts w:ascii="Times New Roman" w:hAnsi="Times New Roman" w:cs="Times New Roman"/>
          <w:sz w:val="24"/>
          <w:szCs w:val="24"/>
        </w:rPr>
        <w:instrText xml:space="preserve"> TOC \h \z \c "Photo" </w:instrText>
      </w:r>
      <w:r w:rsidRPr="0036687F">
        <w:rPr>
          <w:rFonts w:ascii="Times New Roman" w:hAnsi="Times New Roman" w:cs="Times New Roman"/>
          <w:sz w:val="24"/>
          <w:szCs w:val="24"/>
        </w:rPr>
        <w:fldChar w:fldCharType="separate"/>
      </w:r>
      <w:hyperlink w:anchor="_Toc533413512" w:history="1">
        <w:r w:rsidR="0036687F" w:rsidRPr="0036687F">
          <w:rPr>
            <w:rStyle w:val="Lienhypertexte"/>
            <w:noProof/>
          </w:rPr>
          <w:t xml:space="preserve">Photo 1 : </w:t>
        </w:r>
        <w:r w:rsidR="0036687F" w:rsidRPr="0036687F">
          <w:rPr>
            <w:rStyle w:val="Lienhypertexte"/>
            <w:rFonts w:ascii="Times New Roman" w:hAnsi="Times New Roman" w:cs="Times New Roman"/>
            <w:iCs/>
            <w:noProof/>
            <w:lang w:val="fr-CA"/>
          </w:rPr>
          <w:t>Mirador des mares aux hipopotames Afito</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_Toc533413512 \h </w:instrText>
        </w:r>
        <w:r w:rsidR="0036687F" w:rsidRPr="0036687F">
          <w:rPr>
            <w:noProof/>
            <w:webHidden/>
          </w:rPr>
        </w:r>
        <w:r w:rsidR="0036687F" w:rsidRPr="0036687F">
          <w:rPr>
            <w:noProof/>
            <w:webHidden/>
          </w:rPr>
          <w:fldChar w:fldCharType="separate"/>
        </w:r>
        <w:r w:rsidR="00C47BFF">
          <w:rPr>
            <w:noProof/>
            <w:webHidden/>
          </w:rPr>
          <w:t>39</w:t>
        </w:r>
        <w:r w:rsidR="0036687F" w:rsidRPr="0036687F">
          <w:rPr>
            <w:noProof/>
            <w:webHidden/>
          </w:rPr>
          <w:fldChar w:fldCharType="end"/>
        </w:r>
      </w:hyperlink>
    </w:p>
    <w:p w14:paraId="6419D265" w14:textId="15800481" w:rsidR="0036687F" w:rsidRPr="0036687F" w:rsidRDefault="00A14142">
      <w:pPr>
        <w:pStyle w:val="Tabledesillustrations"/>
        <w:tabs>
          <w:tab w:val="right" w:leader="dot" w:pos="9060"/>
        </w:tabs>
        <w:rPr>
          <w:rFonts w:eastAsiaTheme="minorEastAsia"/>
          <w:noProof/>
          <w:lang w:eastAsia="fr-FR"/>
        </w:rPr>
      </w:pPr>
      <w:hyperlink w:anchor="_Toc533413513" w:history="1">
        <w:r w:rsidR="0036687F" w:rsidRPr="0036687F">
          <w:rPr>
            <w:rStyle w:val="Lienhypertexte"/>
            <w:noProof/>
          </w:rPr>
          <w:t xml:space="preserve">Photo 2 : </w:t>
        </w:r>
        <w:r w:rsidR="0036687F" w:rsidRPr="0036687F">
          <w:rPr>
            <w:rStyle w:val="Lienhypertexte"/>
            <w:rFonts w:ascii="Calibri" w:eastAsia="Calibri" w:hAnsi="Calibri" w:cs="Times New Roman"/>
            <w:i/>
            <w:noProof/>
          </w:rPr>
          <w:t>Une séance de consultation pour l’élaboration du plan d’investissement du village d’Ando-Kpomey</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_Toc533413513 \h </w:instrText>
        </w:r>
        <w:r w:rsidR="0036687F" w:rsidRPr="0036687F">
          <w:rPr>
            <w:noProof/>
            <w:webHidden/>
          </w:rPr>
        </w:r>
        <w:r w:rsidR="0036687F" w:rsidRPr="0036687F">
          <w:rPr>
            <w:noProof/>
            <w:webHidden/>
          </w:rPr>
          <w:fldChar w:fldCharType="separate"/>
        </w:r>
        <w:r w:rsidR="00C47BFF">
          <w:rPr>
            <w:noProof/>
            <w:webHidden/>
          </w:rPr>
          <w:t>40</w:t>
        </w:r>
        <w:r w:rsidR="0036687F" w:rsidRPr="0036687F">
          <w:rPr>
            <w:noProof/>
            <w:webHidden/>
          </w:rPr>
          <w:fldChar w:fldCharType="end"/>
        </w:r>
      </w:hyperlink>
    </w:p>
    <w:p w14:paraId="4DA964CD" w14:textId="19F069EC" w:rsidR="0036687F" w:rsidRPr="0036687F" w:rsidRDefault="00A14142">
      <w:pPr>
        <w:pStyle w:val="Tabledesillustrations"/>
        <w:tabs>
          <w:tab w:val="right" w:leader="dot" w:pos="9060"/>
        </w:tabs>
        <w:rPr>
          <w:rFonts w:eastAsiaTheme="minorEastAsia"/>
          <w:noProof/>
          <w:lang w:eastAsia="fr-FR"/>
        </w:rPr>
      </w:pPr>
      <w:hyperlink w:anchor="_Toc533413514" w:history="1">
        <w:r w:rsidR="0036687F" w:rsidRPr="0036687F">
          <w:rPr>
            <w:rStyle w:val="Lienhypertexte"/>
            <w:noProof/>
          </w:rPr>
          <w:t xml:space="preserve">Photo 3 : </w:t>
        </w:r>
        <w:r w:rsidR="0036687F" w:rsidRPr="0036687F">
          <w:rPr>
            <w:rStyle w:val="Lienhypertexte"/>
            <w:rFonts w:ascii="Calibri" w:hAnsi="Calibri"/>
            <w:noProof/>
            <w:lang w:eastAsia="fr-FR"/>
          </w:rPr>
          <w:t>Forage et mini centrale solaire à Ando-Kpomey</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_Toc533413514 \h </w:instrText>
        </w:r>
        <w:r w:rsidR="0036687F" w:rsidRPr="0036687F">
          <w:rPr>
            <w:noProof/>
            <w:webHidden/>
          </w:rPr>
        </w:r>
        <w:r w:rsidR="0036687F" w:rsidRPr="0036687F">
          <w:rPr>
            <w:noProof/>
            <w:webHidden/>
          </w:rPr>
          <w:fldChar w:fldCharType="separate"/>
        </w:r>
        <w:r w:rsidR="00C47BFF">
          <w:rPr>
            <w:noProof/>
            <w:webHidden/>
          </w:rPr>
          <w:t>42</w:t>
        </w:r>
        <w:r w:rsidR="0036687F" w:rsidRPr="0036687F">
          <w:rPr>
            <w:noProof/>
            <w:webHidden/>
          </w:rPr>
          <w:fldChar w:fldCharType="end"/>
        </w:r>
      </w:hyperlink>
    </w:p>
    <w:p w14:paraId="768CECD4" w14:textId="53D39F32" w:rsidR="0036687F" w:rsidRPr="0036687F" w:rsidRDefault="00A14142">
      <w:pPr>
        <w:pStyle w:val="Tabledesillustrations"/>
        <w:tabs>
          <w:tab w:val="right" w:leader="dot" w:pos="9060"/>
        </w:tabs>
        <w:rPr>
          <w:rFonts w:eastAsiaTheme="minorEastAsia"/>
          <w:noProof/>
          <w:lang w:eastAsia="fr-FR"/>
        </w:rPr>
      </w:pPr>
      <w:hyperlink w:anchor="_Toc533413515" w:history="1">
        <w:r w:rsidR="0036687F" w:rsidRPr="0036687F">
          <w:rPr>
            <w:rStyle w:val="Lienhypertexte"/>
            <w:noProof/>
          </w:rPr>
          <w:t>Photo 4 : Activités génératrices de revenus à Ando-Kpomey</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_Toc533413515 \h </w:instrText>
        </w:r>
        <w:r w:rsidR="0036687F" w:rsidRPr="0036687F">
          <w:rPr>
            <w:noProof/>
            <w:webHidden/>
          </w:rPr>
        </w:r>
        <w:r w:rsidR="0036687F" w:rsidRPr="0036687F">
          <w:rPr>
            <w:noProof/>
            <w:webHidden/>
          </w:rPr>
          <w:fldChar w:fldCharType="separate"/>
        </w:r>
        <w:r w:rsidR="00C47BFF">
          <w:rPr>
            <w:noProof/>
            <w:webHidden/>
          </w:rPr>
          <w:t>42</w:t>
        </w:r>
        <w:r w:rsidR="0036687F" w:rsidRPr="0036687F">
          <w:rPr>
            <w:noProof/>
            <w:webHidden/>
          </w:rPr>
          <w:fldChar w:fldCharType="end"/>
        </w:r>
      </w:hyperlink>
    </w:p>
    <w:p w14:paraId="1766717C" w14:textId="28FF9984" w:rsidR="0036687F" w:rsidRPr="0036687F" w:rsidRDefault="00A14142">
      <w:pPr>
        <w:pStyle w:val="Tabledesillustrations"/>
        <w:tabs>
          <w:tab w:val="right" w:leader="dot" w:pos="9060"/>
        </w:tabs>
        <w:rPr>
          <w:rFonts w:eastAsiaTheme="minorEastAsia"/>
          <w:noProof/>
          <w:lang w:eastAsia="fr-FR"/>
        </w:rPr>
      </w:pPr>
      <w:hyperlink w:anchor="_Toc533413516" w:history="1">
        <w:r w:rsidR="0036687F" w:rsidRPr="0036687F">
          <w:rPr>
            <w:rStyle w:val="Lienhypertexte"/>
            <w:noProof/>
          </w:rPr>
          <w:t>Photo 5 :</w:t>
        </w:r>
        <w:r w:rsidR="0036687F" w:rsidRPr="0036687F">
          <w:rPr>
            <w:rStyle w:val="Lienhypertexte"/>
            <w:i/>
            <w:noProof/>
          </w:rPr>
          <w:t xml:space="preserve"> Conclusions générales et des enseignements tirés</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_Toc533413516 \h </w:instrText>
        </w:r>
        <w:r w:rsidR="0036687F" w:rsidRPr="0036687F">
          <w:rPr>
            <w:noProof/>
            <w:webHidden/>
          </w:rPr>
        </w:r>
        <w:r w:rsidR="0036687F" w:rsidRPr="0036687F">
          <w:rPr>
            <w:noProof/>
            <w:webHidden/>
          </w:rPr>
          <w:fldChar w:fldCharType="separate"/>
        </w:r>
        <w:r w:rsidR="00C47BFF">
          <w:rPr>
            <w:noProof/>
            <w:webHidden/>
          </w:rPr>
          <w:t>43</w:t>
        </w:r>
        <w:r w:rsidR="0036687F" w:rsidRPr="0036687F">
          <w:rPr>
            <w:noProof/>
            <w:webHidden/>
          </w:rPr>
          <w:fldChar w:fldCharType="end"/>
        </w:r>
      </w:hyperlink>
    </w:p>
    <w:p w14:paraId="501C6E40" w14:textId="54D891BC" w:rsidR="0036687F" w:rsidRPr="0036687F" w:rsidRDefault="00A14142">
      <w:pPr>
        <w:pStyle w:val="Tabledesillustrations"/>
        <w:tabs>
          <w:tab w:val="right" w:leader="dot" w:pos="9060"/>
        </w:tabs>
        <w:rPr>
          <w:rFonts w:eastAsiaTheme="minorEastAsia"/>
          <w:noProof/>
          <w:lang w:eastAsia="fr-FR"/>
        </w:rPr>
      </w:pPr>
      <w:hyperlink w:anchor="_Toc533413517" w:history="1">
        <w:r w:rsidR="0036687F" w:rsidRPr="0036687F">
          <w:rPr>
            <w:rStyle w:val="Lienhypertexte"/>
            <w:rFonts w:ascii="Times New Roman" w:hAnsi="Times New Roman"/>
            <w:noProof/>
          </w:rPr>
          <w:t>Photo 6: Eichhornia crassipes s’installant sur le chenal de Gbaga à Seko.</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_Toc533413517 \h </w:instrText>
        </w:r>
        <w:r w:rsidR="0036687F" w:rsidRPr="0036687F">
          <w:rPr>
            <w:noProof/>
            <w:webHidden/>
          </w:rPr>
        </w:r>
        <w:r w:rsidR="0036687F" w:rsidRPr="0036687F">
          <w:rPr>
            <w:noProof/>
            <w:webHidden/>
          </w:rPr>
          <w:fldChar w:fldCharType="separate"/>
        </w:r>
        <w:r w:rsidR="00C47BFF">
          <w:rPr>
            <w:noProof/>
            <w:webHidden/>
          </w:rPr>
          <w:t>113</w:t>
        </w:r>
        <w:r w:rsidR="0036687F" w:rsidRPr="0036687F">
          <w:rPr>
            <w:noProof/>
            <w:webHidden/>
          </w:rPr>
          <w:fldChar w:fldCharType="end"/>
        </w:r>
      </w:hyperlink>
    </w:p>
    <w:p w14:paraId="6DBE5CAC" w14:textId="40951025" w:rsidR="0036687F" w:rsidRPr="0036687F" w:rsidRDefault="00A14142">
      <w:pPr>
        <w:pStyle w:val="Tabledesillustrations"/>
        <w:tabs>
          <w:tab w:val="right" w:leader="dot" w:pos="9060"/>
        </w:tabs>
        <w:rPr>
          <w:rFonts w:eastAsiaTheme="minorEastAsia"/>
          <w:noProof/>
          <w:lang w:eastAsia="fr-FR"/>
        </w:rPr>
      </w:pPr>
      <w:hyperlink w:anchor="_Toc533413518" w:history="1">
        <w:r w:rsidR="0036687F" w:rsidRPr="0036687F">
          <w:rPr>
            <w:rStyle w:val="Lienhypertexte"/>
            <w:rFonts w:ascii="Times New Roman" w:hAnsi="Times New Roman"/>
            <w:noProof/>
          </w:rPr>
          <w:t>Photo 7 : Aillerons de requins saisis en mer en 2017 (a), ivoires en transit saisis et sortis du conteneur au port autonome de Lomé en 2014 (b)</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_Toc533413518 \h </w:instrText>
        </w:r>
        <w:r w:rsidR="0036687F" w:rsidRPr="0036687F">
          <w:rPr>
            <w:noProof/>
            <w:webHidden/>
          </w:rPr>
        </w:r>
        <w:r w:rsidR="0036687F" w:rsidRPr="0036687F">
          <w:rPr>
            <w:noProof/>
            <w:webHidden/>
          </w:rPr>
          <w:fldChar w:fldCharType="separate"/>
        </w:r>
        <w:r w:rsidR="00C47BFF">
          <w:rPr>
            <w:noProof/>
            <w:webHidden/>
          </w:rPr>
          <w:t>116</w:t>
        </w:r>
        <w:r w:rsidR="0036687F" w:rsidRPr="0036687F">
          <w:rPr>
            <w:noProof/>
            <w:webHidden/>
          </w:rPr>
          <w:fldChar w:fldCharType="end"/>
        </w:r>
      </w:hyperlink>
    </w:p>
    <w:p w14:paraId="3AF62101" w14:textId="5D759EA3" w:rsidR="0036687F" w:rsidRPr="0036687F" w:rsidRDefault="00A14142">
      <w:pPr>
        <w:pStyle w:val="Tabledesillustrations"/>
        <w:tabs>
          <w:tab w:val="right" w:leader="dot" w:pos="9060"/>
        </w:tabs>
        <w:rPr>
          <w:rFonts w:eastAsiaTheme="minorEastAsia"/>
          <w:noProof/>
          <w:lang w:eastAsia="fr-FR"/>
        </w:rPr>
      </w:pPr>
      <w:hyperlink w:anchor="_Toc533413519" w:history="1">
        <w:r w:rsidR="0036687F" w:rsidRPr="0036687F">
          <w:rPr>
            <w:rStyle w:val="Lienhypertexte"/>
            <w:rFonts w:ascii="Times New Roman" w:hAnsi="Times New Roman"/>
            <w:noProof/>
          </w:rPr>
          <w:t>Photo 8: Arbre fétiche (</w:t>
        </w:r>
        <w:r w:rsidR="0036687F" w:rsidRPr="0036687F">
          <w:rPr>
            <w:rStyle w:val="Lienhypertexte"/>
            <w:rFonts w:ascii="Times New Roman" w:hAnsi="Times New Roman"/>
            <w:i/>
            <w:noProof/>
          </w:rPr>
          <w:t>Antiaris africana</w:t>
        </w:r>
        <w:r w:rsidR="0036687F" w:rsidRPr="0036687F">
          <w:rPr>
            <w:rStyle w:val="Lienhypertexte"/>
            <w:rFonts w:ascii="Times New Roman" w:hAnsi="Times New Roman"/>
            <w:noProof/>
          </w:rPr>
          <w:t>) vénéré</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_Toc533413519 \h </w:instrText>
        </w:r>
        <w:r w:rsidR="0036687F" w:rsidRPr="0036687F">
          <w:rPr>
            <w:noProof/>
            <w:webHidden/>
          </w:rPr>
        </w:r>
        <w:r w:rsidR="0036687F" w:rsidRPr="0036687F">
          <w:rPr>
            <w:noProof/>
            <w:webHidden/>
          </w:rPr>
          <w:fldChar w:fldCharType="separate"/>
        </w:r>
        <w:r w:rsidR="00C47BFF">
          <w:rPr>
            <w:noProof/>
            <w:webHidden/>
          </w:rPr>
          <w:t>122</w:t>
        </w:r>
        <w:r w:rsidR="0036687F" w:rsidRPr="0036687F">
          <w:rPr>
            <w:noProof/>
            <w:webHidden/>
          </w:rPr>
          <w:fldChar w:fldCharType="end"/>
        </w:r>
      </w:hyperlink>
    </w:p>
    <w:p w14:paraId="0F5CFA35" w14:textId="1BF7232C" w:rsidR="0036687F" w:rsidRPr="0036687F" w:rsidRDefault="00A14142">
      <w:pPr>
        <w:pStyle w:val="Tabledesillustrations"/>
        <w:tabs>
          <w:tab w:val="right" w:leader="dot" w:pos="9060"/>
        </w:tabs>
        <w:rPr>
          <w:rFonts w:eastAsiaTheme="minorEastAsia"/>
          <w:noProof/>
          <w:lang w:eastAsia="fr-FR"/>
        </w:rPr>
      </w:pPr>
      <w:hyperlink w:anchor="_Toc533413520" w:history="1">
        <w:r w:rsidR="0036687F" w:rsidRPr="0036687F">
          <w:rPr>
            <w:rStyle w:val="Lienhypertexte"/>
            <w:rFonts w:ascii="Times New Roman" w:hAnsi="Times New Roman"/>
            <w:noProof/>
          </w:rPr>
          <w:t>Photo 9: Forêt sacrée d’Amédéhoèvé (ou d’Agbata)</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_Toc533413520 \h </w:instrText>
        </w:r>
        <w:r w:rsidR="0036687F" w:rsidRPr="0036687F">
          <w:rPr>
            <w:noProof/>
            <w:webHidden/>
          </w:rPr>
        </w:r>
        <w:r w:rsidR="0036687F" w:rsidRPr="0036687F">
          <w:rPr>
            <w:noProof/>
            <w:webHidden/>
          </w:rPr>
          <w:fldChar w:fldCharType="separate"/>
        </w:r>
        <w:r w:rsidR="00C47BFF">
          <w:rPr>
            <w:noProof/>
            <w:webHidden/>
          </w:rPr>
          <w:t>123</w:t>
        </w:r>
        <w:r w:rsidR="0036687F" w:rsidRPr="0036687F">
          <w:rPr>
            <w:noProof/>
            <w:webHidden/>
          </w:rPr>
          <w:fldChar w:fldCharType="end"/>
        </w:r>
      </w:hyperlink>
    </w:p>
    <w:p w14:paraId="7CF78ABB" w14:textId="54AB7FF8" w:rsidR="0036687F" w:rsidRPr="0036687F" w:rsidRDefault="00A14142">
      <w:pPr>
        <w:pStyle w:val="Tabledesillustrations"/>
        <w:tabs>
          <w:tab w:val="right" w:leader="dot" w:pos="9060"/>
        </w:tabs>
        <w:rPr>
          <w:rFonts w:eastAsiaTheme="minorEastAsia"/>
          <w:noProof/>
          <w:lang w:eastAsia="fr-FR"/>
        </w:rPr>
      </w:pPr>
      <w:hyperlink w:anchor="_Toc533413521" w:history="1">
        <w:r w:rsidR="0036687F" w:rsidRPr="0036687F">
          <w:rPr>
            <w:rStyle w:val="Lienhypertexte"/>
            <w:rFonts w:ascii="Times New Roman" w:hAnsi="Times New Roman"/>
            <w:noProof/>
          </w:rPr>
          <w:t>Photo 10: Dracaena au milieu d’une forêt des ancêtres</w:t>
        </w:r>
        <w:r w:rsidR="0036687F" w:rsidRPr="0036687F">
          <w:rPr>
            <w:noProof/>
            <w:webHidden/>
          </w:rPr>
          <w:tab/>
        </w:r>
        <w:r w:rsidR="0036687F" w:rsidRPr="0036687F">
          <w:rPr>
            <w:noProof/>
            <w:webHidden/>
          </w:rPr>
          <w:fldChar w:fldCharType="begin"/>
        </w:r>
        <w:r w:rsidR="0036687F" w:rsidRPr="0036687F">
          <w:rPr>
            <w:noProof/>
            <w:webHidden/>
          </w:rPr>
          <w:instrText xml:space="preserve"> PAGEREF _Toc533413521 \h </w:instrText>
        </w:r>
        <w:r w:rsidR="0036687F" w:rsidRPr="0036687F">
          <w:rPr>
            <w:noProof/>
            <w:webHidden/>
          </w:rPr>
        </w:r>
        <w:r w:rsidR="0036687F" w:rsidRPr="0036687F">
          <w:rPr>
            <w:noProof/>
            <w:webHidden/>
          </w:rPr>
          <w:fldChar w:fldCharType="separate"/>
        </w:r>
        <w:r w:rsidR="00C47BFF">
          <w:rPr>
            <w:noProof/>
            <w:webHidden/>
          </w:rPr>
          <w:t>124</w:t>
        </w:r>
        <w:r w:rsidR="0036687F" w:rsidRPr="0036687F">
          <w:rPr>
            <w:noProof/>
            <w:webHidden/>
          </w:rPr>
          <w:fldChar w:fldCharType="end"/>
        </w:r>
      </w:hyperlink>
    </w:p>
    <w:p w14:paraId="68926BF3" w14:textId="77777777" w:rsidR="00DD7927" w:rsidRDefault="00620BEA" w:rsidP="00DD7927">
      <w:pPr>
        <w:autoSpaceDE w:val="0"/>
        <w:autoSpaceDN w:val="0"/>
        <w:adjustRightInd w:val="0"/>
        <w:spacing w:after="0" w:line="240" w:lineRule="auto"/>
        <w:jc w:val="both"/>
        <w:rPr>
          <w:rFonts w:ascii="Times New Roman" w:hAnsi="Times New Roman" w:cs="Times New Roman"/>
          <w:sz w:val="24"/>
          <w:szCs w:val="24"/>
        </w:rPr>
      </w:pPr>
      <w:r w:rsidRPr="0036687F">
        <w:rPr>
          <w:rFonts w:ascii="Times New Roman" w:hAnsi="Times New Roman" w:cs="Times New Roman"/>
          <w:sz w:val="24"/>
          <w:szCs w:val="24"/>
        </w:rPr>
        <w:fldChar w:fldCharType="end"/>
      </w:r>
    </w:p>
    <w:p w14:paraId="54444761" w14:textId="77777777" w:rsidR="00DD7927" w:rsidRDefault="00DD7927" w:rsidP="00DD7927">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b/>
          <w:sz w:val="24"/>
          <w:szCs w:val="24"/>
        </w:rPr>
        <w:br w:type="page"/>
      </w:r>
    </w:p>
    <w:p w14:paraId="5A7348FA" w14:textId="77777777" w:rsidR="00DD7927" w:rsidRPr="00187964" w:rsidRDefault="00DD7927" w:rsidP="00A02AD3">
      <w:pPr>
        <w:pStyle w:val="Titre1"/>
      </w:pPr>
      <w:bookmarkStart w:id="1" w:name="_Toc533413732"/>
      <w:r w:rsidRPr="00187964">
        <w:t>SIGLES ET ACRONYMES</w:t>
      </w:r>
      <w:bookmarkEnd w:id="1"/>
    </w:p>
    <w:p w14:paraId="13C37883" w14:textId="77777777" w:rsidR="00DD7927" w:rsidRPr="00187964" w:rsidRDefault="00DD7927" w:rsidP="00DD7927">
      <w:pPr>
        <w:autoSpaceDE w:val="0"/>
        <w:autoSpaceDN w:val="0"/>
        <w:adjustRightInd w:val="0"/>
        <w:spacing w:after="0" w:line="240" w:lineRule="auto"/>
        <w:jc w:val="both"/>
        <w:rPr>
          <w:rFonts w:ascii="Times New Roman" w:hAnsi="Times New Roman" w:cs="Times New Roman"/>
          <w:sz w:val="24"/>
          <w:szCs w:val="24"/>
        </w:rPr>
      </w:pPr>
    </w:p>
    <w:tbl>
      <w:tblPr>
        <w:tblStyle w:val="Grilledutableau"/>
        <w:tblW w:w="91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6"/>
        <w:gridCol w:w="7309"/>
      </w:tblGrid>
      <w:tr w:rsidR="00DD7927" w:rsidRPr="002233C1" w14:paraId="47F4FE7F" w14:textId="77777777" w:rsidTr="00DD7927">
        <w:tc>
          <w:tcPr>
            <w:tcW w:w="1866" w:type="dxa"/>
            <w:vAlign w:val="center"/>
          </w:tcPr>
          <w:p w14:paraId="4CF2FD53"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ABAD</w:t>
            </w:r>
          </w:p>
        </w:tc>
        <w:tc>
          <w:tcPr>
            <w:tcW w:w="7309" w:type="dxa"/>
            <w:vAlign w:val="center"/>
          </w:tcPr>
          <w:p w14:paraId="20ED3AC9"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Action Base de Développement</w:t>
            </w:r>
          </w:p>
        </w:tc>
      </w:tr>
      <w:tr w:rsidR="00DD7927" w:rsidRPr="002233C1" w14:paraId="5196A071" w14:textId="77777777" w:rsidTr="00DD7927">
        <w:tc>
          <w:tcPr>
            <w:tcW w:w="1866" w:type="dxa"/>
            <w:shd w:val="clear" w:color="auto" w:fill="auto"/>
            <w:vAlign w:val="center"/>
          </w:tcPr>
          <w:p w14:paraId="1CD420EF" w14:textId="77777777" w:rsidR="00DD7927" w:rsidRPr="00F34789" w:rsidRDefault="00DD7927" w:rsidP="00DD7927">
            <w:pPr>
              <w:rPr>
                <w:rFonts w:ascii="Times New Roman" w:eastAsia="Calibri" w:hAnsi="Times New Roman" w:cs="Times New Roman"/>
                <w:sz w:val="20"/>
                <w:szCs w:val="20"/>
              </w:rPr>
            </w:pPr>
            <w:r w:rsidRPr="00F34789">
              <w:rPr>
                <w:rFonts w:ascii="Times New Roman" w:hAnsi="Times New Roman" w:cs="Times New Roman"/>
                <w:color w:val="000000"/>
                <w:sz w:val="20"/>
                <w:szCs w:val="20"/>
              </w:rPr>
              <w:t>AE2D</w:t>
            </w:r>
          </w:p>
        </w:tc>
        <w:tc>
          <w:tcPr>
            <w:tcW w:w="7309" w:type="dxa"/>
            <w:shd w:val="clear" w:color="auto" w:fill="auto"/>
            <w:vAlign w:val="center"/>
          </w:tcPr>
          <w:p w14:paraId="11003FA7" w14:textId="77777777" w:rsidR="00DD7927" w:rsidRPr="002233C1" w:rsidRDefault="00DD7927" w:rsidP="00DD7927">
            <w:pPr>
              <w:rPr>
                <w:rFonts w:ascii="Times New Roman" w:eastAsia="Calibri" w:hAnsi="Times New Roman" w:cs="Times New Roman"/>
                <w:sz w:val="20"/>
                <w:szCs w:val="20"/>
              </w:rPr>
            </w:pPr>
            <w:r w:rsidRPr="00F34789">
              <w:rPr>
                <w:rFonts w:ascii="Times New Roman" w:eastAsia="Calibri" w:hAnsi="Times New Roman" w:cs="Times New Roman"/>
                <w:sz w:val="20"/>
                <w:szCs w:val="20"/>
              </w:rPr>
              <w:t>Action Environnement pour le Développement Durable</w:t>
            </w:r>
          </w:p>
        </w:tc>
      </w:tr>
      <w:tr w:rsidR="00DD7927" w:rsidRPr="002233C1" w14:paraId="6B7FFE3E" w14:textId="77777777" w:rsidTr="00DD7927">
        <w:tc>
          <w:tcPr>
            <w:tcW w:w="1866" w:type="dxa"/>
            <w:vAlign w:val="center"/>
          </w:tcPr>
          <w:p w14:paraId="1A95E06D"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AGRISEF</w:t>
            </w:r>
          </w:p>
        </w:tc>
        <w:tc>
          <w:tcPr>
            <w:tcW w:w="7309" w:type="dxa"/>
            <w:vAlign w:val="center"/>
          </w:tcPr>
          <w:p w14:paraId="02CF731E"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Accès des agriculteurs aux services financiers</w:t>
            </w:r>
          </w:p>
        </w:tc>
      </w:tr>
      <w:tr w:rsidR="00DD7927" w:rsidRPr="002233C1" w14:paraId="4E72EFF4" w14:textId="77777777" w:rsidTr="00DD7927">
        <w:tc>
          <w:tcPr>
            <w:tcW w:w="1866" w:type="dxa"/>
            <w:vAlign w:val="center"/>
          </w:tcPr>
          <w:p w14:paraId="28498125"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AMP</w:t>
            </w:r>
          </w:p>
        </w:tc>
        <w:tc>
          <w:tcPr>
            <w:tcW w:w="7309" w:type="dxa"/>
            <w:vAlign w:val="center"/>
          </w:tcPr>
          <w:p w14:paraId="26EC3326"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Aire Marine Protégée</w:t>
            </w:r>
          </w:p>
        </w:tc>
      </w:tr>
      <w:tr w:rsidR="00DD7927" w:rsidRPr="002233C1" w14:paraId="67F772F1" w14:textId="77777777" w:rsidTr="00DD7927">
        <w:tc>
          <w:tcPr>
            <w:tcW w:w="1866" w:type="dxa"/>
            <w:vAlign w:val="center"/>
          </w:tcPr>
          <w:p w14:paraId="2A6C317E"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ANGE</w:t>
            </w:r>
          </w:p>
        </w:tc>
        <w:tc>
          <w:tcPr>
            <w:tcW w:w="7309" w:type="dxa"/>
            <w:vAlign w:val="center"/>
          </w:tcPr>
          <w:p w14:paraId="13B37E0D"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Agence Nationale de Gestion de l’Environnement</w:t>
            </w:r>
          </w:p>
        </w:tc>
      </w:tr>
      <w:tr w:rsidR="00DD7927" w:rsidRPr="002233C1" w14:paraId="656762D8" w14:textId="77777777" w:rsidTr="00DD7927">
        <w:tc>
          <w:tcPr>
            <w:tcW w:w="1866" w:type="dxa"/>
            <w:vAlign w:val="center"/>
          </w:tcPr>
          <w:p w14:paraId="1B016690"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ANGPF</w:t>
            </w:r>
          </w:p>
        </w:tc>
        <w:tc>
          <w:tcPr>
            <w:tcW w:w="7309" w:type="dxa"/>
            <w:vAlign w:val="center"/>
          </w:tcPr>
          <w:p w14:paraId="1FC8621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Agence nationale de promotion et de garantie de financement des PME-PMI</w:t>
            </w:r>
          </w:p>
        </w:tc>
      </w:tr>
      <w:tr w:rsidR="00DD7927" w:rsidRPr="00F34789" w14:paraId="7AB09720" w14:textId="77777777" w:rsidTr="00DD7927">
        <w:tc>
          <w:tcPr>
            <w:tcW w:w="1866" w:type="dxa"/>
            <w:shd w:val="clear" w:color="auto" w:fill="auto"/>
            <w:vAlign w:val="center"/>
          </w:tcPr>
          <w:p w14:paraId="4A47E08B" w14:textId="77777777" w:rsidR="00DD7927" w:rsidRPr="00F34789" w:rsidRDefault="00DD7927" w:rsidP="00DD7927">
            <w:pPr>
              <w:rPr>
                <w:rFonts w:ascii="Times New Roman" w:eastAsia="Calibri" w:hAnsi="Times New Roman" w:cs="Times New Roman"/>
                <w:sz w:val="20"/>
                <w:szCs w:val="20"/>
              </w:rPr>
            </w:pPr>
            <w:r w:rsidRPr="00F34789">
              <w:rPr>
                <w:rFonts w:ascii="Times New Roman" w:eastAsia="Calibri" w:hAnsi="Times New Roman" w:cs="Times New Roman"/>
                <w:sz w:val="20"/>
                <w:szCs w:val="20"/>
              </w:rPr>
              <w:t>APDPE</w:t>
            </w:r>
          </w:p>
        </w:tc>
        <w:tc>
          <w:tcPr>
            <w:tcW w:w="7309" w:type="dxa"/>
            <w:shd w:val="clear" w:color="auto" w:fill="auto"/>
            <w:vAlign w:val="center"/>
          </w:tcPr>
          <w:p w14:paraId="427E19CD" w14:textId="77777777" w:rsidR="00DD7927" w:rsidRPr="00F34789" w:rsidRDefault="00DD7927" w:rsidP="00DD7927">
            <w:pPr>
              <w:rPr>
                <w:rFonts w:ascii="Times New Roman" w:eastAsia="Calibri" w:hAnsi="Times New Roman" w:cs="Times New Roman"/>
                <w:sz w:val="20"/>
                <w:szCs w:val="20"/>
              </w:rPr>
            </w:pPr>
            <w:r w:rsidRPr="00F34789">
              <w:rPr>
                <w:rFonts w:ascii="Times New Roman" w:eastAsia="Calibri" w:hAnsi="Times New Roman" w:cs="Times New Roman"/>
                <w:sz w:val="20"/>
                <w:szCs w:val="20"/>
              </w:rPr>
              <w:t>Association Paysanne pour le Développement et la Protection de l'Environnement</w:t>
            </w:r>
          </w:p>
        </w:tc>
      </w:tr>
      <w:tr w:rsidR="00DD7927" w:rsidRPr="002233C1" w14:paraId="1CE9141C" w14:textId="77777777" w:rsidTr="00DD7927">
        <w:tc>
          <w:tcPr>
            <w:tcW w:w="1866" w:type="dxa"/>
            <w:vAlign w:val="center"/>
          </w:tcPr>
          <w:p w14:paraId="63A295AB" w14:textId="77777777" w:rsidR="00DD7927" w:rsidRPr="002233C1" w:rsidRDefault="00DD7927" w:rsidP="00DD7927">
            <w:pPr>
              <w:rPr>
                <w:rFonts w:ascii="Times New Roman" w:hAnsi="Times New Roman" w:cs="Times New Roman"/>
                <w:color w:val="000000"/>
                <w:sz w:val="20"/>
                <w:szCs w:val="20"/>
              </w:rPr>
            </w:pPr>
            <w:r w:rsidRPr="002233C1">
              <w:rPr>
                <w:rFonts w:ascii="Times New Roman" w:eastAsia="Calibri" w:hAnsi="Times New Roman" w:cs="Times New Roman"/>
                <w:sz w:val="20"/>
                <w:szCs w:val="20"/>
              </w:rPr>
              <w:t>ATTM</w:t>
            </w:r>
          </w:p>
        </w:tc>
        <w:tc>
          <w:tcPr>
            <w:tcW w:w="7309" w:type="dxa"/>
            <w:vAlign w:val="center"/>
          </w:tcPr>
          <w:p w14:paraId="6F54A273"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Accord Type de transfert de Matériel</w:t>
            </w:r>
          </w:p>
        </w:tc>
      </w:tr>
      <w:tr w:rsidR="00DD7927" w:rsidRPr="002233C1" w14:paraId="6BE0C036" w14:textId="77777777" w:rsidTr="00DD7927">
        <w:tc>
          <w:tcPr>
            <w:tcW w:w="1866" w:type="dxa"/>
            <w:vAlign w:val="center"/>
          </w:tcPr>
          <w:p w14:paraId="34B5333D"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AVGAP</w:t>
            </w:r>
          </w:p>
        </w:tc>
        <w:tc>
          <w:tcPr>
            <w:tcW w:w="7309" w:type="dxa"/>
            <w:vAlign w:val="center"/>
          </w:tcPr>
          <w:p w14:paraId="267B866D"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iCs/>
                <w:sz w:val="20"/>
                <w:szCs w:val="20"/>
                <w:lang w:val="fr-CA"/>
              </w:rPr>
              <w:t>Associations Villageoises de Gestion Participative des Aires Protégées</w:t>
            </w:r>
          </w:p>
        </w:tc>
      </w:tr>
      <w:tr w:rsidR="00DD7927" w:rsidRPr="002233C1" w14:paraId="5B9EDFB5" w14:textId="77777777" w:rsidTr="00DD7927">
        <w:tc>
          <w:tcPr>
            <w:tcW w:w="1866" w:type="dxa"/>
            <w:shd w:val="clear" w:color="auto" w:fill="auto"/>
            <w:vAlign w:val="center"/>
          </w:tcPr>
          <w:p w14:paraId="283AD5CC"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lang w:val="fr-CA"/>
              </w:rPr>
              <w:t>BOAD</w:t>
            </w:r>
          </w:p>
        </w:tc>
        <w:tc>
          <w:tcPr>
            <w:tcW w:w="7309" w:type="dxa"/>
            <w:shd w:val="clear" w:color="auto" w:fill="auto"/>
            <w:vAlign w:val="center"/>
          </w:tcPr>
          <w:p w14:paraId="7428C873" w14:textId="77777777" w:rsidR="00DD7927" w:rsidRPr="002233C1" w:rsidRDefault="00DD7927" w:rsidP="00DD7927">
            <w:pPr>
              <w:rPr>
                <w:rFonts w:ascii="Times New Roman" w:eastAsia="Calibri" w:hAnsi="Times New Roman" w:cs="Times New Roman"/>
                <w:sz w:val="20"/>
                <w:szCs w:val="20"/>
              </w:rPr>
            </w:pPr>
            <w:r>
              <w:rPr>
                <w:rFonts w:ascii="Times New Roman" w:eastAsia="Calibri" w:hAnsi="Times New Roman" w:cs="Times New Roman"/>
                <w:sz w:val="20"/>
                <w:szCs w:val="20"/>
              </w:rPr>
              <w:t>Banque Ouest-Africaine de Développement</w:t>
            </w:r>
          </w:p>
        </w:tc>
      </w:tr>
      <w:tr w:rsidR="00DD7927" w:rsidRPr="00F34789" w14:paraId="0ED3BFE1" w14:textId="77777777" w:rsidTr="00DD7927">
        <w:tc>
          <w:tcPr>
            <w:tcW w:w="1866" w:type="dxa"/>
            <w:shd w:val="clear" w:color="auto" w:fill="auto"/>
            <w:vAlign w:val="center"/>
          </w:tcPr>
          <w:p w14:paraId="78F90D60" w14:textId="77777777" w:rsidR="00DD7927" w:rsidRPr="00F34789" w:rsidRDefault="00DD7927" w:rsidP="00DD7927">
            <w:pPr>
              <w:rPr>
                <w:rFonts w:ascii="Times New Roman" w:hAnsi="Times New Roman" w:cs="Times New Roman"/>
                <w:color w:val="000000"/>
                <w:sz w:val="20"/>
                <w:szCs w:val="20"/>
              </w:rPr>
            </w:pPr>
            <w:r w:rsidRPr="00F34789">
              <w:rPr>
                <w:rFonts w:ascii="Times New Roman" w:hAnsi="Times New Roman" w:cs="Times New Roman"/>
                <w:color w:val="000000"/>
                <w:sz w:val="20"/>
                <w:szCs w:val="20"/>
              </w:rPr>
              <w:t>CADO</w:t>
            </w:r>
          </w:p>
        </w:tc>
        <w:tc>
          <w:tcPr>
            <w:tcW w:w="7309" w:type="dxa"/>
            <w:shd w:val="clear" w:color="auto" w:fill="auto"/>
            <w:vAlign w:val="center"/>
          </w:tcPr>
          <w:p w14:paraId="058307ED" w14:textId="77777777" w:rsidR="00DD7927" w:rsidRPr="00F34789" w:rsidRDefault="00DD7927" w:rsidP="00DD7927">
            <w:pPr>
              <w:rPr>
                <w:rFonts w:ascii="Times New Roman" w:eastAsia="Calibri" w:hAnsi="Times New Roman" w:cs="Times New Roman"/>
                <w:sz w:val="20"/>
                <w:szCs w:val="20"/>
              </w:rPr>
            </w:pPr>
            <w:r w:rsidRPr="00F34789">
              <w:rPr>
                <w:rStyle w:val="st"/>
                <w:rFonts w:ascii="Times New Roman" w:hAnsi="Times New Roman" w:cs="Times New Roman"/>
                <w:sz w:val="20"/>
                <w:szCs w:val="20"/>
              </w:rPr>
              <w:t>Centre d'Assistance aux Démunis et Orphelins</w:t>
            </w:r>
          </w:p>
        </w:tc>
      </w:tr>
      <w:tr w:rsidR="00DD7927" w:rsidRPr="002233C1" w14:paraId="5CC0993F" w14:textId="77777777" w:rsidTr="00DD7927">
        <w:tc>
          <w:tcPr>
            <w:tcW w:w="1866" w:type="dxa"/>
            <w:vAlign w:val="center"/>
          </w:tcPr>
          <w:p w14:paraId="6C74D7BA" w14:textId="77777777" w:rsidR="00DD7927" w:rsidRPr="002233C1" w:rsidRDefault="00DD7927" w:rsidP="00DD7927">
            <w:pPr>
              <w:rPr>
                <w:rFonts w:ascii="Times New Roman" w:hAnsi="Times New Roman" w:cs="Times New Roman"/>
                <w:color w:val="000000"/>
                <w:sz w:val="20"/>
                <w:szCs w:val="20"/>
              </w:rPr>
            </w:pPr>
            <w:r w:rsidRPr="002233C1">
              <w:rPr>
                <w:rFonts w:ascii="Times New Roman" w:eastAsia="Calibri" w:hAnsi="Times New Roman" w:cs="Times New Roman"/>
                <w:sz w:val="20"/>
                <w:szCs w:val="20"/>
              </w:rPr>
              <w:t>CCE</w:t>
            </w:r>
          </w:p>
        </w:tc>
        <w:tc>
          <w:tcPr>
            <w:tcW w:w="7309" w:type="dxa"/>
            <w:vAlign w:val="center"/>
          </w:tcPr>
          <w:p w14:paraId="5984F53A"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Certificat de Conformité Environnementale</w:t>
            </w:r>
          </w:p>
        </w:tc>
      </w:tr>
      <w:tr w:rsidR="00DD7927" w:rsidRPr="002233C1" w14:paraId="1B58C33F" w14:textId="77777777" w:rsidTr="00DD7927">
        <w:tc>
          <w:tcPr>
            <w:tcW w:w="1866" w:type="dxa"/>
            <w:vAlign w:val="center"/>
          </w:tcPr>
          <w:p w14:paraId="63C3E44B"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CDB</w:t>
            </w:r>
          </w:p>
        </w:tc>
        <w:tc>
          <w:tcPr>
            <w:tcW w:w="7309" w:type="dxa"/>
            <w:vAlign w:val="center"/>
          </w:tcPr>
          <w:p w14:paraId="6D1A0C5A"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Convention sur la Diversité Biologique</w:t>
            </w:r>
          </w:p>
        </w:tc>
      </w:tr>
      <w:tr w:rsidR="00DD7927" w:rsidRPr="002233C1" w14:paraId="79557145" w14:textId="77777777" w:rsidTr="00DD7927">
        <w:tc>
          <w:tcPr>
            <w:tcW w:w="1866" w:type="dxa"/>
            <w:vAlign w:val="center"/>
          </w:tcPr>
          <w:p w14:paraId="374706C1"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CDQ</w:t>
            </w:r>
          </w:p>
        </w:tc>
        <w:tc>
          <w:tcPr>
            <w:tcW w:w="7309" w:type="dxa"/>
            <w:vAlign w:val="center"/>
          </w:tcPr>
          <w:p w14:paraId="3ADADCCD"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iCs/>
                <w:sz w:val="20"/>
                <w:szCs w:val="20"/>
                <w:lang w:val="fr-CA"/>
              </w:rPr>
              <w:t>Comités de Développent des Quartiers</w:t>
            </w:r>
          </w:p>
        </w:tc>
      </w:tr>
      <w:tr w:rsidR="00DD7927" w:rsidRPr="00F34789" w14:paraId="1D98AFE2" w14:textId="77777777" w:rsidTr="00DD7927">
        <w:tc>
          <w:tcPr>
            <w:tcW w:w="1866" w:type="dxa"/>
            <w:shd w:val="clear" w:color="auto" w:fill="auto"/>
            <w:vAlign w:val="center"/>
          </w:tcPr>
          <w:p w14:paraId="5DE76B3C" w14:textId="77777777" w:rsidR="00DD7927" w:rsidRPr="00F34789" w:rsidRDefault="00DD7927" w:rsidP="00DD7927">
            <w:pPr>
              <w:rPr>
                <w:rFonts w:ascii="Times New Roman" w:hAnsi="Times New Roman" w:cs="Times New Roman"/>
                <w:color w:val="000000"/>
                <w:sz w:val="20"/>
                <w:szCs w:val="20"/>
              </w:rPr>
            </w:pPr>
            <w:r w:rsidRPr="00F34789">
              <w:rPr>
                <w:rFonts w:ascii="Times New Roman" w:hAnsi="Times New Roman" w:cs="Times New Roman"/>
                <w:sz w:val="20"/>
                <w:szCs w:val="20"/>
                <w:lang w:val="fr-CA"/>
              </w:rPr>
              <w:t>CEDEAO</w:t>
            </w:r>
          </w:p>
        </w:tc>
        <w:tc>
          <w:tcPr>
            <w:tcW w:w="7309" w:type="dxa"/>
            <w:shd w:val="clear" w:color="auto" w:fill="auto"/>
            <w:vAlign w:val="center"/>
          </w:tcPr>
          <w:p w14:paraId="1209D0B7" w14:textId="77777777" w:rsidR="00DD7927" w:rsidRPr="00F34789" w:rsidRDefault="00DD7927" w:rsidP="00DD7927">
            <w:pPr>
              <w:rPr>
                <w:rFonts w:ascii="Times New Roman" w:eastAsia="Calibri" w:hAnsi="Times New Roman" w:cs="Times New Roman"/>
                <w:sz w:val="20"/>
                <w:szCs w:val="20"/>
              </w:rPr>
            </w:pPr>
            <w:r w:rsidRPr="00F34789">
              <w:rPr>
                <w:rStyle w:val="st"/>
                <w:rFonts w:ascii="Times New Roman" w:hAnsi="Times New Roman" w:cs="Times New Roman"/>
                <w:sz w:val="20"/>
                <w:szCs w:val="20"/>
              </w:rPr>
              <w:t>Communauté Economique des Etats de l'Afrique de l'Ouest</w:t>
            </w:r>
          </w:p>
        </w:tc>
      </w:tr>
      <w:tr w:rsidR="00DD7927" w:rsidRPr="002233C1" w14:paraId="3342C32F" w14:textId="77777777" w:rsidTr="00DD7927">
        <w:tc>
          <w:tcPr>
            <w:tcW w:w="1866" w:type="dxa"/>
            <w:vAlign w:val="center"/>
          </w:tcPr>
          <w:p w14:paraId="05A03BCF"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CENAGREF</w:t>
            </w:r>
          </w:p>
        </w:tc>
        <w:tc>
          <w:tcPr>
            <w:tcW w:w="7309" w:type="dxa"/>
            <w:vAlign w:val="center"/>
          </w:tcPr>
          <w:p w14:paraId="6F232B58"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Centre national de gestion des réserves de faune</w:t>
            </w:r>
          </w:p>
        </w:tc>
      </w:tr>
      <w:tr w:rsidR="00DD7927" w:rsidRPr="002233C1" w14:paraId="382DF0E9" w14:textId="77777777" w:rsidTr="00DD7927">
        <w:tc>
          <w:tcPr>
            <w:tcW w:w="1866" w:type="dxa"/>
            <w:vAlign w:val="center"/>
          </w:tcPr>
          <w:p w14:paraId="2346B16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lang w:val="fr-CA"/>
              </w:rPr>
              <w:t>CGES</w:t>
            </w:r>
          </w:p>
        </w:tc>
        <w:tc>
          <w:tcPr>
            <w:tcW w:w="7309" w:type="dxa"/>
            <w:vAlign w:val="center"/>
          </w:tcPr>
          <w:p w14:paraId="6A1163C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lang w:val="fr-CA"/>
              </w:rPr>
              <w:t>Cadre de gestion environnementale et sociale</w:t>
            </w:r>
          </w:p>
        </w:tc>
      </w:tr>
      <w:tr w:rsidR="00DD7927" w:rsidRPr="002233C1" w14:paraId="02F72DBD" w14:textId="77777777" w:rsidTr="00DD7927">
        <w:tc>
          <w:tcPr>
            <w:tcW w:w="1866" w:type="dxa"/>
            <w:vAlign w:val="center"/>
          </w:tcPr>
          <w:p w14:paraId="557FDAC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rPr>
              <w:t>CHM</w:t>
            </w:r>
          </w:p>
        </w:tc>
        <w:tc>
          <w:tcPr>
            <w:tcW w:w="7309" w:type="dxa"/>
            <w:vAlign w:val="center"/>
          </w:tcPr>
          <w:p w14:paraId="24F91714"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rPr>
              <w:t>Centre d’échange d’informations sur la diversité biologique</w:t>
            </w:r>
          </w:p>
        </w:tc>
      </w:tr>
      <w:tr w:rsidR="00DD7927" w:rsidRPr="00F34789" w14:paraId="23A0CDE6" w14:textId="77777777" w:rsidTr="00DD7927">
        <w:tc>
          <w:tcPr>
            <w:tcW w:w="1866" w:type="dxa"/>
            <w:shd w:val="clear" w:color="auto" w:fill="auto"/>
            <w:vAlign w:val="center"/>
          </w:tcPr>
          <w:p w14:paraId="5FA26C79" w14:textId="77777777" w:rsidR="00DD7927" w:rsidRPr="00F34789" w:rsidRDefault="00DD7927" w:rsidP="00DD7927">
            <w:pPr>
              <w:rPr>
                <w:rFonts w:ascii="Times New Roman" w:hAnsi="Times New Roman" w:cs="Times New Roman"/>
                <w:sz w:val="20"/>
                <w:szCs w:val="20"/>
              </w:rPr>
            </w:pPr>
            <w:r w:rsidRPr="00F34789">
              <w:rPr>
                <w:rFonts w:ascii="Times New Roman" w:hAnsi="Times New Roman" w:cs="Times New Roman"/>
                <w:sz w:val="20"/>
                <w:szCs w:val="20"/>
              </w:rPr>
              <w:t>CIMMYT</w:t>
            </w:r>
          </w:p>
        </w:tc>
        <w:tc>
          <w:tcPr>
            <w:tcW w:w="7309" w:type="dxa"/>
            <w:shd w:val="clear" w:color="auto" w:fill="auto"/>
            <w:vAlign w:val="center"/>
          </w:tcPr>
          <w:p w14:paraId="75283C5E" w14:textId="77777777" w:rsidR="00DD7927" w:rsidRPr="00F34789" w:rsidRDefault="00DD7927" w:rsidP="00DD7927">
            <w:pPr>
              <w:rPr>
                <w:rFonts w:ascii="Times New Roman" w:hAnsi="Times New Roman" w:cs="Times New Roman"/>
                <w:sz w:val="20"/>
                <w:szCs w:val="20"/>
              </w:rPr>
            </w:pPr>
            <w:r>
              <w:rPr>
                <w:rStyle w:val="ilfuvd"/>
                <w:rFonts w:ascii="Times New Roman" w:hAnsi="Times New Roman" w:cs="Times New Roman"/>
                <w:sz w:val="20"/>
                <w:szCs w:val="20"/>
              </w:rPr>
              <w:t>Centre I</w:t>
            </w:r>
            <w:r w:rsidRPr="00F34789">
              <w:rPr>
                <w:rStyle w:val="ilfuvd"/>
                <w:rFonts w:ascii="Times New Roman" w:hAnsi="Times New Roman" w:cs="Times New Roman"/>
                <w:sz w:val="20"/>
                <w:szCs w:val="20"/>
              </w:rPr>
              <w:t>nternational d'</w:t>
            </w:r>
            <w:r>
              <w:rPr>
                <w:rStyle w:val="ilfuvd"/>
                <w:rFonts w:ascii="Times New Roman" w:hAnsi="Times New Roman" w:cs="Times New Roman"/>
                <w:sz w:val="20"/>
                <w:szCs w:val="20"/>
              </w:rPr>
              <w:t>A</w:t>
            </w:r>
            <w:r w:rsidRPr="00F34789">
              <w:rPr>
                <w:rStyle w:val="ilfuvd"/>
                <w:rFonts w:ascii="Times New Roman" w:hAnsi="Times New Roman" w:cs="Times New Roman"/>
                <w:sz w:val="20"/>
                <w:szCs w:val="20"/>
              </w:rPr>
              <w:t xml:space="preserve">mélioration du </w:t>
            </w:r>
            <w:r>
              <w:rPr>
                <w:rStyle w:val="ilfuvd"/>
                <w:rFonts w:ascii="Times New Roman" w:hAnsi="Times New Roman" w:cs="Times New Roman"/>
                <w:sz w:val="20"/>
                <w:szCs w:val="20"/>
              </w:rPr>
              <w:t>Maïs et du B</w:t>
            </w:r>
            <w:r w:rsidRPr="00F34789">
              <w:rPr>
                <w:rStyle w:val="ilfuvd"/>
                <w:rFonts w:ascii="Times New Roman" w:hAnsi="Times New Roman" w:cs="Times New Roman"/>
                <w:sz w:val="20"/>
                <w:szCs w:val="20"/>
              </w:rPr>
              <w:t>lé</w:t>
            </w:r>
          </w:p>
        </w:tc>
      </w:tr>
      <w:tr w:rsidR="00DD7927" w:rsidRPr="002233C1" w14:paraId="598143EF" w14:textId="77777777" w:rsidTr="00DD7927">
        <w:tc>
          <w:tcPr>
            <w:tcW w:w="1866" w:type="dxa"/>
            <w:vAlign w:val="center"/>
          </w:tcPr>
          <w:p w14:paraId="6B07ABD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CITES</w:t>
            </w:r>
          </w:p>
        </w:tc>
        <w:tc>
          <w:tcPr>
            <w:tcW w:w="7309" w:type="dxa"/>
            <w:vAlign w:val="center"/>
          </w:tcPr>
          <w:p w14:paraId="20578B2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Commerce International des espèces de faune et de flore sauvages menacées d’extinction</w:t>
            </w:r>
          </w:p>
        </w:tc>
      </w:tr>
      <w:tr w:rsidR="00DD7927" w:rsidRPr="002233C1" w14:paraId="05787F17" w14:textId="77777777" w:rsidTr="00DD7927">
        <w:tc>
          <w:tcPr>
            <w:tcW w:w="1866" w:type="dxa"/>
            <w:vAlign w:val="center"/>
          </w:tcPr>
          <w:p w14:paraId="4F18049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CNDD</w:t>
            </w:r>
          </w:p>
        </w:tc>
        <w:tc>
          <w:tcPr>
            <w:tcW w:w="7309" w:type="dxa"/>
            <w:vAlign w:val="center"/>
          </w:tcPr>
          <w:p w14:paraId="6774C36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Commission Nationale de Développement Durable</w:t>
            </w:r>
          </w:p>
        </w:tc>
      </w:tr>
      <w:tr w:rsidR="00DD7927" w:rsidRPr="002233C1" w14:paraId="0AEE88E4" w14:textId="77777777" w:rsidTr="00DD7927">
        <w:tc>
          <w:tcPr>
            <w:tcW w:w="1866" w:type="dxa"/>
            <w:vAlign w:val="center"/>
          </w:tcPr>
          <w:p w14:paraId="7AB04BD3"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COADEP</w:t>
            </w:r>
          </w:p>
        </w:tc>
        <w:tc>
          <w:tcPr>
            <w:tcW w:w="7309" w:type="dxa"/>
            <w:vAlign w:val="center"/>
          </w:tcPr>
          <w:p w14:paraId="5859DFE0"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Coalition des ONG de Développement des Plateaux</w:t>
            </w:r>
          </w:p>
        </w:tc>
      </w:tr>
      <w:tr w:rsidR="00DD7927" w:rsidRPr="002233C1" w14:paraId="5464E2EF" w14:textId="77777777" w:rsidTr="00DD7927">
        <w:tc>
          <w:tcPr>
            <w:tcW w:w="1866" w:type="dxa"/>
            <w:vAlign w:val="center"/>
          </w:tcPr>
          <w:p w14:paraId="7C06579C"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COMET</w:t>
            </w:r>
          </w:p>
        </w:tc>
        <w:tc>
          <w:tcPr>
            <w:tcW w:w="7309" w:type="dxa"/>
            <w:vAlign w:val="center"/>
          </w:tcPr>
          <w:p w14:paraId="1A5BF223"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Consortium des ONG et association en matière d’environnement</w:t>
            </w:r>
          </w:p>
        </w:tc>
      </w:tr>
      <w:tr w:rsidR="00DD7927" w:rsidRPr="002233C1" w14:paraId="396302CF" w14:textId="77777777" w:rsidTr="00DD7927">
        <w:tc>
          <w:tcPr>
            <w:tcW w:w="1866" w:type="dxa"/>
            <w:vAlign w:val="center"/>
          </w:tcPr>
          <w:p w14:paraId="3D62C9D5"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CONGREMA</w:t>
            </w:r>
          </w:p>
        </w:tc>
        <w:tc>
          <w:tcPr>
            <w:tcW w:w="7309" w:type="dxa"/>
            <w:vAlign w:val="center"/>
          </w:tcPr>
          <w:p w14:paraId="11E5D68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Consortium des ONG de la Région Maritime</w:t>
            </w:r>
          </w:p>
        </w:tc>
      </w:tr>
      <w:tr w:rsidR="00DD7927" w:rsidRPr="002233C1" w14:paraId="1354E6EF" w14:textId="77777777" w:rsidTr="00DD7927">
        <w:tc>
          <w:tcPr>
            <w:tcW w:w="1866" w:type="dxa"/>
            <w:vAlign w:val="center"/>
          </w:tcPr>
          <w:p w14:paraId="266F80EA"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CREFORBIO</w:t>
            </w:r>
          </w:p>
        </w:tc>
        <w:tc>
          <w:tcPr>
            <w:tcW w:w="7309" w:type="dxa"/>
            <w:vAlign w:val="center"/>
          </w:tcPr>
          <w:p w14:paraId="1EB14FF3"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Centre éco touristique de Recherches, d’Etudes, d’Expérimentation et de Formation sur la Restauration de la Biodiversité</w:t>
            </w:r>
          </w:p>
        </w:tc>
      </w:tr>
      <w:tr w:rsidR="00DD7927" w:rsidRPr="002233C1" w14:paraId="653BD363" w14:textId="77777777" w:rsidTr="00DD7927">
        <w:tc>
          <w:tcPr>
            <w:tcW w:w="1866" w:type="dxa"/>
            <w:vAlign w:val="center"/>
          </w:tcPr>
          <w:p w14:paraId="3B2C278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CSIGERN</w:t>
            </w:r>
          </w:p>
        </w:tc>
        <w:tc>
          <w:tcPr>
            <w:tcW w:w="7309" w:type="dxa"/>
            <w:vAlign w:val="center"/>
          </w:tcPr>
          <w:p w14:paraId="27F4610C"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Cadre Stratégique d’Investissements pour la Gestion de l’Environnement et des Ressources naturelles au Togo</w:t>
            </w:r>
          </w:p>
        </w:tc>
      </w:tr>
      <w:tr w:rsidR="00DD7927" w:rsidRPr="002233C1" w14:paraId="08FB68D1" w14:textId="77777777" w:rsidTr="00DD7927">
        <w:tc>
          <w:tcPr>
            <w:tcW w:w="1866" w:type="dxa"/>
            <w:shd w:val="clear" w:color="auto" w:fill="auto"/>
            <w:vAlign w:val="center"/>
          </w:tcPr>
          <w:p w14:paraId="4329687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CVD</w:t>
            </w:r>
          </w:p>
        </w:tc>
        <w:tc>
          <w:tcPr>
            <w:tcW w:w="7309" w:type="dxa"/>
            <w:shd w:val="clear" w:color="auto" w:fill="auto"/>
            <w:vAlign w:val="center"/>
          </w:tcPr>
          <w:p w14:paraId="269A4FFD" w14:textId="77777777" w:rsidR="00DD7927" w:rsidRPr="002233C1" w:rsidRDefault="00DD7927" w:rsidP="00DD7927">
            <w:pPr>
              <w:rPr>
                <w:rFonts w:ascii="Times New Roman" w:hAnsi="Times New Roman" w:cs="Times New Roman"/>
                <w:sz w:val="20"/>
                <w:szCs w:val="20"/>
              </w:rPr>
            </w:pPr>
            <w:r>
              <w:rPr>
                <w:rFonts w:ascii="Times New Roman" w:hAnsi="Times New Roman" w:cs="Times New Roman"/>
                <w:sz w:val="20"/>
                <w:szCs w:val="20"/>
              </w:rPr>
              <w:t>Comité Villageois de Développement</w:t>
            </w:r>
          </w:p>
        </w:tc>
      </w:tr>
      <w:tr w:rsidR="00DD7927" w:rsidRPr="002233C1" w14:paraId="72AA47A2" w14:textId="77777777" w:rsidTr="00DD7927">
        <w:tc>
          <w:tcPr>
            <w:tcW w:w="1866" w:type="dxa"/>
            <w:vAlign w:val="center"/>
          </w:tcPr>
          <w:p w14:paraId="2FF0CD7A"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bCs/>
                <w:sz w:val="20"/>
                <w:szCs w:val="20"/>
              </w:rPr>
              <w:t>DFC</w:t>
            </w:r>
          </w:p>
        </w:tc>
        <w:tc>
          <w:tcPr>
            <w:tcW w:w="7309" w:type="dxa"/>
            <w:vAlign w:val="center"/>
          </w:tcPr>
          <w:p w14:paraId="440799F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bCs/>
                <w:sz w:val="20"/>
                <w:szCs w:val="20"/>
              </w:rPr>
              <w:t>Direction de la Faune et de la Chasse</w:t>
            </w:r>
          </w:p>
        </w:tc>
      </w:tr>
      <w:tr w:rsidR="00DD7927" w:rsidRPr="002233C1" w14:paraId="218CE424" w14:textId="77777777" w:rsidTr="00DD7927">
        <w:tc>
          <w:tcPr>
            <w:tcW w:w="1866" w:type="dxa"/>
            <w:vAlign w:val="center"/>
          </w:tcPr>
          <w:p w14:paraId="098B06D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DRF</w:t>
            </w:r>
          </w:p>
        </w:tc>
        <w:tc>
          <w:tcPr>
            <w:tcW w:w="7309" w:type="dxa"/>
            <w:vAlign w:val="center"/>
          </w:tcPr>
          <w:p w14:paraId="3591483C"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 xml:space="preserve">Direction des </w:t>
            </w:r>
            <w:r>
              <w:rPr>
                <w:rFonts w:ascii="Times New Roman" w:hAnsi="Times New Roman" w:cs="Times New Roman"/>
                <w:sz w:val="20"/>
                <w:szCs w:val="20"/>
              </w:rPr>
              <w:t>R</w:t>
            </w:r>
            <w:r w:rsidRPr="002233C1">
              <w:rPr>
                <w:rFonts w:ascii="Times New Roman" w:hAnsi="Times New Roman" w:cs="Times New Roman"/>
                <w:sz w:val="20"/>
                <w:szCs w:val="20"/>
              </w:rPr>
              <w:t xml:space="preserve">essources </w:t>
            </w:r>
            <w:r>
              <w:rPr>
                <w:rFonts w:ascii="Times New Roman" w:hAnsi="Times New Roman" w:cs="Times New Roman"/>
                <w:sz w:val="20"/>
                <w:szCs w:val="20"/>
              </w:rPr>
              <w:t>F</w:t>
            </w:r>
            <w:r w:rsidRPr="002233C1">
              <w:rPr>
                <w:rFonts w:ascii="Times New Roman" w:hAnsi="Times New Roman" w:cs="Times New Roman"/>
                <w:sz w:val="20"/>
                <w:szCs w:val="20"/>
              </w:rPr>
              <w:t>orestières</w:t>
            </w:r>
          </w:p>
        </w:tc>
      </w:tr>
      <w:tr w:rsidR="00DD7927" w:rsidRPr="00F34789" w14:paraId="4297975E" w14:textId="77777777" w:rsidTr="00DD7927">
        <w:tc>
          <w:tcPr>
            <w:tcW w:w="1866" w:type="dxa"/>
            <w:shd w:val="clear" w:color="auto" w:fill="auto"/>
            <w:vAlign w:val="center"/>
          </w:tcPr>
          <w:p w14:paraId="3518F15A" w14:textId="77777777" w:rsidR="00DD7927" w:rsidRPr="00F34789" w:rsidRDefault="00DD7927" w:rsidP="00DD7927">
            <w:pPr>
              <w:rPr>
                <w:rFonts w:ascii="Times New Roman" w:hAnsi="Times New Roman" w:cs="Times New Roman"/>
                <w:sz w:val="20"/>
                <w:szCs w:val="20"/>
              </w:rPr>
            </w:pPr>
            <w:r w:rsidRPr="00F34789">
              <w:rPr>
                <w:rFonts w:ascii="Times New Roman" w:hAnsi="Times New Roman" w:cs="Times New Roman"/>
                <w:sz w:val="20"/>
                <w:szCs w:val="20"/>
              </w:rPr>
              <w:t>DSID</w:t>
            </w:r>
          </w:p>
        </w:tc>
        <w:tc>
          <w:tcPr>
            <w:tcW w:w="7309" w:type="dxa"/>
            <w:shd w:val="clear" w:color="auto" w:fill="auto"/>
            <w:vAlign w:val="center"/>
          </w:tcPr>
          <w:p w14:paraId="18EFCCFC" w14:textId="77777777" w:rsidR="00DD7927" w:rsidRPr="00F34789" w:rsidRDefault="00DD7927" w:rsidP="00DD7927">
            <w:pPr>
              <w:rPr>
                <w:rFonts w:ascii="Times New Roman" w:hAnsi="Times New Roman" w:cs="Times New Roman"/>
                <w:sz w:val="20"/>
                <w:szCs w:val="20"/>
              </w:rPr>
            </w:pPr>
            <w:r w:rsidRPr="00F34789">
              <w:rPr>
                <w:rStyle w:val="st"/>
                <w:rFonts w:ascii="Times New Roman" w:hAnsi="Times New Roman" w:cs="Times New Roman"/>
                <w:sz w:val="20"/>
                <w:szCs w:val="20"/>
              </w:rPr>
              <w:t>Direction des Statistiques Agricoles, de l'Informatique et de la Documentation</w:t>
            </w:r>
          </w:p>
        </w:tc>
      </w:tr>
      <w:tr w:rsidR="00DD7927" w:rsidRPr="002233C1" w14:paraId="433BF67A" w14:textId="77777777" w:rsidTr="00DD7927">
        <w:tc>
          <w:tcPr>
            <w:tcW w:w="1866" w:type="dxa"/>
            <w:vAlign w:val="center"/>
          </w:tcPr>
          <w:p w14:paraId="4C96D75A"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DSRP</w:t>
            </w:r>
          </w:p>
        </w:tc>
        <w:tc>
          <w:tcPr>
            <w:tcW w:w="7309" w:type="dxa"/>
            <w:vAlign w:val="center"/>
          </w:tcPr>
          <w:p w14:paraId="51D0683E" w14:textId="77777777" w:rsidR="00DD7927" w:rsidRPr="002233C1" w:rsidRDefault="00DD7927" w:rsidP="00DD7927">
            <w:pPr>
              <w:rPr>
                <w:rFonts w:ascii="Times New Roman" w:hAnsi="Times New Roman" w:cs="Times New Roman"/>
                <w:sz w:val="20"/>
                <w:szCs w:val="20"/>
              </w:rPr>
            </w:pPr>
            <w:r w:rsidRPr="002233C1">
              <w:rPr>
                <w:rStyle w:val="st"/>
                <w:rFonts w:ascii="Times New Roman" w:hAnsi="Times New Roman" w:cs="Times New Roman"/>
                <w:sz w:val="20"/>
                <w:szCs w:val="20"/>
              </w:rPr>
              <w:t>Document complet de Stratégie de Réduction de la Pauvreté</w:t>
            </w:r>
          </w:p>
        </w:tc>
      </w:tr>
      <w:tr w:rsidR="00DD7927" w:rsidRPr="002233C1" w14:paraId="60E6CCCA" w14:textId="77777777" w:rsidTr="00DD7927">
        <w:tc>
          <w:tcPr>
            <w:tcW w:w="1866" w:type="dxa"/>
            <w:shd w:val="clear" w:color="auto" w:fill="auto"/>
            <w:vAlign w:val="center"/>
          </w:tcPr>
          <w:p w14:paraId="6E6B8BFF"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color w:val="000000"/>
                <w:sz w:val="20"/>
                <w:szCs w:val="20"/>
              </w:rPr>
              <w:t>EQUINAT</w:t>
            </w:r>
          </w:p>
        </w:tc>
        <w:tc>
          <w:tcPr>
            <w:tcW w:w="7309" w:type="dxa"/>
            <w:shd w:val="clear" w:color="auto" w:fill="auto"/>
            <w:vAlign w:val="center"/>
          </w:tcPr>
          <w:p w14:paraId="2EE6A222" w14:textId="77777777" w:rsidR="00DD7927" w:rsidRPr="002233C1" w:rsidRDefault="00DD7927" w:rsidP="00DD7927">
            <w:pPr>
              <w:rPr>
                <w:rStyle w:val="st"/>
                <w:rFonts w:ascii="Times New Roman" w:hAnsi="Times New Roman" w:cs="Times New Roman"/>
                <w:sz w:val="20"/>
                <w:szCs w:val="20"/>
              </w:rPr>
            </w:pPr>
            <w:r>
              <w:rPr>
                <w:rStyle w:val="st"/>
                <w:rFonts w:ascii="Times New Roman" w:hAnsi="Times New Roman" w:cs="Times New Roman"/>
                <w:sz w:val="20"/>
                <w:szCs w:val="20"/>
              </w:rPr>
              <w:t>Equilibre de la Nature</w:t>
            </w:r>
          </w:p>
        </w:tc>
      </w:tr>
      <w:tr w:rsidR="00DD7927" w:rsidRPr="00F34789" w14:paraId="3CFB022E" w14:textId="77777777" w:rsidTr="00DD7927">
        <w:tc>
          <w:tcPr>
            <w:tcW w:w="1866" w:type="dxa"/>
            <w:shd w:val="clear" w:color="auto" w:fill="auto"/>
            <w:vAlign w:val="center"/>
          </w:tcPr>
          <w:p w14:paraId="114B4471" w14:textId="77777777" w:rsidR="00DD7927" w:rsidRPr="00F34789" w:rsidRDefault="00DD7927" w:rsidP="00DD7927">
            <w:pPr>
              <w:rPr>
                <w:rFonts w:ascii="Times New Roman" w:hAnsi="Times New Roman" w:cs="Times New Roman"/>
                <w:color w:val="000000"/>
                <w:sz w:val="20"/>
                <w:szCs w:val="20"/>
              </w:rPr>
            </w:pPr>
            <w:r w:rsidRPr="00F34789">
              <w:rPr>
                <w:rFonts w:ascii="Times New Roman" w:hAnsi="Times New Roman" w:cs="Times New Roman"/>
                <w:sz w:val="20"/>
                <w:szCs w:val="20"/>
              </w:rPr>
              <w:t>ETD</w:t>
            </w:r>
          </w:p>
        </w:tc>
        <w:tc>
          <w:tcPr>
            <w:tcW w:w="7309" w:type="dxa"/>
            <w:shd w:val="clear" w:color="auto" w:fill="auto"/>
            <w:vAlign w:val="center"/>
          </w:tcPr>
          <w:p w14:paraId="0F8D5B7A" w14:textId="77777777" w:rsidR="00DD7927" w:rsidRPr="00F34789" w:rsidRDefault="00DD7927" w:rsidP="00DD7927">
            <w:pPr>
              <w:rPr>
                <w:rStyle w:val="st"/>
                <w:rFonts w:ascii="Times New Roman" w:hAnsi="Times New Roman" w:cs="Times New Roman"/>
                <w:sz w:val="20"/>
                <w:szCs w:val="20"/>
              </w:rPr>
            </w:pPr>
            <w:r w:rsidRPr="00F34789">
              <w:rPr>
                <w:rStyle w:val="st"/>
                <w:rFonts w:ascii="Times New Roman" w:hAnsi="Times New Roman" w:cs="Times New Roman"/>
                <w:sz w:val="20"/>
                <w:szCs w:val="20"/>
              </w:rPr>
              <w:t>Entreprise, Territoires &amp; Développement.</w:t>
            </w:r>
          </w:p>
        </w:tc>
      </w:tr>
      <w:tr w:rsidR="00DD7927" w:rsidRPr="002233C1" w14:paraId="225FCA45" w14:textId="77777777" w:rsidTr="00DD7927">
        <w:tc>
          <w:tcPr>
            <w:tcW w:w="1866" w:type="dxa"/>
            <w:vAlign w:val="center"/>
          </w:tcPr>
          <w:p w14:paraId="048F74A8"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FAIEJ</w:t>
            </w:r>
          </w:p>
        </w:tc>
        <w:tc>
          <w:tcPr>
            <w:tcW w:w="7309" w:type="dxa"/>
            <w:vAlign w:val="center"/>
          </w:tcPr>
          <w:p w14:paraId="0E7B119F" w14:textId="77777777" w:rsidR="00DD7927" w:rsidRPr="002233C1" w:rsidRDefault="00DD7927" w:rsidP="00DD7927">
            <w:pPr>
              <w:rPr>
                <w:rStyle w:val="st"/>
                <w:rFonts w:ascii="Times New Roman" w:hAnsi="Times New Roman" w:cs="Times New Roman"/>
                <w:sz w:val="20"/>
                <w:szCs w:val="20"/>
              </w:rPr>
            </w:pPr>
            <w:r w:rsidRPr="002233C1">
              <w:rPr>
                <w:rFonts w:ascii="Times New Roman" w:hAnsi="Times New Roman" w:cs="Times New Roman"/>
                <w:sz w:val="20"/>
                <w:szCs w:val="20"/>
              </w:rPr>
              <w:t>Fonds d’appui aux initiatives économiques des jeunes</w:t>
            </w:r>
          </w:p>
        </w:tc>
      </w:tr>
      <w:tr w:rsidR="00DD7927" w:rsidRPr="00F34789" w14:paraId="7AC68467" w14:textId="77777777" w:rsidTr="00DD7927">
        <w:tc>
          <w:tcPr>
            <w:tcW w:w="1866" w:type="dxa"/>
            <w:shd w:val="clear" w:color="auto" w:fill="auto"/>
            <w:vAlign w:val="center"/>
          </w:tcPr>
          <w:p w14:paraId="4FDF73CF" w14:textId="77777777" w:rsidR="00DD7927" w:rsidRPr="00F34789" w:rsidRDefault="00DD7927" w:rsidP="00DD7927">
            <w:pPr>
              <w:rPr>
                <w:rFonts w:ascii="Times New Roman" w:hAnsi="Times New Roman" w:cs="Times New Roman"/>
                <w:color w:val="000000"/>
                <w:sz w:val="20"/>
                <w:szCs w:val="20"/>
              </w:rPr>
            </w:pPr>
            <w:r w:rsidRPr="00F34789">
              <w:rPr>
                <w:rFonts w:ascii="Times New Roman" w:eastAsia="Calibri" w:hAnsi="Times New Roman" w:cs="Times New Roman"/>
                <w:sz w:val="20"/>
                <w:szCs w:val="20"/>
              </w:rPr>
              <w:t>FAO</w:t>
            </w:r>
          </w:p>
        </w:tc>
        <w:tc>
          <w:tcPr>
            <w:tcW w:w="7309" w:type="dxa"/>
            <w:shd w:val="clear" w:color="auto" w:fill="auto"/>
            <w:vAlign w:val="center"/>
          </w:tcPr>
          <w:p w14:paraId="4A6AB59F" w14:textId="77777777" w:rsidR="00DD7927" w:rsidRPr="00F34789" w:rsidRDefault="00DD7927" w:rsidP="00DD7927">
            <w:pPr>
              <w:rPr>
                <w:rStyle w:val="st"/>
                <w:rFonts w:ascii="Times New Roman" w:hAnsi="Times New Roman" w:cs="Times New Roman"/>
                <w:sz w:val="20"/>
                <w:szCs w:val="20"/>
              </w:rPr>
            </w:pPr>
            <w:r w:rsidRPr="00F34789">
              <w:rPr>
                <w:rStyle w:val="st"/>
                <w:rFonts w:ascii="Times New Roman" w:hAnsi="Times New Roman" w:cs="Times New Roman"/>
                <w:sz w:val="20"/>
                <w:szCs w:val="20"/>
              </w:rPr>
              <w:t>Organisation des Nations unies pour l'alimentation et l'agriculture</w:t>
            </w:r>
          </w:p>
        </w:tc>
      </w:tr>
      <w:tr w:rsidR="00DD7927" w:rsidRPr="002233C1" w14:paraId="6325BF7B" w14:textId="77777777" w:rsidTr="00DD7927">
        <w:tc>
          <w:tcPr>
            <w:tcW w:w="1866" w:type="dxa"/>
            <w:vAlign w:val="center"/>
          </w:tcPr>
          <w:p w14:paraId="2CD255FC"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FCPF</w:t>
            </w:r>
          </w:p>
        </w:tc>
        <w:tc>
          <w:tcPr>
            <w:tcW w:w="7309" w:type="dxa"/>
            <w:vAlign w:val="center"/>
          </w:tcPr>
          <w:p w14:paraId="1C39740C" w14:textId="77777777" w:rsidR="00DD7927" w:rsidRPr="002233C1" w:rsidRDefault="00DD7927" w:rsidP="00DD7927">
            <w:pPr>
              <w:rPr>
                <w:rStyle w:val="st"/>
                <w:rFonts w:ascii="Times New Roman" w:hAnsi="Times New Roman" w:cs="Times New Roman"/>
                <w:sz w:val="20"/>
                <w:szCs w:val="20"/>
              </w:rPr>
            </w:pPr>
            <w:r w:rsidRPr="002233C1">
              <w:rPr>
                <w:rFonts w:ascii="Times New Roman" w:hAnsi="Times New Roman" w:cs="Times New Roman"/>
                <w:sz w:val="20"/>
                <w:szCs w:val="20"/>
              </w:rPr>
              <w:t>Fonds de partenariat pour le carbone forestier</w:t>
            </w:r>
          </w:p>
        </w:tc>
      </w:tr>
      <w:tr w:rsidR="00DD7927" w:rsidRPr="002233C1" w14:paraId="004A399B" w14:textId="77777777" w:rsidTr="00DD7927">
        <w:tc>
          <w:tcPr>
            <w:tcW w:w="1866" w:type="dxa"/>
            <w:vAlign w:val="center"/>
          </w:tcPr>
          <w:p w14:paraId="3A2FCAB2"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color w:val="000000"/>
                <w:sz w:val="20"/>
                <w:szCs w:val="20"/>
              </w:rPr>
              <w:t>FEM</w:t>
            </w:r>
          </w:p>
        </w:tc>
        <w:tc>
          <w:tcPr>
            <w:tcW w:w="7309" w:type="dxa"/>
            <w:vAlign w:val="center"/>
          </w:tcPr>
          <w:p w14:paraId="567FCF8D" w14:textId="77777777" w:rsidR="00DD7927" w:rsidRPr="002233C1" w:rsidRDefault="00DD7927" w:rsidP="00DD7927">
            <w:pPr>
              <w:rPr>
                <w:rStyle w:val="st"/>
                <w:rFonts w:ascii="Times New Roman" w:hAnsi="Times New Roman" w:cs="Times New Roman"/>
                <w:sz w:val="20"/>
                <w:szCs w:val="20"/>
              </w:rPr>
            </w:pPr>
            <w:r w:rsidRPr="002233C1">
              <w:rPr>
                <w:rFonts w:ascii="Times New Roman" w:hAnsi="Times New Roman" w:cs="Times New Roman"/>
                <w:color w:val="000000"/>
                <w:sz w:val="20"/>
                <w:szCs w:val="20"/>
              </w:rPr>
              <w:t>Fonds pour l’Environnement Mondial</w:t>
            </w:r>
          </w:p>
        </w:tc>
      </w:tr>
      <w:tr w:rsidR="00DD7927" w:rsidRPr="002233C1" w14:paraId="7EB4EF85" w14:textId="77777777" w:rsidTr="00DD7927">
        <w:tc>
          <w:tcPr>
            <w:tcW w:w="1866" w:type="dxa"/>
            <w:vAlign w:val="center"/>
          </w:tcPr>
          <w:p w14:paraId="3A909992"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FGIRE</w:t>
            </w:r>
          </w:p>
        </w:tc>
        <w:tc>
          <w:tcPr>
            <w:tcW w:w="7309" w:type="dxa"/>
            <w:vAlign w:val="center"/>
          </w:tcPr>
          <w:p w14:paraId="58603A99"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Fonds de Gestion Intégrée des Ressources en Eau</w:t>
            </w:r>
          </w:p>
        </w:tc>
      </w:tr>
      <w:tr w:rsidR="00DD7927" w:rsidRPr="002233C1" w14:paraId="2A892679" w14:textId="77777777" w:rsidTr="00DD7927">
        <w:tc>
          <w:tcPr>
            <w:tcW w:w="1866" w:type="dxa"/>
            <w:vAlign w:val="center"/>
          </w:tcPr>
          <w:p w14:paraId="7E55CFC0"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FIP</w:t>
            </w:r>
          </w:p>
        </w:tc>
        <w:tc>
          <w:tcPr>
            <w:tcW w:w="7309" w:type="dxa"/>
            <w:vAlign w:val="center"/>
          </w:tcPr>
          <w:p w14:paraId="3D10047E"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Programme d'</w:t>
            </w:r>
            <w:r>
              <w:rPr>
                <w:rFonts w:ascii="Times New Roman" w:hAnsi="Times New Roman" w:cs="Times New Roman"/>
                <w:sz w:val="20"/>
                <w:szCs w:val="20"/>
              </w:rPr>
              <w:t>I</w:t>
            </w:r>
            <w:r w:rsidRPr="002233C1">
              <w:rPr>
                <w:rFonts w:ascii="Times New Roman" w:hAnsi="Times New Roman" w:cs="Times New Roman"/>
                <w:sz w:val="20"/>
                <w:szCs w:val="20"/>
              </w:rPr>
              <w:t xml:space="preserve">nvestissement </w:t>
            </w:r>
            <w:r>
              <w:rPr>
                <w:rFonts w:ascii="Times New Roman" w:hAnsi="Times New Roman" w:cs="Times New Roman"/>
                <w:sz w:val="20"/>
                <w:szCs w:val="20"/>
              </w:rPr>
              <w:t>F</w:t>
            </w:r>
            <w:r w:rsidRPr="002233C1">
              <w:rPr>
                <w:rFonts w:ascii="Times New Roman" w:hAnsi="Times New Roman" w:cs="Times New Roman"/>
                <w:sz w:val="20"/>
                <w:szCs w:val="20"/>
              </w:rPr>
              <w:t>orestier</w:t>
            </w:r>
          </w:p>
        </w:tc>
      </w:tr>
      <w:tr w:rsidR="00DD7927" w:rsidRPr="002233C1" w14:paraId="601698ED" w14:textId="77777777" w:rsidTr="00DD7927">
        <w:tc>
          <w:tcPr>
            <w:tcW w:w="1866" w:type="dxa"/>
            <w:vAlign w:val="center"/>
          </w:tcPr>
          <w:p w14:paraId="6A95BB7C"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FNDF</w:t>
            </w:r>
          </w:p>
        </w:tc>
        <w:tc>
          <w:tcPr>
            <w:tcW w:w="7309" w:type="dxa"/>
            <w:vAlign w:val="center"/>
          </w:tcPr>
          <w:p w14:paraId="0D46617C"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Fonds National pour le Développement Forestier</w:t>
            </w:r>
          </w:p>
        </w:tc>
      </w:tr>
      <w:tr w:rsidR="00DD7927" w:rsidRPr="002233C1" w14:paraId="7A95ABBB" w14:textId="77777777" w:rsidTr="00DD7927">
        <w:tc>
          <w:tcPr>
            <w:tcW w:w="1866" w:type="dxa"/>
            <w:vAlign w:val="center"/>
          </w:tcPr>
          <w:p w14:paraId="5DF5B5DB"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FNE</w:t>
            </w:r>
          </w:p>
        </w:tc>
        <w:tc>
          <w:tcPr>
            <w:tcW w:w="7309" w:type="dxa"/>
            <w:vAlign w:val="center"/>
          </w:tcPr>
          <w:p w14:paraId="364E72C4"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Fonds National pour l’Environnement</w:t>
            </w:r>
          </w:p>
        </w:tc>
      </w:tr>
      <w:tr w:rsidR="00DD7927" w:rsidRPr="002233C1" w14:paraId="07251A15" w14:textId="77777777" w:rsidTr="00DD7927">
        <w:tc>
          <w:tcPr>
            <w:tcW w:w="1866" w:type="dxa"/>
            <w:vAlign w:val="center"/>
          </w:tcPr>
          <w:p w14:paraId="5AEA1FAA"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FNFI</w:t>
            </w:r>
          </w:p>
        </w:tc>
        <w:tc>
          <w:tcPr>
            <w:tcW w:w="7309" w:type="dxa"/>
            <w:vAlign w:val="center"/>
          </w:tcPr>
          <w:p w14:paraId="62CDAAFA"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 xml:space="preserve">Fonds national de la </w:t>
            </w:r>
            <w:r>
              <w:rPr>
                <w:rFonts w:ascii="Times New Roman" w:hAnsi="Times New Roman" w:cs="Times New Roman"/>
                <w:sz w:val="20"/>
                <w:szCs w:val="20"/>
              </w:rPr>
              <w:t>F</w:t>
            </w:r>
            <w:r w:rsidRPr="002233C1">
              <w:rPr>
                <w:rFonts w:ascii="Times New Roman" w:hAnsi="Times New Roman" w:cs="Times New Roman"/>
                <w:sz w:val="20"/>
                <w:szCs w:val="20"/>
              </w:rPr>
              <w:t xml:space="preserve">inance </w:t>
            </w:r>
            <w:r>
              <w:rPr>
                <w:rFonts w:ascii="Times New Roman" w:hAnsi="Times New Roman" w:cs="Times New Roman"/>
                <w:sz w:val="20"/>
                <w:szCs w:val="20"/>
              </w:rPr>
              <w:t>I</w:t>
            </w:r>
            <w:r w:rsidRPr="002233C1">
              <w:rPr>
                <w:rFonts w:ascii="Times New Roman" w:hAnsi="Times New Roman" w:cs="Times New Roman"/>
                <w:sz w:val="20"/>
                <w:szCs w:val="20"/>
              </w:rPr>
              <w:t>nclusive</w:t>
            </w:r>
          </w:p>
        </w:tc>
      </w:tr>
      <w:tr w:rsidR="00DD7927" w:rsidRPr="002233C1" w14:paraId="0448A4FB" w14:textId="77777777" w:rsidTr="00DD7927">
        <w:tc>
          <w:tcPr>
            <w:tcW w:w="1866" w:type="dxa"/>
            <w:vAlign w:val="center"/>
          </w:tcPr>
          <w:p w14:paraId="35664244"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FODES</w:t>
            </w:r>
          </w:p>
        </w:tc>
        <w:tc>
          <w:tcPr>
            <w:tcW w:w="7309" w:type="dxa"/>
            <w:vAlign w:val="center"/>
          </w:tcPr>
          <w:p w14:paraId="2F08EBBE"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Fédération des Organisations de Développement des Savanes</w:t>
            </w:r>
          </w:p>
        </w:tc>
      </w:tr>
      <w:tr w:rsidR="00DD7927" w:rsidRPr="002233C1" w14:paraId="746E7A1D" w14:textId="77777777" w:rsidTr="00DD7927">
        <w:tc>
          <w:tcPr>
            <w:tcW w:w="1866" w:type="dxa"/>
            <w:vAlign w:val="center"/>
          </w:tcPr>
          <w:p w14:paraId="71EDD333"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FPDAM</w:t>
            </w:r>
          </w:p>
        </w:tc>
        <w:tc>
          <w:tcPr>
            <w:tcW w:w="7309" w:type="dxa"/>
            <w:vAlign w:val="center"/>
          </w:tcPr>
          <w:p w14:paraId="4BCC3733"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Fonds de Promotion et de Développement des Activités Minières</w:t>
            </w:r>
          </w:p>
        </w:tc>
      </w:tr>
      <w:tr w:rsidR="00DD7927" w:rsidRPr="002233C1" w14:paraId="7C9C2C76" w14:textId="77777777" w:rsidTr="00DD7927">
        <w:tc>
          <w:tcPr>
            <w:tcW w:w="1866" w:type="dxa"/>
            <w:vAlign w:val="center"/>
          </w:tcPr>
          <w:p w14:paraId="4D4F9B87"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color w:val="000000"/>
                <w:sz w:val="20"/>
                <w:szCs w:val="20"/>
              </w:rPr>
              <w:t>GERN</w:t>
            </w:r>
          </w:p>
        </w:tc>
        <w:tc>
          <w:tcPr>
            <w:tcW w:w="7309" w:type="dxa"/>
            <w:vAlign w:val="center"/>
          </w:tcPr>
          <w:p w14:paraId="020E6097"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color w:val="000000"/>
                <w:sz w:val="20"/>
                <w:szCs w:val="20"/>
              </w:rPr>
              <w:t>Gestion de l’Environnement et des Ressources Naturelles</w:t>
            </w:r>
          </w:p>
        </w:tc>
      </w:tr>
      <w:tr w:rsidR="00DD7927" w:rsidRPr="002233C1" w14:paraId="15513C45" w14:textId="77777777" w:rsidTr="00DD7927">
        <w:tc>
          <w:tcPr>
            <w:tcW w:w="1866" w:type="dxa"/>
            <w:vAlign w:val="center"/>
          </w:tcPr>
          <w:p w14:paraId="0E62A023"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GES</w:t>
            </w:r>
          </w:p>
        </w:tc>
        <w:tc>
          <w:tcPr>
            <w:tcW w:w="7309" w:type="dxa"/>
            <w:vAlign w:val="center"/>
          </w:tcPr>
          <w:p w14:paraId="78A60D18" w14:textId="77777777" w:rsidR="00DD7927" w:rsidRPr="002233C1" w:rsidRDefault="00DD7927" w:rsidP="00DD7927">
            <w:pPr>
              <w:rPr>
                <w:rFonts w:ascii="Times New Roman" w:hAnsi="Times New Roman" w:cs="Times New Roman"/>
                <w:color w:val="000000"/>
                <w:sz w:val="20"/>
                <w:szCs w:val="20"/>
              </w:rPr>
            </w:pPr>
            <w:r w:rsidRPr="002233C1">
              <w:rPr>
                <w:rFonts w:ascii="Times New Roman" w:hAnsi="Times New Roman" w:cs="Times New Roman"/>
                <w:sz w:val="20"/>
                <w:szCs w:val="20"/>
              </w:rPr>
              <w:t>Gaz à Effet de Serre</w:t>
            </w:r>
          </w:p>
        </w:tc>
      </w:tr>
      <w:tr w:rsidR="00DD7927" w:rsidRPr="002233C1" w14:paraId="01AE7E65" w14:textId="77777777" w:rsidTr="00DD7927">
        <w:tc>
          <w:tcPr>
            <w:tcW w:w="1866" w:type="dxa"/>
            <w:vAlign w:val="center"/>
          </w:tcPr>
          <w:p w14:paraId="6881E1EE"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GESTER</w:t>
            </w:r>
          </w:p>
        </w:tc>
        <w:tc>
          <w:tcPr>
            <w:tcW w:w="7309" w:type="dxa"/>
            <w:vAlign w:val="center"/>
          </w:tcPr>
          <w:p w14:paraId="59C5508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Gestion Territoriale des Espaces Ressources</w:t>
            </w:r>
          </w:p>
        </w:tc>
      </w:tr>
      <w:tr w:rsidR="00DD7927" w:rsidRPr="002B69BC" w14:paraId="114F7879" w14:textId="77777777" w:rsidTr="00DD7927">
        <w:tc>
          <w:tcPr>
            <w:tcW w:w="1866" w:type="dxa"/>
            <w:shd w:val="clear" w:color="auto" w:fill="auto"/>
            <w:vAlign w:val="center"/>
          </w:tcPr>
          <w:p w14:paraId="1E33A323"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sz w:val="20"/>
                <w:szCs w:val="20"/>
              </w:rPr>
              <w:t>GIZ</w:t>
            </w:r>
          </w:p>
        </w:tc>
        <w:tc>
          <w:tcPr>
            <w:tcW w:w="7309" w:type="dxa"/>
            <w:shd w:val="clear" w:color="auto" w:fill="auto"/>
            <w:vAlign w:val="center"/>
          </w:tcPr>
          <w:p w14:paraId="3E064345" w14:textId="77777777" w:rsidR="00DD7927" w:rsidRPr="002B69BC" w:rsidRDefault="00DD7927" w:rsidP="00DD7927">
            <w:pPr>
              <w:rPr>
                <w:rFonts w:ascii="Times New Roman" w:hAnsi="Times New Roman" w:cs="Times New Roman"/>
                <w:sz w:val="20"/>
                <w:szCs w:val="20"/>
              </w:rPr>
            </w:pPr>
            <w:r w:rsidRPr="002B69BC">
              <w:rPr>
                <w:rStyle w:val="Accentuation"/>
                <w:rFonts w:ascii="Times New Roman" w:hAnsi="Times New Roman" w:cs="Times New Roman"/>
                <w:i w:val="0"/>
                <w:sz w:val="20"/>
                <w:szCs w:val="20"/>
              </w:rPr>
              <w:t>Gesellschaft für Internationale Zusammenarbeit</w:t>
            </w:r>
          </w:p>
        </w:tc>
      </w:tr>
      <w:tr w:rsidR="00DD7927" w:rsidRPr="002B69BC" w14:paraId="0BB7995D" w14:textId="77777777" w:rsidTr="00DD7927">
        <w:tc>
          <w:tcPr>
            <w:tcW w:w="1866" w:type="dxa"/>
            <w:shd w:val="clear" w:color="auto" w:fill="auto"/>
            <w:vAlign w:val="center"/>
          </w:tcPr>
          <w:p w14:paraId="30CD7B98"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color w:val="000000"/>
                <w:spacing w:val="4"/>
                <w:sz w:val="20"/>
                <w:szCs w:val="20"/>
              </w:rPr>
              <w:t>GSEAF</w:t>
            </w:r>
          </w:p>
        </w:tc>
        <w:tc>
          <w:tcPr>
            <w:tcW w:w="7309" w:type="dxa"/>
            <w:shd w:val="clear" w:color="auto" w:fill="auto"/>
            <w:vAlign w:val="center"/>
          </w:tcPr>
          <w:p w14:paraId="560B548D"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sz w:val="20"/>
                <w:szCs w:val="20"/>
              </w:rPr>
              <w:t>Groupe de Spécialistes des Eléphants d’Afrique</w:t>
            </w:r>
          </w:p>
        </w:tc>
      </w:tr>
      <w:tr w:rsidR="00DD7927" w:rsidRPr="002233C1" w14:paraId="6BD92E15" w14:textId="77777777" w:rsidTr="00DD7927">
        <w:tc>
          <w:tcPr>
            <w:tcW w:w="1866" w:type="dxa"/>
            <w:vAlign w:val="center"/>
          </w:tcPr>
          <w:p w14:paraId="1D834D1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H</w:t>
            </w:r>
            <w:r w:rsidRPr="002233C1">
              <w:rPr>
                <w:rFonts w:ascii="Times New Roman" w:hAnsi="Times New Roman" w:cs="Times New Roman"/>
                <w:bCs/>
                <w:sz w:val="20"/>
                <w:szCs w:val="20"/>
              </w:rPr>
              <w:t>CM</w:t>
            </w:r>
          </w:p>
        </w:tc>
        <w:tc>
          <w:tcPr>
            <w:tcW w:w="7309" w:type="dxa"/>
            <w:vAlign w:val="center"/>
          </w:tcPr>
          <w:p w14:paraId="5131500F"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Haut Conseil pour la Mer</w:t>
            </w:r>
          </w:p>
        </w:tc>
      </w:tr>
      <w:tr w:rsidR="00DD7927" w:rsidRPr="002B69BC" w14:paraId="6CC4A6C3" w14:textId="77777777" w:rsidTr="00DD7927">
        <w:tc>
          <w:tcPr>
            <w:tcW w:w="1866" w:type="dxa"/>
            <w:shd w:val="clear" w:color="auto" w:fill="auto"/>
            <w:vAlign w:val="center"/>
          </w:tcPr>
          <w:p w14:paraId="05C9C548"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color w:val="000000"/>
                <w:sz w:val="20"/>
                <w:szCs w:val="20"/>
              </w:rPr>
              <w:t>HIMO</w:t>
            </w:r>
          </w:p>
        </w:tc>
        <w:tc>
          <w:tcPr>
            <w:tcW w:w="7309" w:type="dxa"/>
            <w:shd w:val="clear" w:color="auto" w:fill="auto"/>
            <w:vAlign w:val="center"/>
          </w:tcPr>
          <w:p w14:paraId="28A21321" w14:textId="77777777" w:rsidR="00DD7927" w:rsidRPr="002B69BC" w:rsidRDefault="00DD7927" w:rsidP="00DD7927">
            <w:pPr>
              <w:rPr>
                <w:rFonts w:ascii="Times New Roman" w:hAnsi="Times New Roman" w:cs="Times New Roman"/>
                <w:sz w:val="20"/>
                <w:szCs w:val="20"/>
              </w:rPr>
            </w:pPr>
            <w:r w:rsidRPr="002B69BC">
              <w:rPr>
                <w:rStyle w:val="st"/>
                <w:rFonts w:ascii="Times New Roman" w:hAnsi="Times New Roman" w:cs="Times New Roman"/>
                <w:sz w:val="20"/>
                <w:szCs w:val="20"/>
              </w:rPr>
              <w:t>Haute Intensité de Main d'œuvre</w:t>
            </w:r>
          </w:p>
        </w:tc>
      </w:tr>
      <w:tr w:rsidR="00DD7927" w:rsidRPr="00A77FC5" w14:paraId="637AC8F7" w14:textId="77777777" w:rsidTr="00DD7927">
        <w:tc>
          <w:tcPr>
            <w:tcW w:w="1866" w:type="dxa"/>
            <w:shd w:val="clear" w:color="auto" w:fill="auto"/>
            <w:vAlign w:val="center"/>
          </w:tcPr>
          <w:p w14:paraId="4F3E7582"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sz w:val="20"/>
                <w:szCs w:val="20"/>
              </w:rPr>
              <w:t>ICRISAT</w:t>
            </w:r>
          </w:p>
        </w:tc>
        <w:tc>
          <w:tcPr>
            <w:tcW w:w="7309" w:type="dxa"/>
            <w:shd w:val="clear" w:color="auto" w:fill="auto"/>
            <w:vAlign w:val="center"/>
          </w:tcPr>
          <w:p w14:paraId="2A2EE102" w14:textId="77777777" w:rsidR="00DD7927" w:rsidRPr="00F00DB1" w:rsidRDefault="00DD7927" w:rsidP="00DD7927">
            <w:pPr>
              <w:rPr>
                <w:rFonts w:ascii="Times New Roman" w:hAnsi="Times New Roman" w:cs="Times New Roman"/>
                <w:sz w:val="20"/>
                <w:szCs w:val="20"/>
                <w:lang w:val="en-US"/>
              </w:rPr>
            </w:pPr>
            <w:r w:rsidRPr="00F00DB1">
              <w:rPr>
                <w:rStyle w:val="st"/>
                <w:rFonts w:ascii="Times New Roman" w:hAnsi="Times New Roman" w:cs="Times New Roman"/>
                <w:sz w:val="20"/>
                <w:szCs w:val="20"/>
                <w:lang w:val="en-US"/>
              </w:rPr>
              <w:t>International Crops Research Institute for the Semi-Arid Tropics</w:t>
            </w:r>
          </w:p>
        </w:tc>
      </w:tr>
      <w:tr w:rsidR="00DD7927" w:rsidRPr="002233C1" w14:paraId="130CBD9A" w14:textId="77777777" w:rsidTr="00DD7927">
        <w:tc>
          <w:tcPr>
            <w:tcW w:w="1866" w:type="dxa"/>
            <w:vAlign w:val="center"/>
          </w:tcPr>
          <w:p w14:paraId="787C914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IEC</w:t>
            </w:r>
          </w:p>
        </w:tc>
        <w:tc>
          <w:tcPr>
            <w:tcW w:w="7309" w:type="dxa"/>
            <w:vAlign w:val="center"/>
          </w:tcPr>
          <w:p w14:paraId="5DDD6F89"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Information, Education et Communication</w:t>
            </w:r>
          </w:p>
        </w:tc>
      </w:tr>
      <w:tr w:rsidR="00DD7927" w:rsidRPr="00A77FC5" w14:paraId="5AE03B0D" w14:textId="77777777" w:rsidTr="00DD7927">
        <w:tc>
          <w:tcPr>
            <w:tcW w:w="1866" w:type="dxa"/>
            <w:shd w:val="clear" w:color="auto" w:fill="auto"/>
            <w:vAlign w:val="center"/>
          </w:tcPr>
          <w:p w14:paraId="6AD286D3"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sz w:val="20"/>
                <w:szCs w:val="20"/>
              </w:rPr>
              <w:t>IITA</w:t>
            </w:r>
          </w:p>
        </w:tc>
        <w:tc>
          <w:tcPr>
            <w:tcW w:w="7309" w:type="dxa"/>
            <w:shd w:val="clear" w:color="auto" w:fill="auto"/>
            <w:vAlign w:val="center"/>
          </w:tcPr>
          <w:p w14:paraId="298B2A3D" w14:textId="77777777" w:rsidR="00DD7927" w:rsidRPr="00F00DB1" w:rsidRDefault="00DD7927" w:rsidP="00DD7927">
            <w:pPr>
              <w:rPr>
                <w:rFonts w:ascii="Times New Roman" w:hAnsi="Times New Roman" w:cs="Times New Roman"/>
                <w:sz w:val="20"/>
                <w:szCs w:val="20"/>
                <w:lang w:val="en-US"/>
              </w:rPr>
            </w:pPr>
            <w:r w:rsidRPr="00F00DB1">
              <w:rPr>
                <w:rStyle w:val="Accentuation"/>
                <w:rFonts w:ascii="Times New Roman" w:hAnsi="Times New Roman" w:cs="Times New Roman"/>
                <w:i w:val="0"/>
                <w:sz w:val="20"/>
                <w:szCs w:val="20"/>
                <w:lang w:val="en-US"/>
              </w:rPr>
              <w:t>International Institute of Tropical Agriculture</w:t>
            </w:r>
          </w:p>
        </w:tc>
      </w:tr>
      <w:tr w:rsidR="00DD7927" w:rsidRPr="002B69BC" w14:paraId="34E1CE38" w14:textId="77777777" w:rsidTr="00DD7927">
        <w:tc>
          <w:tcPr>
            <w:tcW w:w="1866" w:type="dxa"/>
            <w:shd w:val="clear" w:color="auto" w:fill="auto"/>
            <w:vAlign w:val="center"/>
          </w:tcPr>
          <w:p w14:paraId="67465A35"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sz w:val="20"/>
                <w:szCs w:val="20"/>
              </w:rPr>
              <w:t>INADES</w:t>
            </w:r>
          </w:p>
        </w:tc>
        <w:tc>
          <w:tcPr>
            <w:tcW w:w="7309" w:type="dxa"/>
            <w:shd w:val="clear" w:color="auto" w:fill="auto"/>
            <w:vAlign w:val="center"/>
          </w:tcPr>
          <w:p w14:paraId="10FF8018" w14:textId="77777777" w:rsidR="00DD7927" w:rsidRPr="002B69BC" w:rsidRDefault="00DD7927" w:rsidP="00DD7927">
            <w:pPr>
              <w:rPr>
                <w:rFonts w:ascii="Times New Roman" w:hAnsi="Times New Roman" w:cs="Times New Roman"/>
                <w:sz w:val="20"/>
                <w:szCs w:val="20"/>
              </w:rPr>
            </w:pPr>
            <w:r>
              <w:rPr>
                <w:rStyle w:val="st"/>
                <w:rFonts w:ascii="Times New Roman" w:hAnsi="Times New Roman" w:cs="Times New Roman"/>
                <w:sz w:val="20"/>
                <w:szCs w:val="20"/>
              </w:rPr>
              <w:t>Institut Africain pour le Développement Economique et S</w:t>
            </w:r>
            <w:r w:rsidRPr="002B69BC">
              <w:rPr>
                <w:rStyle w:val="st"/>
                <w:rFonts w:ascii="Times New Roman" w:hAnsi="Times New Roman" w:cs="Times New Roman"/>
                <w:sz w:val="20"/>
                <w:szCs w:val="20"/>
              </w:rPr>
              <w:t>ocial</w:t>
            </w:r>
          </w:p>
        </w:tc>
      </w:tr>
      <w:tr w:rsidR="00DD7927" w:rsidRPr="002B69BC" w14:paraId="445FBE0D" w14:textId="77777777" w:rsidTr="00DD7927">
        <w:tc>
          <w:tcPr>
            <w:tcW w:w="1866" w:type="dxa"/>
            <w:shd w:val="clear" w:color="auto" w:fill="auto"/>
            <w:vAlign w:val="center"/>
          </w:tcPr>
          <w:p w14:paraId="55B10858" w14:textId="77777777" w:rsidR="00DD7927" w:rsidRPr="002B69BC" w:rsidRDefault="00DD7927" w:rsidP="00DD7927">
            <w:pPr>
              <w:rPr>
                <w:rFonts w:ascii="Times New Roman" w:eastAsia="Calibri" w:hAnsi="Times New Roman" w:cs="Times New Roman"/>
                <w:sz w:val="20"/>
                <w:szCs w:val="20"/>
              </w:rPr>
            </w:pPr>
            <w:r w:rsidRPr="002B69BC">
              <w:rPr>
                <w:rFonts w:ascii="Times New Roman" w:eastAsia="Calibri" w:hAnsi="Times New Roman" w:cs="Times New Roman"/>
                <w:sz w:val="20"/>
                <w:szCs w:val="20"/>
              </w:rPr>
              <w:t>INERA</w:t>
            </w:r>
          </w:p>
        </w:tc>
        <w:tc>
          <w:tcPr>
            <w:tcW w:w="7309" w:type="dxa"/>
            <w:shd w:val="clear" w:color="auto" w:fill="auto"/>
            <w:vAlign w:val="center"/>
          </w:tcPr>
          <w:p w14:paraId="0399F52F" w14:textId="77777777" w:rsidR="00DD7927" w:rsidRPr="002B69BC" w:rsidRDefault="00A14142" w:rsidP="00DD7927">
            <w:pPr>
              <w:rPr>
                <w:rFonts w:ascii="Times New Roman" w:eastAsia="Calibri" w:hAnsi="Times New Roman" w:cs="Times New Roman"/>
                <w:sz w:val="20"/>
                <w:szCs w:val="20"/>
              </w:rPr>
            </w:pPr>
            <w:hyperlink r:id="rId11" w:history="1">
              <w:r w:rsidR="00DD7927" w:rsidRPr="002B69BC">
                <w:rPr>
                  <w:rFonts w:ascii="Times New Roman" w:eastAsia="Calibri" w:hAnsi="Times New Roman" w:cs="Times New Roman"/>
                  <w:sz w:val="20"/>
                  <w:szCs w:val="20"/>
                </w:rPr>
                <w:t>Institut de l'Environnement et des Recherches Agricoles</w:t>
              </w:r>
            </w:hyperlink>
          </w:p>
        </w:tc>
      </w:tr>
      <w:tr w:rsidR="00DD7927" w:rsidRPr="002233C1" w14:paraId="34F2DD4D" w14:textId="77777777" w:rsidTr="00DD7927">
        <w:tc>
          <w:tcPr>
            <w:tcW w:w="1866" w:type="dxa"/>
            <w:vAlign w:val="center"/>
          </w:tcPr>
          <w:p w14:paraId="280AD87C"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INFA</w:t>
            </w:r>
          </w:p>
        </w:tc>
        <w:tc>
          <w:tcPr>
            <w:tcW w:w="7309" w:type="dxa"/>
            <w:vAlign w:val="center"/>
          </w:tcPr>
          <w:p w14:paraId="431FC5C5"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 xml:space="preserve">Institut </w:t>
            </w:r>
            <w:r>
              <w:rPr>
                <w:rFonts w:ascii="Times New Roman" w:hAnsi="Times New Roman" w:cs="Times New Roman"/>
                <w:sz w:val="20"/>
                <w:szCs w:val="20"/>
              </w:rPr>
              <w:t>N</w:t>
            </w:r>
            <w:r w:rsidRPr="002233C1">
              <w:rPr>
                <w:rFonts w:ascii="Times New Roman" w:hAnsi="Times New Roman" w:cs="Times New Roman"/>
                <w:sz w:val="20"/>
                <w:szCs w:val="20"/>
              </w:rPr>
              <w:t xml:space="preserve">ational de </w:t>
            </w:r>
            <w:r>
              <w:rPr>
                <w:rFonts w:ascii="Times New Roman" w:hAnsi="Times New Roman" w:cs="Times New Roman"/>
                <w:sz w:val="20"/>
                <w:szCs w:val="20"/>
              </w:rPr>
              <w:t>F</w:t>
            </w:r>
            <w:r w:rsidRPr="002233C1">
              <w:rPr>
                <w:rFonts w:ascii="Times New Roman" w:hAnsi="Times New Roman" w:cs="Times New Roman"/>
                <w:sz w:val="20"/>
                <w:szCs w:val="20"/>
              </w:rPr>
              <w:t xml:space="preserve">ormation </w:t>
            </w:r>
            <w:r>
              <w:rPr>
                <w:rFonts w:ascii="Times New Roman" w:hAnsi="Times New Roman" w:cs="Times New Roman"/>
                <w:sz w:val="20"/>
                <w:szCs w:val="20"/>
              </w:rPr>
              <w:t>A</w:t>
            </w:r>
            <w:r w:rsidRPr="002233C1">
              <w:rPr>
                <w:rFonts w:ascii="Times New Roman" w:hAnsi="Times New Roman" w:cs="Times New Roman"/>
                <w:sz w:val="20"/>
                <w:szCs w:val="20"/>
              </w:rPr>
              <w:t>gricole</w:t>
            </w:r>
          </w:p>
        </w:tc>
      </w:tr>
      <w:tr w:rsidR="00DD7927" w:rsidRPr="002233C1" w14:paraId="677149ED" w14:textId="77777777" w:rsidTr="00DD7927">
        <w:tc>
          <w:tcPr>
            <w:tcW w:w="1866" w:type="dxa"/>
            <w:vAlign w:val="center"/>
          </w:tcPr>
          <w:p w14:paraId="6420986E"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ITRA</w:t>
            </w:r>
          </w:p>
        </w:tc>
        <w:tc>
          <w:tcPr>
            <w:tcW w:w="7309" w:type="dxa"/>
            <w:vAlign w:val="center"/>
          </w:tcPr>
          <w:p w14:paraId="51849C69"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 xml:space="preserve">Institut </w:t>
            </w:r>
            <w:r>
              <w:rPr>
                <w:rFonts w:ascii="Times New Roman" w:eastAsia="Calibri" w:hAnsi="Times New Roman" w:cs="Times New Roman"/>
                <w:sz w:val="20"/>
                <w:szCs w:val="20"/>
              </w:rPr>
              <w:t>T</w:t>
            </w:r>
            <w:r w:rsidRPr="002233C1">
              <w:rPr>
                <w:rFonts w:ascii="Times New Roman" w:eastAsia="Calibri" w:hAnsi="Times New Roman" w:cs="Times New Roman"/>
                <w:sz w:val="20"/>
                <w:szCs w:val="20"/>
              </w:rPr>
              <w:t xml:space="preserve">ogolais de </w:t>
            </w:r>
            <w:r>
              <w:rPr>
                <w:rFonts w:ascii="Times New Roman" w:eastAsia="Calibri" w:hAnsi="Times New Roman" w:cs="Times New Roman"/>
                <w:sz w:val="20"/>
                <w:szCs w:val="20"/>
              </w:rPr>
              <w:t>R</w:t>
            </w:r>
            <w:r w:rsidRPr="002233C1">
              <w:rPr>
                <w:rFonts w:ascii="Times New Roman" w:eastAsia="Calibri" w:hAnsi="Times New Roman" w:cs="Times New Roman"/>
                <w:sz w:val="20"/>
                <w:szCs w:val="20"/>
              </w:rPr>
              <w:t xml:space="preserve">echerche </w:t>
            </w:r>
            <w:r>
              <w:rPr>
                <w:rFonts w:ascii="Times New Roman" w:eastAsia="Calibri" w:hAnsi="Times New Roman" w:cs="Times New Roman"/>
                <w:sz w:val="20"/>
                <w:szCs w:val="20"/>
              </w:rPr>
              <w:t>A</w:t>
            </w:r>
            <w:r w:rsidRPr="002233C1">
              <w:rPr>
                <w:rFonts w:ascii="Times New Roman" w:eastAsia="Calibri" w:hAnsi="Times New Roman" w:cs="Times New Roman"/>
                <w:sz w:val="20"/>
                <w:szCs w:val="20"/>
              </w:rPr>
              <w:t>gronomique</w:t>
            </w:r>
          </w:p>
        </w:tc>
      </w:tr>
      <w:tr w:rsidR="00DD7927" w:rsidRPr="002233C1" w14:paraId="673D9B04" w14:textId="77777777" w:rsidTr="00DD7927">
        <w:tc>
          <w:tcPr>
            <w:tcW w:w="1866" w:type="dxa"/>
            <w:shd w:val="clear" w:color="auto" w:fill="auto"/>
            <w:vAlign w:val="center"/>
          </w:tcPr>
          <w:p w14:paraId="002DE48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color w:val="000000"/>
                <w:sz w:val="20"/>
                <w:szCs w:val="20"/>
              </w:rPr>
              <w:t>JVE</w:t>
            </w:r>
          </w:p>
        </w:tc>
        <w:tc>
          <w:tcPr>
            <w:tcW w:w="7309" w:type="dxa"/>
            <w:shd w:val="clear" w:color="auto" w:fill="auto"/>
            <w:vAlign w:val="center"/>
          </w:tcPr>
          <w:p w14:paraId="7BA44024" w14:textId="77777777" w:rsidR="00DD7927" w:rsidRPr="002233C1" w:rsidRDefault="00DD7927" w:rsidP="00DD7927">
            <w:pPr>
              <w:rPr>
                <w:rFonts w:ascii="Times New Roman" w:eastAsia="Calibri" w:hAnsi="Times New Roman" w:cs="Times New Roman"/>
                <w:sz w:val="20"/>
                <w:szCs w:val="20"/>
              </w:rPr>
            </w:pPr>
            <w:r>
              <w:rPr>
                <w:rFonts w:ascii="Times New Roman" w:eastAsia="Calibri" w:hAnsi="Times New Roman" w:cs="Times New Roman"/>
                <w:sz w:val="20"/>
                <w:szCs w:val="20"/>
              </w:rPr>
              <w:t>Jeunes Volontaires pour l’Environnement</w:t>
            </w:r>
          </w:p>
        </w:tc>
      </w:tr>
      <w:tr w:rsidR="00DD7927" w:rsidRPr="002233C1" w14:paraId="0ED2353D" w14:textId="77777777" w:rsidTr="00DD7927">
        <w:tc>
          <w:tcPr>
            <w:tcW w:w="1866" w:type="dxa"/>
            <w:shd w:val="clear" w:color="auto" w:fill="auto"/>
            <w:vAlign w:val="center"/>
          </w:tcPr>
          <w:p w14:paraId="4170CCEF"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MAB</w:t>
            </w:r>
          </w:p>
        </w:tc>
        <w:tc>
          <w:tcPr>
            <w:tcW w:w="7309" w:type="dxa"/>
            <w:shd w:val="clear" w:color="auto" w:fill="auto"/>
            <w:vAlign w:val="center"/>
          </w:tcPr>
          <w:p w14:paraId="1F72B68E" w14:textId="77777777" w:rsidR="00DD7927" w:rsidRPr="002233C1" w:rsidRDefault="00DD7927" w:rsidP="00DD7927">
            <w:pPr>
              <w:rPr>
                <w:rFonts w:ascii="Times New Roman" w:eastAsia="Calibri" w:hAnsi="Times New Roman" w:cs="Times New Roman"/>
                <w:sz w:val="20"/>
                <w:szCs w:val="20"/>
              </w:rPr>
            </w:pPr>
            <w:r>
              <w:rPr>
                <w:rFonts w:ascii="Times New Roman" w:eastAsia="Calibri" w:hAnsi="Times New Roman" w:cs="Times New Roman"/>
                <w:sz w:val="20"/>
                <w:szCs w:val="20"/>
              </w:rPr>
              <w:t>Man And Biosphere</w:t>
            </w:r>
          </w:p>
        </w:tc>
      </w:tr>
      <w:tr w:rsidR="00DD7927" w:rsidRPr="002233C1" w14:paraId="04220528" w14:textId="77777777" w:rsidTr="00DD7927">
        <w:tc>
          <w:tcPr>
            <w:tcW w:w="1866" w:type="dxa"/>
            <w:vAlign w:val="center"/>
          </w:tcPr>
          <w:p w14:paraId="31511BDC"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MECGCCRPRNF</w:t>
            </w:r>
          </w:p>
        </w:tc>
        <w:tc>
          <w:tcPr>
            <w:tcW w:w="7309" w:type="dxa"/>
            <w:vAlign w:val="center"/>
          </w:tcPr>
          <w:p w14:paraId="0FA6915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Ministère de l’Environnement chargé de la Gestion des Changements climatiques, du Reboisement et de la Protection des ressources naturelles et forestières</w:t>
            </w:r>
          </w:p>
        </w:tc>
      </w:tr>
      <w:tr w:rsidR="00DD7927" w:rsidRPr="002233C1" w14:paraId="5E7EB4E2" w14:textId="77777777" w:rsidTr="00DD7927">
        <w:tc>
          <w:tcPr>
            <w:tcW w:w="1866" w:type="dxa"/>
            <w:vAlign w:val="center"/>
          </w:tcPr>
          <w:p w14:paraId="282C8781"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color w:val="000000"/>
                <w:sz w:val="20"/>
                <w:szCs w:val="20"/>
              </w:rPr>
              <w:t>MERF</w:t>
            </w:r>
          </w:p>
        </w:tc>
        <w:tc>
          <w:tcPr>
            <w:tcW w:w="7309" w:type="dxa"/>
            <w:vAlign w:val="center"/>
          </w:tcPr>
          <w:p w14:paraId="4F572DA3"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color w:val="000000"/>
                <w:sz w:val="20"/>
                <w:szCs w:val="20"/>
              </w:rPr>
              <w:t>Ministère de l’</w:t>
            </w:r>
            <w:r>
              <w:rPr>
                <w:rFonts w:ascii="Times New Roman" w:hAnsi="Times New Roman" w:cs="Times New Roman"/>
                <w:color w:val="000000"/>
                <w:sz w:val="20"/>
                <w:szCs w:val="20"/>
              </w:rPr>
              <w:t>E</w:t>
            </w:r>
            <w:r w:rsidRPr="002233C1">
              <w:rPr>
                <w:rFonts w:ascii="Times New Roman" w:hAnsi="Times New Roman" w:cs="Times New Roman"/>
                <w:color w:val="000000"/>
                <w:sz w:val="20"/>
                <w:szCs w:val="20"/>
              </w:rPr>
              <w:t xml:space="preserve">nvironnement et des </w:t>
            </w:r>
            <w:r>
              <w:rPr>
                <w:rFonts w:ascii="Times New Roman" w:hAnsi="Times New Roman" w:cs="Times New Roman"/>
                <w:color w:val="000000"/>
                <w:sz w:val="20"/>
                <w:szCs w:val="20"/>
              </w:rPr>
              <w:t>R</w:t>
            </w:r>
            <w:r w:rsidRPr="002233C1">
              <w:rPr>
                <w:rFonts w:ascii="Times New Roman" w:hAnsi="Times New Roman" w:cs="Times New Roman"/>
                <w:color w:val="000000"/>
                <w:sz w:val="20"/>
                <w:szCs w:val="20"/>
              </w:rPr>
              <w:t xml:space="preserve">essources </w:t>
            </w:r>
            <w:r>
              <w:rPr>
                <w:rFonts w:ascii="Times New Roman" w:hAnsi="Times New Roman" w:cs="Times New Roman"/>
                <w:color w:val="000000"/>
                <w:sz w:val="20"/>
                <w:szCs w:val="20"/>
              </w:rPr>
              <w:t>F</w:t>
            </w:r>
            <w:r w:rsidRPr="002233C1">
              <w:rPr>
                <w:rFonts w:ascii="Times New Roman" w:hAnsi="Times New Roman" w:cs="Times New Roman"/>
                <w:color w:val="000000"/>
                <w:sz w:val="20"/>
                <w:szCs w:val="20"/>
              </w:rPr>
              <w:t>orestières</w:t>
            </w:r>
          </w:p>
        </w:tc>
      </w:tr>
      <w:tr w:rsidR="00DD7927" w:rsidRPr="002B69BC" w14:paraId="441A643E" w14:textId="77777777" w:rsidTr="00DD7927">
        <w:tc>
          <w:tcPr>
            <w:tcW w:w="1866" w:type="dxa"/>
            <w:shd w:val="clear" w:color="auto" w:fill="auto"/>
            <w:vAlign w:val="center"/>
          </w:tcPr>
          <w:p w14:paraId="3DEE26CE" w14:textId="77777777" w:rsidR="00DD7927" w:rsidRPr="002B69BC" w:rsidRDefault="00DD7927" w:rsidP="00DD7927">
            <w:pPr>
              <w:rPr>
                <w:rFonts w:ascii="Times New Roman" w:eastAsia="Calibri" w:hAnsi="Times New Roman" w:cs="Times New Roman"/>
                <w:sz w:val="20"/>
                <w:szCs w:val="20"/>
              </w:rPr>
            </w:pPr>
            <w:r w:rsidRPr="002B69BC">
              <w:rPr>
                <w:rFonts w:ascii="Times New Roman" w:eastAsia="Times New Roman" w:hAnsi="Times New Roman" w:cs="Times New Roman"/>
                <w:sz w:val="20"/>
                <w:szCs w:val="20"/>
                <w:lang w:eastAsia="fr-FR"/>
              </w:rPr>
              <w:t>METT</w:t>
            </w:r>
          </w:p>
        </w:tc>
        <w:tc>
          <w:tcPr>
            <w:tcW w:w="7309" w:type="dxa"/>
            <w:shd w:val="clear" w:color="auto" w:fill="auto"/>
            <w:vAlign w:val="center"/>
          </w:tcPr>
          <w:p w14:paraId="74538B78" w14:textId="77777777" w:rsidR="00DD7927" w:rsidRPr="002B69BC" w:rsidRDefault="00DD7927" w:rsidP="00DD7927">
            <w:pPr>
              <w:rPr>
                <w:rFonts w:ascii="Times New Roman" w:eastAsia="Calibri" w:hAnsi="Times New Roman" w:cs="Times New Roman"/>
                <w:sz w:val="20"/>
                <w:szCs w:val="20"/>
              </w:rPr>
            </w:pPr>
            <w:r w:rsidRPr="002B69BC">
              <w:rPr>
                <w:rStyle w:val="st"/>
                <w:rFonts w:ascii="Times New Roman" w:hAnsi="Times New Roman" w:cs="Times New Roman"/>
                <w:sz w:val="20"/>
                <w:szCs w:val="20"/>
              </w:rPr>
              <w:t>Management Effectiveness Tracking Tool</w:t>
            </w:r>
          </w:p>
        </w:tc>
      </w:tr>
      <w:tr w:rsidR="00DD7927" w:rsidRPr="002233C1" w14:paraId="1C978856" w14:textId="77777777" w:rsidTr="00DD7927">
        <w:tc>
          <w:tcPr>
            <w:tcW w:w="1866" w:type="dxa"/>
            <w:vAlign w:val="center"/>
          </w:tcPr>
          <w:p w14:paraId="43847CDC"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MRV</w:t>
            </w:r>
          </w:p>
        </w:tc>
        <w:tc>
          <w:tcPr>
            <w:tcW w:w="7309" w:type="dxa"/>
            <w:vAlign w:val="center"/>
          </w:tcPr>
          <w:p w14:paraId="4CB6D1B2"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Mesure, Rapportage et Vérification</w:t>
            </w:r>
          </w:p>
        </w:tc>
      </w:tr>
      <w:tr w:rsidR="00DD7927" w:rsidRPr="002233C1" w14:paraId="0B915D91" w14:textId="77777777" w:rsidTr="00DD7927">
        <w:tc>
          <w:tcPr>
            <w:tcW w:w="1866" w:type="dxa"/>
            <w:vAlign w:val="center"/>
          </w:tcPr>
          <w:p w14:paraId="7C56099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NDT</w:t>
            </w:r>
          </w:p>
        </w:tc>
        <w:tc>
          <w:tcPr>
            <w:tcW w:w="7309" w:type="dxa"/>
            <w:vAlign w:val="center"/>
          </w:tcPr>
          <w:p w14:paraId="0BBA77C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Neutralité en matière de Dégradation des Terres</w:t>
            </w:r>
          </w:p>
        </w:tc>
      </w:tr>
      <w:tr w:rsidR="00DD7927" w:rsidRPr="002233C1" w14:paraId="7E501AFB" w14:textId="77777777" w:rsidTr="00DD7927">
        <w:tc>
          <w:tcPr>
            <w:tcW w:w="1866" w:type="dxa"/>
            <w:vAlign w:val="center"/>
          </w:tcPr>
          <w:p w14:paraId="62BF4277"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NES</w:t>
            </w:r>
          </w:p>
        </w:tc>
        <w:tc>
          <w:tcPr>
            <w:tcW w:w="7309" w:type="dxa"/>
            <w:vAlign w:val="center"/>
          </w:tcPr>
          <w:p w14:paraId="5E65B14F"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Normes Environnementales et Sociales</w:t>
            </w:r>
          </w:p>
        </w:tc>
      </w:tr>
      <w:tr w:rsidR="00DD7927" w:rsidRPr="002233C1" w14:paraId="4CB8FEDA" w14:textId="77777777" w:rsidTr="00DD7927">
        <w:tc>
          <w:tcPr>
            <w:tcW w:w="1866" w:type="dxa"/>
            <w:vAlign w:val="center"/>
          </w:tcPr>
          <w:p w14:paraId="622815FA"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OAB</w:t>
            </w:r>
          </w:p>
        </w:tc>
        <w:tc>
          <w:tcPr>
            <w:tcW w:w="7309" w:type="dxa"/>
            <w:vAlign w:val="center"/>
          </w:tcPr>
          <w:p w14:paraId="36E00F55"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Objectif d’Aichi pour la Biodiversité</w:t>
            </w:r>
          </w:p>
        </w:tc>
      </w:tr>
      <w:tr w:rsidR="00DD7927" w:rsidRPr="002233C1" w14:paraId="29D0BECB" w14:textId="77777777" w:rsidTr="00DD7927">
        <w:tc>
          <w:tcPr>
            <w:tcW w:w="1866" w:type="dxa"/>
            <w:vAlign w:val="center"/>
          </w:tcPr>
          <w:p w14:paraId="7015DC4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bCs/>
                <w:sz w:val="20"/>
                <w:szCs w:val="20"/>
              </w:rPr>
              <w:t>ODD</w:t>
            </w:r>
          </w:p>
        </w:tc>
        <w:tc>
          <w:tcPr>
            <w:tcW w:w="7309" w:type="dxa"/>
            <w:vAlign w:val="center"/>
          </w:tcPr>
          <w:p w14:paraId="11B00C33"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bCs/>
                <w:sz w:val="20"/>
                <w:szCs w:val="20"/>
              </w:rPr>
              <w:t>Objectifs de développement Durable</w:t>
            </w:r>
          </w:p>
        </w:tc>
      </w:tr>
      <w:tr w:rsidR="00DD7927" w:rsidRPr="002233C1" w14:paraId="77A1A4D1" w14:textId="77777777" w:rsidTr="00DD7927">
        <w:tc>
          <w:tcPr>
            <w:tcW w:w="1866" w:type="dxa"/>
            <w:vAlign w:val="center"/>
          </w:tcPr>
          <w:p w14:paraId="48344969"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ODEF</w:t>
            </w:r>
          </w:p>
        </w:tc>
        <w:tc>
          <w:tcPr>
            <w:tcW w:w="7309" w:type="dxa"/>
            <w:vAlign w:val="center"/>
          </w:tcPr>
          <w:p w14:paraId="18F12EEB"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Office de Développement et d’Exploitation des Forêts</w:t>
            </w:r>
          </w:p>
        </w:tc>
      </w:tr>
      <w:tr w:rsidR="00DD7927" w:rsidRPr="002233C1" w14:paraId="5FA96274" w14:textId="77777777" w:rsidTr="00DD7927">
        <w:tc>
          <w:tcPr>
            <w:tcW w:w="1866" w:type="dxa"/>
            <w:vAlign w:val="center"/>
          </w:tcPr>
          <w:p w14:paraId="0F3CCFA7"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OGM</w:t>
            </w:r>
          </w:p>
        </w:tc>
        <w:tc>
          <w:tcPr>
            <w:tcW w:w="7309" w:type="dxa"/>
            <w:vAlign w:val="center"/>
          </w:tcPr>
          <w:p w14:paraId="2AF6F889" w14:textId="77777777" w:rsidR="00DD7927" w:rsidRPr="002233C1" w:rsidRDefault="00DD7927" w:rsidP="00DD7927">
            <w:pPr>
              <w:rPr>
                <w:rFonts w:ascii="Times New Roman" w:eastAsia="Calibri" w:hAnsi="Times New Roman" w:cs="Times New Roman"/>
                <w:sz w:val="20"/>
                <w:szCs w:val="20"/>
              </w:rPr>
            </w:pPr>
            <w:r w:rsidRPr="002233C1">
              <w:rPr>
                <w:rFonts w:ascii="Times New Roman" w:eastAsia="Calibri" w:hAnsi="Times New Roman" w:cs="Times New Roman"/>
                <w:sz w:val="20"/>
                <w:szCs w:val="20"/>
              </w:rPr>
              <w:t>Organismes Génétiquement Modifiés</w:t>
            </w:r>
          </w:p>
        </w:tc>
      </w:tr>
      <w:tr w:rsidR="00DD7927" w:rsidRPr="002233C1" w14:paraId="2BF5ACFF" w14:textId="77777777" w:rsidTr="00DD7927">
        <w:tc>
          <w:tcPr>
            <w:tcW w:w="1866" w:type="dxa"/>
            <w:shd w:val="clear" w:color="auto" w:fill="auto"/>
            <w:vAlign w:val="center"/>
          </w:tcPr>
          <w:p w14:paraId="0032EF4F"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color w:val="000000"/>
                <w:sz w:val="20"/>
                <w:szCs w:val="20"/>
              </w:rPr>
              <w:t>OIBT</w:t>
            </w:r>
          </w:p>
        </w:tc>
        <w:tc>
          <w:tcPr>
            <w:tcW w:w="7309" w:type="dxa"/>
            <w:shd w:val="clear" w:color="auto" w:fill="auto"/>
            <w:vAlign w:val="center"/>
          </w:tcPr>
          <w:p w14:paraId="3D136425" w14:textId="77777777" w:rsidR="00DD7927" w:rsidRPr="002233C1" w:rsidRDefault="00DD7927" w:rsidP="00DD7927">
            <w:pPr>
              <w:rPr>
                <w:rFonts w:ascii="Times New Roman" w:eastAsia="Calibri" w:hAnsi="Times New Roman" w:cs="Times New Roman"/>
                <w:sz w:val="20"/>
                <w:szCs w:val="20"/>
              </w:rPr>
            </w:pPr>
            <w:r>
              <w:rPr>
                <w:rFonts w:ascii="Times New Roman" w:eastAsia="Calibri" w:hAnsi="Times New Roman" w:cs="Times New Roman"/>
                <w:sz w:val="20"/>
                <w:szCs w:val="20"/>
              </w:rPr>
              <w:t>Organisation Internationale des Bois tropicaux</w:t>
            </w:r>
          </w:p>
        </w:tc>
      </w:tr>
      <w:tr w:rsidR="00DD7927" w:rsidRPr="002233C1" w14:paraId="58FE23C2" w14:textId="77777777" w:rsidTr="00DD7927">
        <w:tc>
          <w:tcPr>
            <w:tcW w:w="1866" w:type="dxa"/>
            <w:vAlign w:val="center"/>
          </w:tcPr>
          <w:p w14:paraId="0AFA746D"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OKM</w:t>
            </w:r>
          </w:p>
        </w:tc>
        <w:tc>
          <w:tcPr>
            <w:tcW w:w="7309" w:type="dxa"/>
            <w:vAlign w:val="center"/>
          </w:tcPr>
          <w:p w14:paraId="45513F81"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Oti-Kéran-Mandouri</w:t>
            </w:r>
          </w:p>
        </w:tc>
      </w:tr>
      <w:tr w:rsidR="00DD7927" w:rsidRPr="002233C1" w14:paraId="332BB4FC" w14:textId="77777777" w:rsidTr="00DD7927">
        <w:tc>
          <w:tcPr>
            <w:tcW w:w="1866" w:type="dxa"/>
            <w:vAlign w:val="center"/>
          </w:tcPr>
          <w:p w14:paraId="28AEB8E6" w14:textId="77777777" w:rsidR="00DD7927" w:rsidRPr="002233C1" w:rsidRDefault="00DD7927" w:rsidP="00DD7927">
            <w:pPr>
              <w:rPr>
                <w:rFonts w:ascii="Times New Roman" w:hAnsi="Times New Roman" w:cs="Times New Roman"/>
                <w:sz w:val="20"/>
                <w:szCs w:val="20"/>
              </w:rPr>
            </w:pPr>
            <w:r w:rsidRPr="002233C1">
              <w:rPr>
                <w:rFonts w:ascii="Times New Roman" w:eastAsia="Times New Roman" w:hAnsi="Times New Roman" w:cs="Times New Roman"/>
                <w:iCs/>
                <w:sz w:val="20"/>
                <w:szCs w:val="20"/>
              </w:rPr>
              <w:t>ONAEM</w:t>
            </w:r>
          </w:p>
        </w:tc>
        <w:tc>
          <w:tcPr>
            <w:tcW w:w="7309" w:type="dxa"/>
            <w:vAlign w:val="center"/>
          </w:tcPr>
          <w:p w14:paraId="51F806DA" w14:textId="77777777" w:rsidR="00DD7927" w:rsidRPr="002233C1" w:rsidRDefault="00DD7927" w:rsidP="00DD7927">
            <w:pPr>
              <w:rPr>
                <w:rFonts w:ascii="Times New Roman" w:hAnsi="Times New Roman" w:cs="Times New Roman"/>
                <w:sz w:val="20"/>
                <w:szCs w:val="20"/>
              </w:rPr>
            </w:pPr>
            <w:r w:rsidRPr="002233C1">
              <w:rPr>
                <w:rFonts w:ascii="Times New Roman" w:eastAsia="Times New Roman" w:hAnsi="Times New Roman" w:cs="Times New Roman"/>
                <w:iCs/>
                <w:sz w:val="20"/>
                <w:szCs w:val="20"/>
              </w:rPr>
              <w:t>Organisme National chargé de l’action de l’Etat en mer</w:t>
            </w:r>
          </w:p>
        </w:tc>
      </w:tr>
      <w:tr w:rsidR="00DD7927" w:rsidRPr="002233C1" w14:paraId="4C11E80C" w14:textId="77777777" w:rsidTr="00DD7927">
        <w:tc>
          <w:tcPr>
            <w:tcW w:w="1866" w:type="dxa"/>
            <w:vAlign w:val="center"/>
          </w:tcPr>
          <w:p w14:paraId="2ECAEE95"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ONG</w:t>
            </w:r>
          </w:p>
        </w:tc>
        <w:tc>
          <w:tcPr>
            <w:tcW w:w="7309" w:type="dxa"/>
            <w:vAlign w:val="center"/>
          </w:tcPr>
          <w:p w14:paraId="3A2F8519"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Organisation Non Gouvernementale</w:t>
            </w:r>
          </w:p>
        </w:tc>
      </w:tr>
      <w:tr w:rsidR="00DD7927" w:rsidRPr="002233C1" w14:paraId="5C575824" w14:textId="77777777" w:rsidTr="00DD7927">
        <w:tc>
          <w:tcPr>
            <w:tcW w:w="1866" w:type="dxa"/>
            <w:vAlign w:val="center"/>
          </w:tcPr>
          <w:p w14:paraId="65FFF7A3"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OVM</w:t>
            </w:r>
          </w:p>
        </w:tc>
        <w:tc>
          <w:tcPr>
            <w:tcW w:w="7309" w:type="dxa"/>
            <w:vAlign w:val="center"/>
          </w:tcPr>
          <w:p w14:paraId="27CC1BE8"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Organismes Vivants Modifiés</w:t>
            </w:r>
          </w:p>
        </w:tc>
      </w:tr>
      <w:tr w:rsidR="00DD7927" w:rsidRPr="002233C1" w14:paraId="3A37DC6F" w14:textId="77777777" w:rsidTr="00DD7927">
        <w:tc>
          <w:tcPr>
            <w:tcW w:w="1866" w:type="dxa"/>
            <w:shd w:val="clear" w:color="auto" w:fill="auto"/>
            <w:vAlign w:val="center"/>
          </w:tcPr>
          <w:p w14:paraId="1DDD342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PAFN</w:t>
            </w:r>
          </w:p>
        </w:tc>
        <w:tc>
          <w:tcPr>
            <w:tcW w:w="7309" w:type="dxa"/>
            <w:shd w:val="clear" w:color="auto" w:fill="auto"/>
            <w:vAlign w:val="center"/>
          </w:tcPr>
          <w:p w14:paraId="4A264BD4" w14:textId="77777777" w:rsidR="00DD7927" w:rsidRPr="002233C1" w:rsidRDefault="00DD7927" w:rsidP="00DD7927">
            <w:pPr>
              <w:rPr>
                <w:rFonts w:ascii="Times New Roman" w:hAnsi="Times New Roman" w:cs="Times New Roman"/>
                <w:sz w:val="20"/>
                <w:szCs w:val="20"/>
              </w:rPr>
            </w:pPr>
            <w:r>
              <w:rPr>
                <w:rFonts w:ascii="Times New Roman" w:hAnsi="Times New Roman" w:cs="Times New Roman"/>
                <w:sz w:val="20"/>
                <w:szCs w:val="20"/>
              </w:rPr>
              <w:t>Plan d’Action Forestier National</w:t>
            </w:r>
          </w:p>
        </w:tc>
      </w:tr>
      <w:tr w:rsidR="00DD7927" w:rsidRPr="002233C1" w14:paraId="7F6EB505" w14:textId="77777777" w:rsidTr="00DD7927">
        <w:tc>
          <w:tcPr>
            <w:tcW w:w="1866" w:type="dxa"/>
            <w:vAlign w:val="center"/>
          </w:tcPr>
          <w:p w14:paraId="0C104EB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PAIEJ</w:t>
            </w:r>
          </w:p>
        </w:tc>
        <w:tc>
          <w:tcPr>
            <w:tcW w:w="7309" w:type="dxa"/>
            <w:vAlign w:val="center"/>
          </w:tcPr>
          <w:p w14:paraId="68A790E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Projet d’appui aux initiatives économiques des jeunes</w:t>
            </w:r>
          </w:p>
        </w:tc>
      </w:tr>
      <w:tr w:rsidR="00DD7927" w:rsidRPr="002233C1" w14:paraId="63C65FB2" w14:textId="77777777" w:rsidTr="00DD7927">
        <w:tc>
          <w:tcPr>
            <w:tcW w:w="1866" w:type="dxa"/>
            <w:vAlign w:val="center"/>
          </w:tcPr>
          <w:p w14:paraId="55238F7B"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PANA</w:t>
            </w:r>
          </w:p>
        </w:tc>
        <w:tc>
          <w:tcPr>
            <w:tcW w:w="7309" w:type="dxa"/>
            <w:vAlign w:val="center"/>
          </w:tcPr>
          <w:p w14:paraId="50443587"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Plan d’action national d’adaptation aux changements climatique</w:t>
            </w:r>
          </w:p>
        </w:tc>
      </w:tr>
      <w:tr w:rsidR="00DD7927" w:rsidRPr="002233C1" w14:paraId="4D788393" w14:textId="77777777" w:rsidTr="00DD7927">
        <w:tc>
          <w:tcPr>
            <w:tcW w:w="1866" w:type="dxa"/>
            <w:vAlign w:val="center"/>
          </w:tcPr>
          <w:p w14:paraId="4C521FD5"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lang w:val="fr-CA"/>
              </w:rPr>
              <w:t>PAPE</w:t>
            </w:r>
          </w:p>
        </w:tc>
        <w:tc>
          <w:tcPr>
            <w:tcW w:w="7309" w:type="dxa"/>
            <w:vAlign w:val="center"/>
          </w:tcPr>
          <w:p w14:paraId="059C0500"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lang w:val="fr-CA"/>
              </w:rPr>
              <w:t>Programme d’Appui aux Parcs de l’Entente</w:t>
            </w:r>
          </w:p>
        </w:tc>
      </w:tr>
      <w:tr w:rsidR="00DD7927" w:rsidRPr="002B69BC" w14:paraId="42015F8D" w14:textId="77777777" w:rsidTr="00DD7927">
        <w:tc>
          <w:tcPr>
            <w:tcW w:w="1866" w:type="dxa"/>
            <w:shd w:val="clear" w:color="auto" w:fill="auto"/>
            <w:vAlign w:val="center"/>
          </w:tcPr>
          <w:p w14:paraId="235C8F8C" w14:textId="77777777" w:rsidR="00DD7927" w:rsidRPr="002B69BC" w:rsidRDefault="00DD7927" w:rsidP="00DD7927">
            <w:pPr>
              <w:rPr>
                <w:rFonts w:ascii="Times New Roman" w:hAnsi="Times New Roman" w:cs="Times New Roman"/>
                <w:sz w:val="20"/>
                <w:szCs w:val="20"/>
              </w:rPr>
            </w:pPr>
            <w:r w:rsidRPr="002B69BC">
              <w:rPr>
                <w:rFonts w:ascii="Times New Roman" w:hAnsi="Times New Roman" w:cs="Times New Roman"/>
                <w:iCs/>
                <w:sz w:val="20"/>
                <w:szCs w:val="20"/>
                <w:lang w:val="fr-CA"/>
              </w:rPr>
              <w:t>PARCC</w:t>
            </w:r>
          </w:p>
        </w:tc>
        <w:tc>
          <w:tcPr>
            <w:tcW w:w="7309" w:type="dxa"/>
            <w:shd w:val="clear" w:color="auto" w:fill="auto"/>
            <w:vAlign w:val="center"/>
          </w:tcPr>
          <w:p w14:paraId="30FBABFA" w14:textId="77777777" w:rsidR="00DD7927" w:rsidRPr="002B69BC" w:rsidRDefault="00DD7927" w:rsidP="00DD7927">
            <w:pPr>
              <w:rPr>
                <w:rFonts w:ascii="Times New Roman" w:hAnsi="Times New Roman" w:cs="Times New Roman"/>
                <w:sz w:val="20"/>
                <w:szCs w:val="20"/>
              </w:rPr>
            </w:pPr>
            <w:r w:rsidRPr="002B69BC">
              <w:rPr>
                <w:rStyle w:val="st"/>
                <w:rFonts w:ascii="Times New Roman" w:hAnsi="Times New Roman" w:cs="Times New Roman"/>
                <w:sz w:val="20"/>
                <w:szCs w:val="20"/>
              </w:rPr>
              <w:t>projet “Aires Protégées Résili</w:t>
            </w:r>
            <w:r>
              <w:rPr>
                <w:rStyle w:val="st"/>
                <w:rFonts w:ascii="Times New Roman" w:hAnsi="Times New Roman" w:cs="Times New Roman"/>
                <w:sz w:val="20"/>
                <w:szCs w:val="20"/>
              </w:rPr>
              <w:t>entes au Changement Climatique</w:t>
            </w:r>
          </w:p>
        </w:tc>
      </w:tr>
      <w:tr w:rsidR="00DD7927" w:rsidRPr="002233C1" w14:paraId="6EA4164E" w14:textId="77777777" w:rsidTr="00DD7927">
        <w:tc>
          <w:tcPr>
            <w:tcW w:w="1866" w:type="dxa"/>
            <w:vAlign w:val="center"/>
          </w:tcPr>
          <w:p w14:paraId="49BB73DF"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color w:val="000000"/>
                <w:sz w:val="20"/>
                <w:szCs w:val="20"/>
              </w:rPr>
              <w:t>PARTAM</w:t>
            </w:r>
          </w:p>
        </w:tc>
        <w:tc>
          <w:tcPr>
            <w:tcW w:w="7309" w:type="dxa"/>
            <w:vAlign w:val="center"/>
          </w:tcPr>
          <w:p w14:paraId="37590F13"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Projet d’aménagement et de réhabilitation des terres agricoles de Mission Tové</w:t>
            </w:r>
          </w:p>
        </w:tc>
      </w:tr>
      <w:tr w:rsidR="00DD7927" w:rsidRPr="002233C1" w14:paraId="190FDE8B" w14:textId="77777777" w:rsidTr="00DD7927">
        <w:tc>
          <w:tcPr>
            <w:tcW w:w="1866" w:type="dxa"/>
            <w:vAlign w:val="center"/>
          </w:tcPr>
          <w:p w14:paraId="27F89657"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sz w:val="20"/>
                <w:szCs w:val="20"/>
              </w:rPr>
              <w:t>PASA</w:t>
            </w:r>
          </w:p>
        </w:tc>
        <w:tc>
          <w:tcPr>
            <w:tcW w:w="7309" w:type="dxa"/>
            <w:vAlign w:val="center"/>
          </w:tcPr>
          <w:p w14:paraId="06AC3F95"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Projet d’Appui au Secteur Agricole</w:t>
            </w:r>
          </w:p>
        </w:tc>
      </w:tr>
      <w:tr w:rsidR="00DD7927" w:rsidRPr="002233C1" w14:paraId="518877FB" w14:textId="77777777" w:rsidTr="00DD7927">
        <w:tc>
          <w:tcPr>
            <w:tcW w:w="1866" w:type="dxa"/>
            <w:vAlign w:val="center"/>
          </w:tcPr>
          <w:p w14:paraId="10D942CE"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color w:val="000000"/>
                <w:sz w:val="20"/>
                <w:szCs w:val="20"/>
              </w:rPr>
              <w:t>PATA-Oti </w:t>
            </w:r>
          </w:p>
        </w:tc>
        <w:tc>
          <w:tcPr>
            <w:tcW w:w="7309" w:type="dxa"/>
            <w:vAlign w:val="center"/>
          </w:tcPr>
          <w:p w14:paraId="79E4972C" w14:textId="306D3C13"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Projet d’aménagement des terres agricole</w:t>
            </w:r>
            <w:r w:rsidR="006E77C1">
              <w:rPr>
                <w:rFonts w:ascii="Times New Roman" w:hAnsi="Times New Roman" w:cs="Times New Roman"/>
                <w:color w:val="000000"/>
                <w:sz w:val="20"/>
                <w:szCs w:val="20"/>
              </w:rPr>
              <w:t>s</w:t>
            </w:r>
            <w:r w:rsidRPr="002233C1">
              <w:rPr>
                <w:rFonts w:ascii="Times New Roman" w:hAnsi="Times New Roman" w:cs="Times New Roman"/>
                <w:color w:val="000000"/>
                <w:sz w:val="20"/>
                <w:szCs w:val="20"/>
              </w:rPr>
              <w:t xml:space="preserve"> de la plaine de l’Oti</w:t>
            </w:r>
          </w:p>
        </w:tc>
      </w:tr>
      <w:tr w:rsidR="00DD7927" w:rsidRPr="002233C1" w14:paraId="79BF728D" w14:textId="77777777" w:rsidTr="00DD7927">
        <w:tc>
          <w:tcPr>
            <w:tcW w:w="1866" w:type="dxa"/>
            <w:vAlign w:val="center"/>
          </w:tcPr>
          <w:p w14:paraId="7B6FC1E7"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color w:val="000000"/>
                <w:sz w:val="20"/>
                <w:szCs w:val="20"/>
              </w:rPr>
              <w:t>PBVM</w:t>
            </w:r>
          </w:p>
        </w:tc>
        <w:tc>
          <w:tcPr>
            <w:tcW w:w="7309" w:type="dxa"/>
            <w:vAlign w:val="center"/>
          </w:tcPr>
          <w:p w14:paraId="096EC670"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Projet d’</w:t>
            </w:r>
            <w:r>
              <w:rPr>
                <w:rFonts w:ascii="Times New Roman" w:hAnsi="Times New Roman" w:cs="Times New Roman"/>
                <w:color w:val="000000"/>
                <w:sz w:val="20"/>
                <w:szCs w:val="20"/>
              </w:rPr>
              <w:t>A</w:t>
            </w:r>
            <w:r w:rsidRPr="002233C1">
              <w:rPr>
                <w:rFonts w:ascii="Times New Roman" w:hAnsi="Times New Roman" w:cs="Times New Roman"/>
                <w:color w:val="000000"/>
                <w:sz w:val="20"/>
                <w:szCs w:val="20"/>
              </w:rPr>
              <w:t xml:space="preserve">ménagement de la </w:t>
            </w:r>
            <w:r>
              <w:rPr>
                <w:rFonts w:ascii="Times New Roman" w:hAnsi="Times New Roman" w:cs="Times New Roman"/>
                <w:color w:val="000000"/>
                <w:sz w:val="20"/>
                <w:szCs w:val="20"/>
              </w:rPr>
              <w:t>B</w:t>
            </w:r>
            <w:r w:rsidRPr="002233C1">
              <w:rPr>
                <w:rFonts w:ascii="Times New Roman" w:hAnsi="Times New Roman" w:cs="Times New Roman"/>
                <w:color w:val="000000"/>
                <w:sz w:val="20"/>
                <w:szCs w:val="20"/>
              </w:rPr>
              <w:t xml:space="preserve">asse </w:t>
            </w:r>
            <w:r>
              <w:rPr>
                <w:rFonts w:ascii="Times New Roman" w:hAnsi="Times New Roman" w:cs="Times New Roman"/>
                <w:color w:val="000000"/>
                <w:sz w:val="20"/>
                <w:szCs w:val="20"/>
              </w:rPr>
              <w:t>V</w:t>
            </w:r>
            <w:r w:rsidRPr="002233C1">
              <w:rPr>
                <w:rFonts w:ascii="Times New Roman" w:hAnsi="Times New Roman" w:cs="Times New Roman"/>
                <w:color w:val="000000"/>
                <w:sz w:val="20"/>
                <w:szCs w:val="20"/>
              </w:rPr>
              <w:t xml:space="preserve">allée du </w:t>
            </w:r>
            <w:r>
              <w:rPr>
                <w:rFonts w:ascii="Times New Roman" w:hAnsi="Times New Roman" w:cs="Times New Roman"/>
                <w:color w:val="000000"/>
                <w:sz w:val="20"/>
                <w:szCs w:val="20"/>
              </w:rPr>
              <w:t>M</w:t>
            </w:r>
            <w:r w:rsidRPr="002233C1">
              <w:rPr>
                <w:rFonts w:ascii="Times New Roman" w:hAnsi="Times New Roman" w:cs="Times New Roman"/>
                <w:color w:val="000000"/>
                <w:sz w:val="20"/>
                <w:szCs w:val="20"/>
              </w:rPr>
              <w:t>ono</w:t>
            </w:r>
          </w:p>
        </w:tc>
      </w:tr>
      <w:tr w:rsidR="00DD7927" w:rsidRPr="002233C1" w14:paraId="2BE1F4E0" w14:textId="77777777" w:rsidTr="00DD7927">
        <w:tc>
          <w:tcPr>
            <w:tcW w:w="1866" w:type="dxa"/>
            <w:vAlign w:val="center"/>
          </w:tcPr>
          <w:p w14:paraId="409A9072"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sz w:val="20"/>
                <w:szCs w:val="20"/>
              </w:rPr>
              <w:t>PDFR</w:t>
            </w:r>
          </w:p>
        </w:tc>
        <w:tc>
          <w:tcPr>
            <w:tcW w:w="7309" w:type="dxa"/>
            <w:vAlign w:val="center"/>
          </w:tcPr>
          <w:p w14:paraId="04A43DC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Plan directeur forestier régional</w:t>
            </w:r>
          </w:p>
        </w:tc>
      </w:tr>
      <w:tr w:rsidR="00DD7927" w:rsidRPr="002233C1" w14:paraId="1BEE4663" w14:textId="77777777" w:rsidTr="00DD7927">
        <w:tc>
          <w:tcPr>
            <w:tcW w:w="1866" w:type="dxa"/>
            <w:vAlign w:val="center"/>
          </w:tcPr>
          <w:p w14:paraId="167BEE19"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color w:val="000000"/>
                <w:sz w:val="20"/>
                <w:szCs w:val="20"/>
              </w:rPr>
              <w:t>PDPR-K</w:t>
            </w:r>
          </w:p>
        </w:tc>
        <w:tc>
          <w:tcPr>
            <w:tcW w:w="7309" w:type="dxa"/>
            <w:vAlign w:val="center"/>
          </w:tcPr>
          <w:p w14:paraId="2B69FBD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Projet de développement pour la production rizicole dans la région de la Kara</w:t>
            </w:r>
          </w:p>
        </w:tc>
      </w:tr>
      <w:tr w:rsidR="00DD7927" w:rsidRPr="002233C1" w14:paraId="1734EA47" w14:textId="77777777" w:rsidTr="00DD7927">
        <w:tc>
          <w:tcPr>
            <w:tcW w:w="1866" w:type="dxa"/>
            <w:vAlign w:val="center"/>
          </w:tcPr>
          <w:p w14:paraId="1F0F060E"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color w:val="000000"/>
                <w:sz w:val="20"/>
                <w:szCs w:val="20"/>
              </w:rPr>
              <w:t>PDRD</w:t>
            </w:r>
          </w:p>
        </w:tc>
        <w:tc>
          <w:tcPr>
            <w:tcW w:w="7309" w:type="dxa"/>
            <w:vAlign w:val="center"/>
          </w:tcPr>
          <w:p w14:paraId="1E68028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Projet de développement rural de la plaine de Djagblé</w:t>
            </w:r>
          </w:p>
        </w:tc>
      </w:tr>
      <w:tr w:rsidR="00DD7927" w:rsidRPr="002233C1" w14:paraId="21A0FB60" w14:textId="77777777" w:rsidTr="00DD7927">
        <w:tc>
          <w:tcPr>
            <w:tcW w:w="1866" w:type="dxa"/>
            <w:vAlign w:val="center"/>
          </w:tcPr>
          <w:p w14:paraId="640C7058"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color w:val="000000"/>
                <w:sz w:val="20"/>
                <w:szCs w:val="20"/>
              </w:rPr>
              <w:t>PDRI</w:t>
            </w:r>
          </w:p>
        </w:tc>
        <w:tc>
          <w:tcPr>
            <w:tcW w:w="7309" w:type="dxa"/>
            <w:vAlign w:val="center"/>
          </w:tcPr>
          <w:p w14:paraId="4C3ED5E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Projet de Développement Intégré</w:t>
            </w:r>
          </w:p>
        </w:tc>
      </w:tr>
      <w:tr w:rsidR="00DD7927" w:rsidRPr="002233C1" w14:paraId="5B47C511" w14:textId="77777777" w:rsidTr="00DD7927">
        <w:tc>
          <w:tcPr>
            <w:tcW w:w="1866" w:type="dxa"/>
            <w:shd w:val="clear" w:color="auto" w:fill="auto"/>
            <w:vAlign w:val="center"/>
          </w:tcPr>
          <w:p w14:paraId="37D86067"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sz w:val="20"/>
                <w:szCs w:val="20"/>
              </w:rPr>
              <w:t>PFNL</w:t>
            </w:r>
          </w:p>
        </w:tc>
        <w:tc>
          <w:tcPr>
            <w:tcW w:w="7309" w:type="dxa"/>
            <w:shd w:val="clear" w:color="auto" w:fill="auto"/>
            <w:vAlign w:val="center"/>
          </w:tcPr>
          <w:p w14:paraId="02F710AF" w14:textId="77777777" w:rsidR="00DD7927" w:rsidRPr="002233C1" w:rsidRDefault="00DD7927" w:rsidP="00DD7927">
            <w:pPr>
              <w:rPr>
                <w:rFonts w:ascii="Times New Roman" w:hAnsi="Times New Roman" w:cs="Times New Roman"/>
                <w:sz w:val="20"/>
                <w:szCs w:val="20"/>
              </w:rPr>
            </w:pPr>
            <w:r>
              <w:rPr>
                <w:rFonts w:ascii="Times New Roman" w:hAnsi="Times New Roman" w:cs="Times New Roman"/>
                <w:sz w:val="20"/>
                <w:szCs w:val="20"/>
              </w:rPr>
              <w:t>Produit Forestier Naon Ligneux</w:t>
            </w:r>
          </w:p>
        </w:tc>
      </w:tr>
      <w:tr w:rsidR="00DD7927" w:rsidRPr="002233C1" w14:paraId="7C5512EB" w14:textId="77777777" w:rsidTr="00DD7927">
        <w:tc>
          <w:tcPr>
            <w:tcW w:w="1866" w:type="dxa"/>
            <w:vAlign w:val="center"/>
          </w:tcPr>
          <w:p w14:paraId="6B5FFF8F"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PFT</w:t>
            </w:r>
          </w:p>
        </w:tc>
        <w:tc>
          <w:tcPr>
            <w:tcW w:w="7309" w:type="dxa"/>
            <w:vAlign w:val="center"/>
          </w:tcPr>
          <w:p w14:paraId="5CDBEE62"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Politique Forestière du Togo</w:t>
            </w:r>
          </w:p>
        </w:tc>
      </w:tr>
      <w:tr w:rsidR="00DD7927" w:rsidRPr="002233C1" w14:paraId="5B10B544" w14:textId="77777777" w:rsidTr="00DD7927">
        <w:tc>
          <w:tcPr>
            <w:tcW w:w="1866" w:type="dxa"/>
            <w:vAlign w:val="center"/>
          </w:tcPr>
          <w:p w14:paraId="66C3C219"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PGICT</w:t>
            </w:r>
          </w:p>
        </w:tc>
        <w:tc>
          <w:tcPr>
            <w:tcW w:w="7309" w:type="dxa"/>
            <w:vAlign w:val="center"/>
          </w:tcPr>
          <w:p w14:paraId="7EFA155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Projet gestion intégrée des catastrophes et des terres</w:t>
            </w:r>
          </w:p>
        </w:tc>
      </w:tr>
      <w:tr w:rsidR="00DD7927" w:rsidRPr="002233C1" w14:paraId="0C4274F6" w14:textId="77777777" w:rsidTr="00DD7927">
        <w:tc>
          <w:tcPr>
            <w:tcW w:w="1866" w:type="dxa"/>
            <w:vAlign w:val="center"/>
          </w:tcPr>
          <w:p w14:paraId="2B06E0D3"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PNADE</w:t>
            </w:r>
          </w:p>
        </w:tc>
        <w:tc>
          <w:tcPr>
            <w:tcW w:w="7309" w:type="dxa"/>
            <w:vAlign w:val="center"/>
          </w:tcPr>
          <w:p w14:paraId="41EBC07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Programme National d’Actions Décentralisées de gestion de l’Environnement</w:t>
            </w:r>
          </w:p>
        </w:tc>
      </w:tr>
      <w:tr w:rsidR="00DD7927" w:rsidRPr="002233C1" w14:paraId="250CB232" w14:textId="77777777" w:rsidTr="00DD7927">
        <w:tc>
          <w:tcPr>
            <w:tcW w:w="1866" w:type="dxa"/>
            <w:shd w:val="clear" w:color="auto" w:fill="auto"/>
            <w:vAlign w:val="center"/>
          </w:tcPr>
          <w:p w14:paraId="6C8DC6E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PND</w:t>
            </w:r>
          </w:p>
        </w:tc>
        <w:tc>
          <w:tcPr>
            <w:tcW w:w="7309" w:type="dxa"/>
            <w:shd w:val="clear" w:color="auto" w:fill="auto"/>
            <w:vAlign w:val="center"/>
          </w:tcPr>
          <w:p w14:paraId="161454FA" w14:textId="77777777" w:rsidR="00DD7927" w:rsidRPr="002233C1" w:rsidRDefault="00DD7927" w:rsidP="00DD7927">
            <w:pPr>
              <w:rPr>
                <w:rFonts w:ascii="Times New Roman" w:hAnsi="Times New Roman" w:cs="Times New Roman"/>
                <w:sz w:val="20"/>
                <w:szCs w:val="20"/>
              </w:rPr>
            </w:pPr>
            <w:r>
              <w:rPr>
                <w:rFonts w:ascii="Times New Roman" w:hAnsi="Times New Roman" w:cs="Times New Roman"/>
                <w:sz w:val="20"/>
                <w:szCs w:val="20"/>
              </w:rPr>
              <w:t>Plan National de Développement</w:t>
            </w:r>
          </w:p>
        </w:tc>
      </w:tr>
      <w:tr w:rsidR="00DD7927" w:rsidRPr="002233C1" w14:paraId="5BBC4DB4" w14:textId="77777777" w:rsidTr="00DD7927">
        <w:tc>
          <w:tcPr>
            <w:tcW w:w="1866" w:type="dxa"/>
            <w:vAlign w:val="center"/>
          </w:tcPr>
          <w:p w14:paraId="731CE48E"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PNE</w:t>
            </w:r>
          </w:p>
        </w:tc>
        <w:tc>
          <w:tcPr>
            <w:tcW w:w="7309" w:type="dxa"/>
            <w:vAlign w:val="center"/>
          </w:tcPr>
          <w:p w14:paraId="367904DC"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Politique Nationale de l’Environnement</w:t>
            </w:r>
          </w:p>
        </w:tc>
      </w:tr>
      <w:tr w:rsidR="00DD7927" w:rsidRPr="002233C1" w14:paraId="38AD25E7" w14:textId="77777777" w:rsidTr="00DD7927">
        <w:tc>
          <w:tcPr>
            <w:tcW w:w="1866" w:type="dxa"/>
            <w:vAlign w:val="center"/>
          </w:tcPr>
          <w:p w14:paraId="61FDCDC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PNIASA</w:t>
            </w:r>
          </w:p>
        </w:tc>
        <w:tc>
          <w:tcPr>
            <w:tcW w:w="7309" w:type="dxa"/>
            <w:vAlign w:val="center"/>
          </w:tcPr>
          <w:p w14:paraId="60CD2263"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Programme National d’Investissement Agricole et de Sécurité Alimentaire</w:t>
            </w:r>
          </w:p>
        </w:tc>
      </w:tr>
      <w:tr w:rsidR="00DD7927" w:rsidRPr="002233C1" w14:paraId="32CAD8AA" w14:textId="77777777" w:rsidTr="00DD7927">
        <w:tc>
          <w:tcPr>
            <w:tcW w:w="1866" w:type="dxa"/>
            <w:vAlign w:val="center"/>
          </w:tcPr>
          <w:p w14:paraId="6593E502" w14:textId="77777777" w:rsidR="00DD7927" w:rsidRPr="002233C1" w:rsidRDefault="00DD7927" w:rsidP="00DD7927">
            <w:pPr>
              <w:rPr>
                <w:rFonts w:ascii="Times New Roman" w:hAnsi="Times New Roman" w:cs="Times New Roman"/>
                <w:sz w:val="20"/>
                <w:szCs w:val="20"/>
              </w:rPr>
            </w:pPr>
            <w:r w:rsidRPr="002233C1">
              <w:rPr>
                <w:rFonts w:ascii="Times New Roman" w:eastAsia="Times New Roman" w:hAnsi="Times New Roman" w:cs="Times New Roman"/>
                <w:sz w:val="20"/>
                <w:szCs w:val="20"/>
                <w:lang w:eastAsia="fr-FR"/>
              </w:rPr>
              <w:t>PNIASAN</w:t>
            </w:r>
          </w:p>
        </w:tc>
        <w:tc>
          <w:tcPr>
            <w:tcW w:w="7309" w:type="dxa"/>
            <w:vAlign w:val="center"/>
          </w:tcPr>
          <w:p w14:paraId="75C5729D" w14:textId="69A6766C" w:rsidR="00DD7927" w:rsidRPr="002233C1" w:rsidRDefault="00DD7927" w:rsidP="006E77C1">
            <w:pPr>
              <w:rPr>
                <w:rFonts w:ascii="Times New Roman" w:hAnsi="Times New Roman" w:cs="Times New Roman"/>
                <w:sz w:val="20"/>
                <w:szCs w:val="20"/>
              </w:rPr>
            </w:pPr>
            <w:r w:rsidRPr="002233C1">
              <w:rPr>
                <w:rFonts w:ascii="Times New Roman" w:eastAsia="Times New Roman" w:hAnsi="Times New Roman" w:cs="Times New Roman"/>
                <w:sz w:val="20"/>
                <w:szCs w:val="20"/>
                <w:lang w:eastAsia="fr-FR"/>
              </w:rPr>
              <w:t>Programme national d'investissement agricole et de sécurité alimentaire et nutritionnelle</w:t>
            </w:r>
          </w:p>
        </w:tc>
      </w:tr>
      <w:tr w:rsidR="00DD7927" w:rsidRPr="002233C1" w14:paraId="4662412D" w14:textId="77777777" w:rsidTr="00DD7927">
        <w:tc>
          <w:tcPr>
            <w:tcW w:w="1866" w:type="dxa"/>
            <w:vAlign w:val="center"/>
          </w:tcPr>
          <w:p w14:paraId="2AE6AD54"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PNIERN</w:t>
            </w:r>
          </w:p>
        </w:tc>
        <w:tc>
          <w:tcPr>
            <w:tcW w:w="7309" w:type="dxa"/>
            <w:vAlign w:val="center"/>
          </w:tcPr>
          <w:p w14:paraId="6E943280"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Programme National d’Investissement pour l’Environnement et les Ressources Naturelles</w:t>
            </w:r>
          </w:p>
        </w:tc>
      </w:tr>
      <w:tr w:rsidR="00DD7927" w:rsidRPr="002233C1" w14:paraId="7A6DA156" w14:textId="77777777" w:rsidTr="00DD7927">
        <w:tc>
          <w:tcPr>
            <w:tcW w:w="1866" w:type="dxa"/>
            <w:vAlign w:val="center"/>
          </w:tcPr>
          <w:p w14:paraId="426B2BBF"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PNM</w:t>
            </w:r>
          </w:p>
        </w:tc>
        <w:tc>
          <w:tcPr>
            <w:tcW w:w="7309" w:type="dxa"/>
            <w:vAlign w:val="center"/>
          </w:tcPr>
          <w:p w14:paraId="247A146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Plan d’Action National pour la Gestion des Ressources Environnementales Marines et Côtières</w:t>
            </w:r>
          </w:p>
        </w:tc>
      </w:tr>
      <w:tr w:rsidR="00DD7927" w:rsidRPr="002233C1" w14:paraId="49FC43F9" w14:textId="77777777" w:rsidTr="00DD7927">
        <w:tc>
          <w:tcPr>
            <w:tcW w:w="1866" w:type="dxa"/>
            <w:vAlign w:val="center"/>
          </w:tcPr>
          <w:p w14:paraId="5AD34BF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PNR</w:t>
            </w:r>
          </w:p>
        </w:tc>
        <w:tc>
          <w:tcPr>
            <w:tcW w:w="7309" w:type="dxa"/>
            <w:vAlign w:val="center"/>
          </w:tcPr>
          <w:p w14:paraId="77170A8A"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Programme National de Reboisement</w:t>
            </w:r>
          </w:p>
        </w:tc>
      </w:tr>
      <w:tr w:rsidR="00DD7927" w:rsidRPr="002233C1" w14:paraId="621D1FC1" w14:textId="77777777" w:rsidTr="00DD7927">
        <w:tc>
          <w:tcPr>
            <w:tcW w:w="1866" w:type="dxa"/>
            <w:shd w:val="clear" w:color="auto" w:fill="auto"/>
            <w:vAlign w:val="center"/>
          </w:tcPr>
          <w:p w14:paraId="6DC87A6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PNUD</w:t>
            </w:r>
          </w:p>
        </w:tc>
        <w:tc>
          <w:tcPr>
            <w:tcW w:w="7309" w:type="dxa"/>
            <w:shd w:val="clear" w:color="auto" w:fill="auto"/>
            <w:vAlign w:val="center"/>
          </w:tcPr>
          <w:p w14:paraId="3F0C9E2E" w14:textId="77777777" w:rsidR="00DD7927" w:rsidRPr="002233C1" w:rsidRDefault="00DD7927" w:rsidP="00DD7927">
            <w:pPr>
              <w:rPr>
                <w:rFonts w:ascii="Times New Roman" w:hAnsi="Times New Roman" w:cs="Times New Roman"/>
                <w:sz w:val="20"/>
                <w:szCs w:val="20"/>
              </w:rPr>
            </w:pPr>
            <w:r>
              <w:rPr>
                <w:rFonts w:ascii="Times New Roman" w:hAnsi="Times New Roman" w:cs="Times New Roman"/>
                <w:sz w:val="20"/>
                <w:szCs w:val="20"/>
              </w:rPr>
              <w:t>Programme des Nations Unies pour le Développement</w:t>
            </w:r>
          </w:p>
        </w:tc>
      </w:tr>
      <w:tr w:rsidR="00DD7927" w:rsidRPr="002233C1" w14:paraId="6E700D60" w14:textId="77777777" w:rsidTr="00DD7927">
        <w:tc>
          <w:tcPr>
            <w:tcW w:w="1866" w:type="dxa"/>
            <w:vAlign w:val="center"/>
          </w:tcPr>
          <w:p w14:paraId="12580F2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PNUE</w:t>
            </w:r>
          </w:p>
        </w:tc>
        <w:tc>
          <w:tcPr>
            <w:tcW w:w="7309" w:type="dxa"/>
            <w:vAlign w:val="center"/>
          </w:tcPr>
          <w:p w14:paraId="574ADF94"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Programme des Nations Unies pour l’Environnement</w:t>
            </w:r>
          </w:p>
        </w:tc>
      </w:tr>
      <w:tr w:rsidR="00DD7927" w:rsidRPr="002233C1" w14:paraId="02720001" w14:textId="77777777" w:rsidTr="00DD7927">
        <w:tc>
          <w:tcPr>
            <w:tcW w:w="1866" w:type="dxa"/>
            <w:vAlign w:val="center"/>
          </w:tcPr>
          <w:p w14:paraId="5BBE093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PRAFT</w:t>
            </w:r>
          </w:p>
        </w:tc>
        <w:tc>
          <w:tcPr>
            <w:tcW w:w="7309" w:type="dxa"/>
            <w:vAlign w:val="center"/>
          </w:tcPr>
          <w:p w14:paraId="24739D9B" w14:textId="4FC80915"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Projet de renforcement du rôle de conservation du s</w:t>
            </w:r>
            <w:r w:rsidR="006E77C1">
              <w:rPr>
                <w:rFonts w:ascii="Times New Roman" w:hAnsi="Times New Roman" w:cs="Times New Roman"/>
                <w:sz w:val="20"/>
                <w:szCs w:val="20"/>
              </w:rPr>
              <w:t>ystème national des aires protégées</w:t>
            </w:r>
            <w:r w:rsidRPr="002233C1">
              <w:rPr>
                <w:rFonts w:ascii="Times New Roman" w:hAnsi="Times New Roman" w:cs="Times New Roman"/>
                <w:sz w:val="20"/>
                <w:szCs w:val="20"/>
              </w:rPr>
              <w:t xml:space="preserve"> au Togo</w:t>
            </w:r>
          </w:p>
        </w:tc>
      </w:tr>
      <w:tr w:rsidR="00DD7927" w:rsidRPr="002233C1" w14:paraId="5489B578" w14:textId="77777777" w:rsidTr="00DD7927">
        <w:tc>
          <w:tcPr>
            <w:tcW w:w="1866" w:type="dxa"/>
            <w:shd w:val="clear" w:color="auto" w:fill="auto"/>
            <w:vAlign w:val="center"/>
          </w:tcPr>
          <w:p w14:paraId="6A76DEC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PRCGE</w:t>
            </w:r>
          </w:p>
        </w:tc>
        <w:tc>
          <w:tcPr>
            <w:tcW w:w="7309" w:type="dxa"/>
            <w:shd w:val="clear" w:color="auto" w:fill="auto"/>
            <w:vAlign w:val="center"/>
          </w:tcPr>
          <w:p w14:paraId="6D4D963E" w14:textId="77777777" w:rsidR="00DD7927" w:rsidRPr="002233C1" w:rsidRDefault="00DD7927" w:rsidP="00DD7927">
            <w:pPr>
              <w:rPr>
                <w:rFonts w:ascii="Times New Roman" w:hAnsi="Times New Roman" w:cs="Times New Roman"/>
                <w:sz w:val="20"/>
                <w:szCs w:val="20"/>
              </w:rPr>
            </w:pPr>
            <w:r>
              <w:rPr>
                <w:rFonts w:ascii="Times New Roman" w:hAnsi="Times New Roman" w:cs="Times New Roman"/>
                <w:sz w:val="20"/>
                <w:szCs w:val="20"/>
              </w:rPr>
              <w:t>Programme de Renforcement des Capacités pour la Gestion de l’Environnement</w:t>
            </w:r>
          </w:p>
        </w:tc>
      </w:tr>
      <w:tr w:rsidR="00DD7927" w:rsidRPr="002233C1" w14:paraId="57EDC6E7" w14:textId="77777777" w:rsidTr="00DD7927">
        <w:tc>
          <w:tcPr>
            <w:tcW w:w="1866" w:type="dxa"/>
            <w:vAlign w:val="center"/>
          </w:tcPr>
          <w:p w14:paraId="42039AA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PRIASAN</w:t>
            </w:r>
          </w:p>
        </w:tc>
        <w:tc>
          <w:tcPr>
            <w:tcW w:w="7309" w:type="dxa"/>
            <w:vAlign w:val="center"/>
          </w:tcPr>
          <w:p w14:paraId="1F4FEAC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Plan régional d’investissement agricole, de sécurité alimentaire et nutritionnelle</w:t>
            </w:r>
          </w:p>
        </w:tc>
      </w:tr>
      <w:tr w:rsidR="00DD7927" w:rsidRPr="002233C1" w14:paraId="61F86086" w14:textId="77777777" w:rsidTr="00DD7927">
        <w:tc>
          <w:tcPr>
            <w:tcW w:w="1866" w:type="dxa"/>
            <w:vAlign w:val="center"/>
          </w:tcPr>
          <w:p w14:paraId="57F46F1F"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ProREDD</w:t>
            </w:r>
          </w:p>
        </w:tc>
        <w:tc>
          <w:tcPr>
            <w:tcW w:w="7309" w:type="dxa"/>
            <w:vAlign w:val="center"/>
          </w:tcPr>
          <w:p w14:paraId="5757E4FB" w14:textId="70E6333B"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Programme Appui au REDD+-Readness et Réhabilitation de</w:t>
            </w:r>
            <w:r w:rsidR="006E77C1">
              <w:rPr>
                <w:rFonts w:ascii="Times New Roman" w:hAnsi="Times New Roman" w:cs="Times New Roman"/>
                <w:sz w:val="20"/>
                <w:szCs w:val="20"/>
              </w:rPr>
              <w:t>s</w:t>
            </w:r>
            <w:r w:rsidRPr="002233C1">
              <w:rPr>
                <w:rFonts w:ascii="Times New Roman" w:hAnsi="Times New Roman" w:cs="Times New Roman"/>
                <w:sz w:val="20"/>
                <w:szCs w:val="20"/>
              </w:rPr>
              <w:t xml:space="preserve"> forêts</w:t>
            </w:r>
          </w:p>
        </w:tc>
      </w:tr>
      <w:tr w:rsidR="00DD7927" w:rsidRPr="002233C1" w14:paraId="0B234CEA" w14:textId="77777777" w:rsidTr="00DD7927">
        <w:tc>
          <w:tcPr>
            <w:tcW w:w="1866" w:type="dxa"/>
            <w:vAlign w:val="center"/>
          </w:tcPr>
          <w:p w14:paraId="109BF1BD"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ProDRA</w:t>
            </w:r>
          </w:p>
        </w:tc>
        <w:tc>
          <w:tcPr>
            <w:tcW w:w="7309" w:type="dxa"/>
            <w:vAlign w:val="center"/>
          </w:tcPr>
          <w:p w14:paraId="49959934" w14:textId="4D0917E3"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 xml:space="preserve">Programme de Développement Rural y compris </w:t>
            </w:r>
            <w:r w:rsidR="006E77C1">
              <w:rPr>
                <w:rFonts w:ascii="Times New Roman" w:eastAsia="Calibri" w:hAnsi="Times New Roman" w:cs="Times New Roman"/>
                <w:sz w:val="20"/>
                <w:szCs w:val="20"/>
              </w:rPr>
              <w:t>l’</w:t>
            </w:r>
            <w:r w:rsidRPr="002233C1">
              <w:rPr>
                <w:rFonts w:ascii="Times New Roman" w:eastAsia="Calibri" w:hAnsi="Times New Roman" w:cs="Times New Roman"/>
                <w:sz w:val="20"/>
                <w:szCs w:val="20"/>
              </w:rPr>
              <w:t>Agriculture</w:t>
            </w:r>
          </w:p>
        </w:tc>
      </w:tr>
      <w:tr w:rsidR="00DD7927" w:rsidRPr="005937A0" w14:paraId="3868A829" w14:textId="77777777" w:rsidTr="00DD7927">
        <w:tc>
          <w:tcPr>
            <w:tcW w:w="1866" w:type="dxa"/>
            <w:shd w:val="clear" w:color="auto" w:fill="auto"/>
            <w:vAlign w:val="center"/>
          </w:tcPr>
          <w:p w14:paraId="644A6B7F" w14:textId="77777777" w:rsidR="00DD7927" w:rsidRPr="005937A0" w:rsidRDefault="00DD7927" w:rsidP="00DD7927">
            <w:pPr>
              <w:rPr>
                <w:rFonts w:ascii="Times New Roman" w:hAnsi="Times New Roman" w:cs="Times New Roman"/>
                <w:sz w:val="20"/>
                <w:szCs w:val="20"/>
              </w:rPr>
            </w:pPr>
            <w:r w:rsidRPr="005937A0">
              <w:rPr>
                <w:rFonts w:ascii="Times New Roman" w:hAnsi="Times New Roman" w:cs="Times New Roman"/>
                <w:sz w:val="20"/>
                <w:szCs w:val="20"/>
              </w:rPr>
              <w:t>RAFIA</w:t>
            </w:r>
          </w:p>
        </w:tc>
        <w:tc>
          <w:tcPr>
            <w:tcW w:w="7309" w:type="dxa"/>
            <w:shd w:val="clear" w:color="auto" w:fill="auto"/>
            <w:vAlign w:val="center"/>
          </w:tcPr>
          <w:p w14:paraId="160AD3B6" w14:textId="77777777" w:rsidR="00DD7927" w:rsidRPr="005937A0" w:rsidRDefault="00DD7927" w:rsidP="00DD7927">
            <w:pPr>
              <w:rPr>
                <w:rFonts w:ascii="Times New Roman" w:hAnsi="Times New Roman" w:cs="Times New Roman"/>
                <w:sz w:val="20"/>
                <w:szCs w:val="20"/>
              </w:rPr>
            </w:pPr>
            <w:r w:rsidRPr="005937A0">
              <w:rPr>
                <w:rStyle w:val="st"/>
                <w:rFonts w:ascii="Times New Roman" w:hAnsi="Times New Roman" w:cs="Times New Roman"/>
                <w:sz w:val="20"/>
                <w:szCs w:val="20"/>
              </w:rPr>
              <w:t>R</w:t>
            </w:r>
            <w:r>
              <w:rPr>
                <w:rStyle w:val="st"/>
                <w:rFonts w:ascii="Times New Roman" w:hAnsi="Times New Roman" w:cs="Times New Roman"/>
                <w:sz w:val="20"/>
                <w:szCs w:val="20"/>
              </w:rPr>
              <w:t>echerche Appui et Formation aux Initiatives d’Auto Développement</w:t>
            </w:r>
          </w:p>
        </w:tc>
      </w:tr>
      <w:tr w:rsidR="00DD7927" w:rsidRPr="002233C1" w14:paraId="7812C30C" w14:textId="77777777" w:rsidTr="00DD7927">
        <w:tc>
          <w:tcPr>
            <w:tcW w:w="1866" w:type="dxa"/>
            <w:vAlign w:val="center"/>
          </w:tcPr>
          <w:p w14:paraId="22080BD5"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RBTM</w:t>
            </w:r>
          </w:p>
        </w:tc>
        <w:tc>
          <w:tcPr>
            <w:tcW w:w="7309" w:type="dxa"/>
            <w:vAlign w:val="center"/>
          </w:tcPr>
          <w:p w14:paraId="29BAA32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Réserve de biosphère transfrontalière du Delta du Mono</w:t>
            </w:r>
          </w:p>
        </w:tc>
      </w:tr>
      <w:tr w:rsidR="00DD7927" w:rsidRPr="002233C1" w14:paraId="4EAE06B1" w14:textId="77777777" w:rsidTr="00DD7927">
        <w:tc>
          <w:tcPr>
            <w:tcW w:w="1866" w:type="dxa"/>
            <w:vAlign w:val="center"/>
          </w:tcPr>
          <w:p w14:paraId="02D18B10"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REBIOTOG</w:t>
            </w:r>
          </w:p>
        </w:tc>
        <w:tc>
          <w:tcPr>
            <w:tcW w:w="7309" w:type="dxa"/>
            <w:vAlign w:val="center"/>
          </w:tcPr>
          <w:p w14:paraId="3BD0A74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Réseau Biodiversité Togo</w:t>
            </w:r>
          </w:p>
        </w:tc>
      </w:tr>
      <w:tr w:rsidR="00DD7927" w:rsidRPr="002233C1" w14:paraId="6D3FA758" w14:textId="77777777" w:rsidTr="00DD7927">
        <w:tc>
          <w:tcPr>
            <w:tcW w:w="1866" w:type="dxa"/>
            <w:vAlign w:val="center"/>
          </w:tcPr>
          <w:p w14:paraId="0543921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REDD+</w:t>
            </w:r>
          </w:p>
        </w:tc>
        <w:tc>
          <w:tcPr>
            <w:tcW w:w="7309" w:type="dxa"/>
            <w:vAlign w:val="center"/>
          </w:tcPr>
          <w:p w14:paraId="0C4925E6"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Réduction des Emissions issues de la Déforestation et la Dégradation des Forêts</w:t>
            </w:r>
          </w:p>
        </w:tc>
      </w:tr>
      <w:tr w:rsidR="00DD7927" w:rsidRPr="002233C1" w14:paraId="16EFB63F" w14:textId="77777777" w:rsidTr="00DD7927">
        <w:tc>
          <w:tcPr>
            <w:tcW w:w="1866" w:type="dxa"/>
            <w:vAlign w:val="center"/>
          </w:tcPr>
          <w:p w14:paraId="3E03BD0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RESODERC</w:t>
            </w:r>
          </w:p>
        </w:tc>
        <w:tc>
          <w:tcPr>
            <w:tcW w:w="7309" w:type="dxa"/>
            <w:vAlign w:val="center"/>
          </w:tcPr>
          <w:p w14:paraId="30786CB9"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Réseau des Organisations de Développement de la Région Centrale</w:t>
            </w:r>
          </w:p>
        </w:tc>
      </w:tr>
      <w:tr w:rsidR="00DD7927" w:rsidRPr="002233C1" w14:paraId="15D5F3B9" w14:textId="77777777" w:rsidTr="00DD7927">
        <w:tc>
          <w:tcPr>
            <w:tcW w:w="1866" w:type="dxa"/>
            <w:vAlign w:val="center"/>
          </w:tcPr>
          <w:p w14:paraId="052F5BD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RESOKA</w:t>
            </w:r>
          </w:p>
        </w:tc>
        <w:tc>
          <w:tcPr>
            <w:tcW w:w="7309" w:type="dxa"/>
            <w:vAlign w:val="center"/>
          </w:tcPr>
          <w:p w14:paraId="04E30F7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Réseau des ONG de la Kara</w:t>
            </w:r>
          </w:p>
        </w:tc>
      </w:tr>
      <w:tr w:rsidR="00DD7927" w:rsidRPr="002233C1" w14:paraId="3EDF8D4B" w14:textId="77777777" w:rsidTr="00DD7927">
        <w:tc>
          <w:tcPr>
            <w:tcW w:w="1866" w:type="dxa"/>
            <w:vAlign w:val="center"/>
          </w:tcPr>
          <w:p w14:paraId="4BF3B45B"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ROSCTOCC</w:t>
            </w:r>
          </w:p>
        </w:tc>
        <w:tc>
          <w:tcPr>
            <w:tcW w:w="7309" w:type="dxa"/>
            <w:vAlign w:val="center"/>
          </w:tcPr>
          <w:p w14:paraId="5F5AF115"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Réseau des Organisations de la Société Civile Togolaise sur les Changements Climatiques</w:t>
            </w:r>
          </w:p>
        </w:tc>
      </w:tr>
      <w:tr w:rsidR="00DD7927" w:rsidRPr="002233C1" w14:paraId="41782C2D" w14:textId="77777777" w:rsidTr="00DD7927">
        <w:tc>
          <w:tcPr>
            <w:tcW w:w="1866" w:type="dxa"/>
            <w:vAlign w:val="center"/>
          </w:tcPr>
          <w:p w14:paraId="213C47D8"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RSE</w:t>
            </w:r>
          </w:p>
        </w:tc>
        <w:tc>
          <w:tcPr>
            <w:tcW w:w="7309" w:type="dxa"/>
            <w:vAlign w:val="center"/>
          </w:tcPr>
          <w:p w14:paraId="209CFBE4"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Responsabilité Sociale des Entreprises</w:t>
            </w:r>
          </w:p>
        </w:tc>
      </w:tr>
      <w:tr w:rsidR="00DD7927" w:rsidRPr="002233C1" w14:paraId="560581AA" w14:textId="77777777" w:rsidTr="00DD7927">
        <w:tc>
          <w:tcPr>
            <w:tcW w:w="1866" w:type="dxa"/>
            <w:vAlign w:val="center"/>
          </w:tcPr>
          <w:p w14:paraId="3A4385BA"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SAO</w:t>
            </w:r>
          </w:p>
        </w:tc>
        <w:tc>
          <w:tcPr>
            <w:tcW w:w="7309" w:type="dxa"/>
            <w:vAlign w:val="center"/>
          </w:tcPr>
          <w:p w14:paraId="4B6E0012"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Substances Appauvrissant la couche d'Ozone</w:t>
            </w:r>
          </w:p>
        </w:tc>
      </w:tr>
      <w:tr w:rsidR="00DD7927" w:rsidRPr="005937A0" w14:paraId="4246F480" w14:textId="77777777" w:rsidTr="00DD7927">
        <w:tc>
          <w:tcPr>
            <w:tcW w:w="1866" w:type="dxa"/>
            <w:shd w:val="clear" w:color="auto" w:fill="auto"/>
            <w:vAlign w:val="center"/>
          </w:tcPr>
          <w:p w14:paraId="2C4C2968" w14:textId="77777777" w:rsidR="00DD7927" w:rsidRPr="005937A0" w:rsidRDefault="00DD7927" w:rsidP="00DD7927">
            <w:pPr>
              <w:rPr>
                <w:rFonts w:ascii="Times New Roman" w:hAnsi="Times New Roman" w:cs="Times New Roman"/>
                <w:sz w:val="20"/>
                <w:szCs w:val="20"/>
              </w:rPr>
            </w:pPr>
            <w:r w:rsidRPr="005937A0">
              <w:rPr>
                <w:rFonts w:ascii="Times New Roman" w:hAnsi="Times New Roman" w:cs="Times New Roman"/>
                <w:sz w:val="20"/>
                <w:szCs w:val="20"/>
              </w:rPr>
              <w:t>SAZOF</w:t>
            </w:r>
          </w:p>
        </w:tc>
        <w:tc>
          <w:tcPr>
            <w:tcW w:w="7309" w:type="dxa"/>
            <w:shd w:val="clear" w:color="auto" w:fill="auto"/>
            <w:vAlign w:val="center"/>
          </w:tcPr>
          <w:p w14:paraId="00DD3BAC" w14:textId="77777777" w:rsidR="00DD7927" w:rsidRPr="005937A0" w:rsidRDefault="00DD7927" w:rsidP="00DD7927">
            <w:pPr>
              <w:rPr>
                <w:rFonts w:ascii="Times New Roman" w:hAnsi="Times New Roman" w:cs="Times New Roman"/>
                <w:sz w:val="20"/>
                <w:szCs w:val="20"/>
              </w:rPr>
            </w:pPr>
            <w:r w:rsidRPr="005937A0">
              <w:rPr>
                <w:rStyle w:val="st"/>
                <w:rFonts w:ascii="Times New Roman" w:hAnsi="Times New Roman" w:cs="Times New Roman"/>
                <w:sz w:val="20"/>
                <w:szCs w:val="20"/>
              </w:rPr>
              <w:t>Société d’Administration de la Zone Franche</w:t>
            </w:r>
          </w:p>
        </w:tc>
      </w:tr>
      <w:tr w:rsidR="00DD7927" w:rsidRPr="005937A0" w14:paraId="0FF203D9" w14:textId="77777777" w:rsidTr="00DD7927">
        <w:tc>
          <w:tcPr>
            <w:tcW w:w="1866" w:type="dxa"/>
            <w:shd w:val="clear" w:color="auto" w:fill="auto"/>
            <w:vAlign w:val="center"/>
          </w:tcPr>
          <w:p w14:paraId="371EA320" w14:textId="77777777" w:rsidR="00DD7927" w:rsidRPr="005937A0" w:rsidRDefault="00DD7927" w:rsidP="00DD7927">
            <w:pPr>
              <w:rPr>
                <w:rFonts w:ascii="Times New Roman" w:hAnsi="Times New Roman" w:cs="Times New Roman"/>
                <w:sz w:val="20"/>
                <w:szCs w:val="20"/>
              </w:rPr>
            </w:pPr>
            <w:r w:rsidRPr="005937A0">
              <w:rPr>
                <w:rFonts w:ascii="Times New Roman" w:hAnsi="Times New Roman" w:cs="Times New Roman"/>
                <w:sz w:val="20"/>
                <w:szCs w:val="20"/>
              </w:rPr>
              <w:t>SCAPE</w:t>
            </w:r>
          </w:p>
        </w:tc>
        <w:tc>
          <w:tcPr>
            <w:tcW w:w="7309" w:type="dxa"/>
            <w:shd w:val="clear" w:color="auto" w:fill="auto"/>
            <w:vAlign w:val="center"/>
          </w:tcPr>
          <w:p w14:paraId="2D64D2A6" w14:textId="77777777" w:rsidR="00DD7927" w:rsidRPr="005937A0" w:rsidRDefault="00DD7927" w:rsidP="00DD7927">
            <w:pPr>
              <w:rPr>
                <w:rFonts w:ascii="Times New Roman" w:hAnsi="Times New Roman" w:cs="Times New Roman"/>
                <w:sz w:val="20"/>
                <w:szCs w:val="20"/>
              </w:rPr>
            </w:pPr>
            <w:r w:rsidRPr="005937A0">
              <w:rPr>
                <w:rStyle w:val="st"/>
                <w:rFonts w:ascii="Times New Roman" w:hAnsi="Times New Roman" w:cs="Times New Roman"/>
                <w:sz w:val="20"/>
                <w:szCs w:val="20"/>
              </w:rPr>
              <w:t>Stratégie de Croissance Accélérée et de la promotion de l'Emploi</w:t>
            </w:r>
          </w:p>
        </w:tc>
      </w:tr>
      <w:tr w:rsidR="00DD7927" w:rsidRPr="002233C1" w14:paraId="5271F783" w14:textId="77777777" w:rsidTr="00DD7927">
        <w:tc>
          <w:tcPr>
            <w:tcW w:w="1866" w:type="dxa"/>
            <w:vAlign w:val="center"/>
          </w:tcPr>
          <w:p w14:paraId="528A51A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color w:val="000000"/>
                <w:sz w:val="20"/>
                <w:szCs w:val="20"/>
              </w:rPr>
              <w:t>SEP2D</w:t>
            </w:r>
          </w:p>
        </w:tc>
        <w:tc>
          <w:tcPr>
            <w:tcW w:w="7309" w:type="dxa"/>
            <w:vAlign w:val="center"/>
          </w:tcPr>
          <w:p w14:paraId="1F6A775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Sud Expert Plantes &amp; Développement Durable</w:t>
            </w:r>
          </w:p>
        </w:tc>
      </w:tr>
      <w:tr w:rsidR="00DD7927" w:rsidRPr="002233C1" w14:paraId="14B97F65" w14:textId="77777777" w:rsidTr="00DD7927">
        <w:tc>
          <w:tcPr>
            <w:tcW w:w="1866" w:type="dxa"/>
            <w:vAlign w:val="center"/>
          </w:tcPr>
          <w:p w14:paraId="7931366D"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lang w:val="fr-CA"/>
              </w:rPr>
              <w:t>SIG</w:t>
            </w:r>
          </w:p>
        </w:tc>
        <w:tc>
          <w:tcPr>
            <w:tcW w:w="7309" w:type="dxa"/>
            <w:vAlign w:val="center"/>
          </w:tcPr>
          <w:p w14:paraId="7001EBA1"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lang w:val="fr-CA"/>
              </w:rPr>
              <w:t>Système d’Information Géographique</w:t>
            </w:r>
          </w:p>
        </w:tc>
      </w:tr>
      <w:tr w:rsidR="00DD7927" w:rsidRPr="002233C1" w14:paraId="15872B24" w14:textId="77777777" w:rsidTr="00DD7927">
        <w:tc>
          <w:tcPr>
            <w:tcW w:w="1866" w:type="dxa"/>
            <w:vAlign w:val="center"/>
          </w:tcPr>
          <w:p w14:paraId="2B58FB91"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SML</w:t>
            </w:r>
          </w:p>
        </w:tc>
        <w:tc>
          <w:tcPr>
            <w:tcW w:w="7309" w:type="dxa"/>
            <w:vAlign w:val="center"/>
          </w:tcPr>
          <w:p w14:paraId="0FB7B428" w14:textId="77777777" w:rsidR="00DD7927" w:rsidRPr="002233C1" w:rsidRDefault="00DD7927" w:rsidP="00DD7927">
            <w:pPr>
              <w:rPr>
                <w:rFonts w:ascii="Times New Roman" w:hAnsi="Times New Roman" w:cs="Times New Roman"/>
                <w:sz w:val="20"/>
                <w:szCs w:val="20"/>
              </w:rPr>
            </w:pPr>
            <w:r w:rsidRPr="002233C1">
              <w:rPr>
                <w:rFonts w:ascii="Times New Roman" w:eastAsia="Calibri" w:hAnsi="Times New Roman" w:cs="Times New Roman"/>
                <w:sz w:val="20"/>
                <w:szCs w:val="20"/>
              </w:rPr>
              <w:t>Système Multilatéral</w:t>
            </w:r>
          </w:p>
        </w:tc>
      </w:tr>
      <w:tr w:rsidR="00DD7927" w:rsidRPr="002233C1" w14:paraId="28B892E5" w14:textId="77777777" w:rsidTr="00DD7927">
        <w:tc>
          <w:tcPr>
            <w:tcW w:w="1866" w:type="dxa"/>
            <w:shd w:val="clear" w:color="auto" w:fill="auto"/>
            <w:vAlign w:val="center"/>
          </w:tcPr>
          <w:p w14:paraId="7D8EB7ED"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SNDD</w:t>
            </w:r>
          </w:p>
        </w:tc>
        <w:tc>
          <w:tcPr>
            <w:tcW w:w="7309" w:type="dxa"/>
            <w:shd w:val="clear" w:color="auto" w:fill="auto"/>
            <w:vAlign w:val="center"/>
          </w:tcPr>
          <w:p w14:paraId="6732F39C" w14:textId="77777777" w:rsidR="00DD7927" w:rsidRPr="002233C1" w:rsidRDefault="00DD7927" w:rsidP="00DD7927">
            <w:pPr>
              <w:rPr>
                <w:rFonts w:ascii="Times New Roman" w:eastAsia="Calibri" w:hAnsi="Times New Roman" w:cs="Times New Roman"/>
                <w:sz w:val="20"/>
                <w:szCs w:val="20"/>
              </w:rPr>
            </w:pPr>
            <w:r>
              <w:rPr>
                <w:rFonts w:ascii="Times New Roman" w:eastAsia="Calibri" w:hAnsi="Times New Roman" w:cs="Times New Roman"/>
                <w:sz w:val="20"/>
                <w:szCs w:val="20"/>
              </w:rPr>
              <w:t>Stratégie nationale de développement Durable</w:t>
            </w:r>
          </w:p>
        </w:tc>
      </w:tr>
      <w:tr w:rsidR="00DD7927" w:rsidRPr="002233C1" w14:paraId="2717CA34" w14:textId="77777777" w:rsidTr="00DD7927">
        <w:tc>
          <w:tcPr>
            <w:tcW w:w="1866" w:type="dxa"/>
            <w:vAlign w:val="center"/>
          </w:tcPr>
          <w:p w14:paraId="4BE83242"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SNGF</w:t>
            </w:r>
          </w:p>
        </w:tc>
        <w:tc>
          <w:tcPr>
            <w:tcW w:w="7309" w:type="dxa"/>
            <w:vAlign w:val="center"/>
          </w:tcPr>
          <w:p w14:paraId="25DCEA5D"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Stratégie nationale de gestion des feux de végétation</w:t>
            </w:r>
          </w:p>
        </w:tc>
      </w:tr>
      <w:tr w:rsidR="00DD7927" w:rsidRPr="002233C1" w14:paraId="46EF41DF" w14:textId="77777777" w:rsidTr="00DD7927">
        <w:tc>
          <w:tcPr>
            <w:tcW w:w="1866" w:type="dxa"/>
            <w:vAlign w:val="center"/>
          </w:tcPr>
          <w:p w14:paraId="56B4ED41"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SPANB</w:t>
            </w:r>
          </w:p>
        </w:tc>
        <w:tc>
          <w:tcPr>
            <w:tcW w:w="7309" w:type="dxa"/>
            <w:vAlign w:val="center"/>
          </w:tcPr>
          <w:p w14:paraId="75FEB193"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Stratégie et Plan d’action nationaux pour la diversité biologique</w:t>
            </w:r>
          </w:p>
        </w:tc>
      </w:tr>
      <w:tr w:rsidR="00DD7927" w:rsidRPr="005937A0" w14:paraId="687411D3" w14:textId="77777777" w:rsidTr="00DD7927">
        <w:tc>
          <w:tcPr>
            <w:tcW w:w="1866" w:type="dxa"/>
            <w:shd w:val="clear" w:color="auto" w:fill="auto"/>
            <w:vAlign w:val="center"/>
          </w:tcPr>
          <w:p w14:paraId="63BEF063" w14:textId="77777777" w:rsidR="00DD7927" w:rsidRPr="005937A0" w:rsidRDefault="00DD7927" w:rsidP="00DD7927">
            <w:pPr>
              <w:rPr>
                <w:rFonts w:ascii="Times New Roman" w:eastAsia="Calibri" w:hAnsi="Times New Roman" w:cs="Times New Roman"/>
                <w:sz w:val="20"/>
                <w:szCs w:val="20"/>
              </w:rPr>
            </w:pPr>
            <w:r w:rsidRPr="005937A0">
              <w:rPr>
                <w:rFonts w:ascii="Times New Roman" w:hAnsi="Times New Roman" w:cs="Times New Roman"/>
                <w:color w:val="000000"/>
                <w:sz w:val="20"/>
                <w:szCs w:val="20"/>
              </w:rPr>
              <w:t>SYTREBACT</w:t>
            </w:r>
          </w:p>
        </w:tc>
        <w:tc>
          <w:tcPr>
            <w:tcW w:w="7309" w:type="dxa"/>
            <w:shd w:val="clear" w:color="auto" w:fill="auto"/>
            <w:vAlign w:val="center"/>
          </w:tcPr>
          <w:p w14:paraId="2F18E0C7" w14:textId="77777777" w:rsidR="00DD7927" w:rsidRPr="005937A0" w:rsidRDefault="00DD7927" w:rsidP="00DD7927">
            <w:pPr>
              <w:rPr>
                <w:rFonts w:ascii="Times New Roman" w:eastAsia="Calibri" w:hAnsi="Times New Roman" w:cs="Times New Roman"/>
                <w:sz w:val="20"/>
                <w:szCs w:val="20"/>
              </w:rPr>
            </w:pPr>
            <w:r w:rsidRPr="005937A0">
              <w:rPr>
                <w:rFonts w:ascii="Times New Roman" w:hAnsi="Times New Roman" w:cs="Times New Roman"/>
                <w:sz w:val="20"/>
                <w:szCs w:val="20"/>
              </w:rPr>
              <w:t>Syndicat des Travailleurs Revendeurs et Exportateurs de Bois</w:t>
            </w:r>
          </w:p>
        </w:tc>
      </w:tr>
      <w:tr w:rsidR="00DD7927" w:rsidRPr="002233C1" w14:paraId="1C99D7AD" w14:textId="77777777" w:rsidTr="00DD7927">
        <w:tc>
          <w:tcPr>
            <w:tcW w:w="1866" w:type="dxa"/>
            <w:vAlign w:val="center"/>
          </w:tcPr>
          <w:p w14:paraId="47DCBC32"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UAVGAP</w:t>
            </w:r>
          </w:p>
        </w:tc>
        <w:tc>
          <w:tcPr>
            <w:tcW w:w="7309" w:type="dxa"/>
            <w:vAlign w:val="center"/>
          </w:tcPr>
          <w:p w14:paraId="7A2C9D42"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iCs/>
                <w:sz w:val="20"/>
                <w:szCs w:val="20"/>
                <w:lang w:val="fr-CA"/>
              </w:rPr>
              <w:t>Union des Associations Villageoises de Gestion Participative des Aires Protégées</w:t>
            </w:r>
          </w:p>
        </w:tc>
      </w:tr>
      <w:tr w:rsidR="00DD7927" w:rsidRPr="002233C1" w14:paraId="18D6E34F" w14:textId="77777777" w:rsidTr="00DD7927">
        <w:tc>
          <w:tcPr>
            <w:tcW w:w="1866" w:type="dxa"/>
            <w:shd w:val="clear" w:color="auto" w:fill="auto"/>
            <w:vAlign w:val="center"/>
          </w:tcPr>
          <w:p w14:paraId="54F3D480"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UEMOA</w:t>
            </w:r>
          </w:p>
        </w:tc>
        <w:tc>
          <w:tcPr>
            <w:tcW w:w="7309" w:type="dxa"/>
            <w:shd w:val="clear" w:color="auto" w:fill="auto"/>
            <w:vAlign w:val="center"/>
          </w:tcPr>
          <w:p w14:paraId="292C055F" w14:textId="77777777" w:rsidR="00DD7927" w:rsidRPr="002233C1" w:rsidRDefault="00DD7927" w:rsidP="00DD7927">
            <w:pPr>
              <w:rPr>
                <w:rFonts w:ascii="Times New Roman" w:eastAsia="Calibri" w:hAnsi="Times New Roman" w:cs="Times New Roman"/>
                <w:sz w:val="20"/>
                <w:szCs w:val="20"/>
              </w:rPr>
            </w:pPr>
            <w:r>
              <w:rPr>
                <w:rFonts w:ascii="Times New Roman" w:eastAsia="Calibri" w:hAnsi="Times New Roman" w:cs="Times New Roman"/>
                <w:sz w:val="20"/>
                <w:szCs w:val="20"/>
              </w:rPr>
              <w:t>Union Economique Monétaire Ouest-Africaine</w:t>
            </w:r>
          </w:p>
        </w:tc>
      </w:tr>
      <w:tr w:rsidR="00DD7927" w:rsidRPr="002233C1" w14:paraId="6C332568" w14:textId="77777777" w:rsidTr="00DD7927">
        <w:tc>
          <w:tcPr>
            <w:tcW w:w="1866" w:type="dxa"/>
            <w:vAlign w:val="center"/>
          </w:tcPr>
          <w:p w14:paraId="06DB005B"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color w:val="000000"/>
                <w:spacing w:val="4"/>
                <w:sz w:val="20"/>
                <w:szCs w:val="20"/>
              </w:rPr>
              <w:t>UICN</w:t>
            </w:r>
          </w:p>
        </w:tc>
        <w:tc>
          <w:tcPr>
            <w:tcW w:w="7309" w:type="dxa"/>
            <w:vAlign w:val="center"/>
          </w:tcPr>
          <w:p w14:paraId="1AA94E72"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color w:val="000000"/>
                <w:spacing w:val="4"/>
                <w:sz w:val="20"/>
                <w:szCs w:val="20"/>
              </w:rPr>
              <w:t>Union Internationale pour la Conservation de la Nature</w:t>
            </w:r>
          </w:p>
        </w:tc>
      </w:tr>
      <w:tr w:rsidR="00DD7927" w:rsidRPr="005937A0" w14:paraId="282D1791" w14:textId="77777777" w:rsidTr="00DD7927">
        <w:tc>
          <w:tcPr>
            <w:tcW w:w="1866" w:type="dxa"/>
            <w:shd w:val="clear" w:color="auto" w:fill="auto"/>
            <w:vAlign w:val="center"/>
          </w:tcPr>
          <w:p w14:paraId="012EF741" w14:textId="77777777" w:rsidR="00DD7927" w:rsidRPr="005937A0" w:rsidRDefault="00DD7927" w:rsidP="00DD7927">
            <w:pPr>
              <w:rPr>
                <w:rFonts w:ascii="Times New Roman" w:eastAsia="Calibri" w:hAnsi="Times New Roman" w:cs="Times New Roman"/>
                <w:sz w:val="20"/>
                <w:szCs w:val="20"/>
              </w:rPr>
            </w:pPr>
            <w:r w:rsidRPr="005937A0">
              <w:rPr>
                <w:rFonts w:ascii="Times New Roman" w:hAnsi="Times New Roman" w:cs="Times New Roman"/>
                <w:sz w:val="20"/>
                <w:szCs w:val="20"/>
              </w:rPr>
              <w:t>UNESCO</w:t>
            </w:r>
          </w:p>
        </w:tc>
        <w:tc>
          <w:tcPr>
            <w:tcW w:w="7309" w:type="dxa"/>
            <w:shd w:val="clear" w:color="auto" w:fill="auto"/>
            <w:vAlign w:val="center"/>
          </w:tcPr>
          <w:p w14:paraId="01D01E75" w14:textId="77777777" w:rsidR="00DD7927" w:rsidRPr="005937A0" w:rsidRDefault="00DD7927" w:rsidP="00DD7927">
            <w:pPr>
              <w:rPr>
                <w:rFonts w:ascii="Times New Roman" w:eastAsia="Calibri" w:hAnsi="Times New Roman" w:cs="Times New Roman"/>
                <w:sz w:val="20"/>
                <w:szCs w:val="20"/>
              </w:rPr>
            </w:pPr>
            <w:r w:rsidRPr="005937A0">
              <w:rPr>
                <w:rStyle w:val="ilfuvd"/>
                <w:rFonts w:ascii="Times New Roman" w:hAnsi="Times New Roman" w:cs="Times New Roman"/>
                <w:sz w:val="20"/>
                <w:szCs w:val="20"/>
              </w:rPr>
              <w:t>Organisation des Nations unies pour l'éducation, la science et la culture</w:t>
            </w:r>
          </w:p>
        </w:tc>
      </w:tr>
      <w:tr w:rsidR="00DD7927" w:rsidRPr="00A77FC5" w14:paraId="78D27746" w14:textId="77777777" w:rsidTr="00DD7927">
        <w:tc>
          <w:tcPr>
            <w:tcW w:w="1866" w:type="dxa"/>
            <w:shd w:val="clear" w:color="auto" w:fill="auto"/>
            <w:vAlign w:val="center"/>
          </w:tcPr>
          <w:p w14:paraId="64EDE954" w14:textId="7777777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sz w:val="20"/>
                <w:szCs w:val="20"/>
              </w:rPr>
              <w:t>WAPO</w:t>
            </w:r>
          </w:p>
        </w:tc>
        <w:tc>
          <w:tcPr>
            <w:tcW w:w="7309" w:type="dxa"/>
            <w:shd w:val="clear" w:color="auto" w:fill="auto"/>
            <w:vAlign w:val="center"/>
          </w:tcPr>
          <w:p w14:paraId="161D304B" w14:textId="77777777" w:rsidR="00DD7927" w:rsidRPr="00F00DB1" w:rsidRDefault="00DD7927" w:rsidP="00DD7927">
            <w:pPr>
              <w:rPr>
                <w:rFonts w:ascii="Times New Roman" w:eastAsia="Calibri" w:hAnsi="Times New Roman" w:cs="Times New Roman"/>
                <w:sz w:val="20"/>
                <w:szCs w:val="20"/>
                <w:lang w:val="en-US"/>
              </w:rPr>
            </w:pPr>
            <w:r w:rsidRPr="00F00DB1">
              <w:rPr>
                <w:rFonts w:ascii="Times New Roman" w:eastAsia="Calibri" w:hAnsi="Times New Roman" w:cs="Times New Roman"/>
                <w:sz w:val="20"/>
                <w:szCs w:val="20"/>
                <w:lang w:val="en-US"/>
              </w:rPr>
              <w:t>Complee W”-Arly-Pendjari-Oti-Mandouri</w:t>
            </w:r>
          </w:p>
        </w:tc>
      </w:tr>
      <w:tr w:rsidR="00DD7927" w:rsidRPr="00A77FC5" w14:paraId="5311D41E" w14:textId="77777777" w:rsidTr="00DD7927">
        <w:tc>
          <w:tcPr>
            <w:tcW w:w="1866" w:type="dxa"/>
            <w:vAlign w:val="center"/>
          </w:tcPr>
          <w:p w14:paraId="3D36A3F4"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sz w:val="20"/>
                <w:szCs w:val="20"/>
              </w:rPr>
              <w:t>WASCAL</w:t>
            </w:r>
          </w:p>
        </w:tc>
        <w:tc>
          <w:tcPr>
            <w:tcW w:w="7309" w:type="dxa"/>
            <w:vAlign w:val="center"/>
          </w:tcPr>
          <w:p w14:paraId="743C944A" w14:textId="77777777" w:rsidR="00DD7927" w:rsidRPr="00F00DB1" w:rsidRDefault="00DD7927" w:rsidP="00DD7927">
            <w:pPr>
              <w:rPr>
                <w:rFonts w:ascii="Times New Roman" w:eastAsia="Calibri" w:hAnsi="Times New Roman" w:cs="Times New Roman"/>
                <w:sz w:val="20"/>
                <w:szCs w:val="20"/>
                <w:lang w:val="en-US"/>
              </w:rPr>
            </w:pPr>
            <w:r w:rsidRPr="00F00DB1">
              <w:rPr>
                <w:rFonts w:ascii="Times New Roman" w:hAnsi="Times New Roman" w:cs="Times New Roman"/>
                <w:sz w:val="20"/>
                <w:szCs w:val="20"/>
                <w:lang w:val="en-US"/>
              </w:rPr>
              <w:t>West African Science Service Center on Climate Change and Adapted Land Use</w:t>
            </w:r>
          </w:p>
        </w:tc>
      </w:tr>
      <w:tr w:rsidR="00DD7927" w:rsidRPr="002233C1" w14:paraId="2DA5641B" w14:textId="77777777" w:rsidTr="00DD7927">
        <w:tc>
          <w:tcPr>
            <w:tcW w:w="1866" w:type="dxa"/>
            <w:vAlign w:val="center"/>
          </w:tcPr>
          <w:p w14:paraId="6E0358D7" w14:textId="77777777" w:rsidR="00DD7927" w:rsidRPr="002233C1" w:rsidRDefault="00DD7927" w:rsidP="00DD7927">
            <w:pPr>
              <w:rPr>
                <w:rFonts w:ascii="Times New Roman" w:hAnsi="Times New Roman" w:cs="Times New Roman"/>
                <w:sz w:val="20"/>
                <w:szCs w:val="20"/>
              </w:rPr>
            </w:pPr>
            <w:r w:rsidRPr="002233C1">
              <w:rPr>
                <w:rFonts w:ascii="Times New Roman" w:hAnsi="Times New Roman" w:cs="Times New Roman"/>
                <w:iCs/>
                <w:sz w:val="20"/>
                <w:szCs w:val="20"/>
                <w:lang w:val="fr-CA"/>
              </w:rPr>
              <w:t>WDPA</w:t>
            </w:r>
          </w:p>
        </w:tc>
        <w:tc>
          <w:tcPr>
            <w:tcW w:w="7309" w:type="dxa"/>
            <w:vAlign w:val="center"/>
          </w:tcPr>
          <w:p w14:paraId="1174170F" w14:textId="2AF6E517" w:rsidR="00DD7927" w:rsidRPr="002233C1" w:rsidRDefault="00DD7927" w:rsidP="00DD7927">
            <w:pPr>
              <w:rPr>
                <w:rFonts w:ascii="Times New Roman" w:eastAsia="Calibri" w:hAnsi="Times New Roman" w:cs="Times New Roman"/>
                <w:sz w:val="20"/>
                <w:szCs w:val="20"/>
              </w:rPr>
            </w:pPr>
            <w:r w:rsidRPr="002233C1">
              <w:rPr>
                <w:rFonts w:ascii="Times New Roman" w:hAnsi="Times New Roman" w:cs="Times New Roman"/>
                <w:iCs/>
                <w:sz w:val="20"/>
                <w:szCs w:val="20"/>
                <w:lang w:val="fr-CA"/>
              </w:rPr>
              <w:t>Banque de données mondiale</w:t>
            </w:r>
            <w:r w:rsidR="006E77C1">
              <w:rPr>
                <w:rFonts w:ascii="Times New Roman" w:hAnsi="Times New Roman" w:cs="Times New Roman"/>
                <w:iCs/>
                <w:sz w:val="20"/>
                <w:szCs w:val="20"/>
                <w:lang w:val="fr-CA"/>
              </w:rPr>
              <w:t>s</w:t>
            </w:r>
            <w:r w:rsidRPr="002233C1">
              <w:rPr>
                <w:rFonts w:ascii="Times New Roman" w:hAnsi="Times New Roman" w:cs="Times New Roman"/>
                <w:iCs/>
                <w:sz w:val="20"/>
                <w:szCs w:val="20"/>
                <w:lang w:val="fr-CA"/>
              </w:rPr>
              <w:t xml:space="preserve"> sur les aires protégées</w:t>
            </w:r>
          </w:p>
        </w:tc>
      </w:tr>
      <w:tr w:rsidR="00DD7927" w:rsidRPr="002233C1" w14:paraId="05DCA540" w14:textId="77777777" w:rsidTr="00DD7927">
        <w:tc>
          <w:tcPr>
            <w:tcW w:w="1866" w:type="dxa"/>
            <w:vAlign w:val="center"/>
          </w:tcPr>
          <w:p w14:paraId="3CFE287D"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sz w:val="20"/>
                <w:szCs w:val="20"/>
              </w:rPr>
              <w:t>ZAAP</w:t>
            </w:r>
          </w:p>
        </w:tc>
        <w:tc>
          <w:tcPr>
            <w:tcW w:w="7309" w:type="dxa"/>
            <w:vAlign w:val="center"/>
          </w:tcPr>
          <w:p w14:paraId="7D642497" w14:textId="77777777" w:rsidR="00DD7927" w:rsidRPr="002233C1" w:rsidRDefault="00DD7927" w:rsidP="00DD7927">
            <w:pPr>
              <w:rPr>
                <w:rFonts w:ascii="Times New Roman" w:hAnsi="Times New Roman" w:cs="Times New Roman"/>
                <w:iCs/>
                <w:sz w:val="20"/>
                <w:szCs w:val="20"/>
                <w:lang w:val="fr-CA"/>
              </w:rPr>
            </w:pPr>
            <w:r w:rsidRPr="002233C1">
              <w:rPr>
                <w:rFonts w:ascii="Times New Roman" w:hAnsi="Times New Roman" w:cs="Times New Roman"/>
                <w:sz w:val="20"/>
                <w:szCs w:val="20"/>
              </w:rPr>
              <w:t>Zones d’Aménagement Agricoles Planifiées</w:t>
            </w:r>
          </w:p>
        </w:tc>
      </w:tr>
    </w:tbl>
    <w:p w14:paraId="7CBC4D68" w14:textId="77777777" w:rsidR="00DD7927" w:rsidRPr="00187964" w:rsidRDefault="00DD7927" w:rsidP="00DD7927">
      <w:pPr>
        <w:autoSpaceDE w:val="0"/>
        <w:autoSpaceDN w:val="0"/>
        <w:adjustRightInd w:val="0"/>
        <w:spacing w:after="0" w:line="240" w:lineRule="auto"/>
        <w:jc w:val="both"/>
        <w:rPr>
          <w:rFonts w:ascii="Times New Roman" w:hAnsi="Times New Roman" w:cs="Times New Roman"/>
          <w:sz w:val="24"/>
          <w:szCs w:val="24"/>
        </w:rPr>
      </w:pPr>
    </w:p>
    <w:p w14:paraId="2AC62687" w14:textId="2C802B43" w:rsidR="003A74BD" w:rsidRPr="0036687F" w:rsidRDefault="003A74BD" w:rsidP="0036687F">
      <w:pPr>
        <w:pStyle w:val="Titre1"/>
        <w:rPr>
          <w:b w:val="0"/>
          <w:sz w:val="24"/>
          <w:szCs w:val="24"/>
        </w:rPr>
      </w:pPr>
      <w:r w:rsidRPr="005E65D7">
        <w:rPr>
          <w:b w:val="0"/>
          <w:sz w:val="24"/>
          <w:szCs w:val="24"/>
        </w:rPr>
        <w:br w:type="page"/>
      </w:r>
    </w:p>
    <w:p w14:paraId="0EC0D09A" w14:textId="77777777" w:rsidR="003A74BD" w:rsidRDefault="003A74BD">
      <w:pPr>
        <w:rPr>
          <w:rFonts w:ascii="Times New Roman" w:hAnsi="Times New Roman" w:cs="Times New Roman"/>
          <w:b/>
          <w:sz w:val="24"/>
          <w:szCs w:val="24"/>
        </w:rPr>
        <w:sectPr w:rsidR="003A74BD" w:rsidSect="003A74BD">
          <w:footerReference w:type="default" r:id="rId12"/>
          <w:pgSz w:w="11906" w:h="16838"/>
          <w:pgMar w:top="1418" w:right="1418" w:bottom="1418" w:left="1418" w:header="709" w:footer="709" w:gutter="0"/>
          <w:pgNumType w:fmt="lowerRoman" w:start="1"/>
          <w:cols w:space="708"/>
          <w:docGrid w:linePitch="360"/>
        </w:sectPr>
      </w:pPr>
    </w:p>
    <w:p w14:paraId="472D9147" w14:textId="77777777" w:rsidR="003D4DBF" w:rsidRPr="00AD6D69" w:rsidRDefault="003D4DBF" w:rsidP="003D4DBF">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2" w:name="_Toc533413733"/>
      <w:r w:rsidRPr="00AD6D69">
        <w:rPr>
          <w:rFonts w:ascii="Times New Roman Gras" w:eastAsiaTheme="majorEastAsia" w:hAnsi="Times New Roman Gras" w:cs="Times New Roman"/>
          <w:b/>
          <w:bCs/>
          <w:caps/>
          <w:color w:val="2E74B5" w:themeColor="accent1" w:themeShade="BF"/>
          <w:sz w:val="28"/>
          <w:szCs w:val="28"/>
        </w:rPr>
        <w:t>Introduction</w:t>
      </w:r>
      <w:bookmarkEnd w:id="2"/>
    </w:p>
    <w:p w14:paraId="3A2B338D"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26656B23"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Pr="00E056B1">
        <w:rPr>
          <w:rFonts w:ascii="Times New Roman" w:hAnsi="Times New Roman" w:cs="Times New Roman"/>
          <w:sz w:val="24"/>
          <w:szCs w:val="24"/>
        </w:rPr>
        <w:t>a Convention sur la diversité biologique (CDB)</w:t>
      </w:r>
      <w:r>
        <w:rPr>
          <w:rFonts w:ascii="Times New Roman" w:hAnsi="Times New Roman" w:cs="Times New Roman"/>
          <w:sz w:val="24"/>
          <w:szCs w:val="24"/>
        </w:rPr>
        <w:t xml:space="preserve"> en son </w:t>
      </w:r>
      <w:r w:rsidRPr="00E056B1">
        <w:rPr>
          <w:rFonts w:ascii="Times New Roman" w:hAnsi="Times New Roman" w:cs="Times New Roman"/>
          <w:sz w:val="24"/>
          <w:szCs w:val="24"/>
        </w:rPr>
        <w:t>article 26</w:t>
      </w:r>
      <w:r>
        <w:rPr>
          <w:rFonts w:ascii="Times New Roman" w:hAnsi="Times New Roman" w:cs="Times New Roman"/>
          <w:sz w:val="24"/>
          <w:szCs w:val="24"/>
        </w:rPr>
        <w:t xml:space="preserve">, </w:t>
      </w:r>
      <w:r w:rsidRPr="00E056B1">
        <w:rPr>
          <w:rFonts w:ascii="Times New Roman" w:hAnsi="Times New Roman" w:cs="Times New Roman"/>
          <w:sz w:val="24"/>
          <w:szCs w:val="24"/>
        </w:rPr>
        <w:t>exige des parties</w:t>
      </w:r>
      <w:r>
        <w:rPr>
          <w:rFonts w:ascii="Times New Roman" w:hAnsi="Times New Roman" w:cs="Times New Roman"/>
          <w:sz w:val="24"/>
          <w:szCs w:val="24"/>
        </w:rPr>
        <w:t xml:space="preserve"> la soumission</w:t>
      </w:r>
      <w:r w:rsidRPr="00E056B1">
        <w:rPr>
          <w:rFonts w:ascii="Times New Roman" w:hAnsi="Times New Roman" w:cs="Times New Roman"/>
          <w:sz w:val="24"/>
          <w:szCs w:val="24"/>
        </w:rPr>
        <w:t xml:space="preserve"> des rapports nationaux périodiques. Ces rapports décrivent les mesures que les parties prennent pour mettre en œuvre la Convention et l’efficacité de ces mesures pour atteindre les objectifs de la CDB.</w:t>
      </w:r>
    </w:p>
    <w:p w14:paraId="1BCBD910"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7652E8E4"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Le Sixième rapport national (</w:t>
      </w:r>
      <w:r>
        <w:rPr>
          <w:rFonts w:ascii="Times New Roman" w:hAnsi="Times New Roman" w:cs="Times New Roman"/>
          <w:sz w:val="24"/>
          <w:szCs w:val="24"/>
        </w:rPr>
        <w:t>6RN</w:t>
      </w:r>
      <w:r w:rsidRPr="00E056B1">
        <w:rPr>
          <w:rFonts w:ascii="Times New Roman" w:hAnsi="Times New Roman" w:cs="Times New Roman"/>
          <w:sz w:val="24"/>
          <w:szCs w:val="24"/>
        </w:rPr>
        <w:t>) donne également aux Parties l’occasion d’examiner les progrès accomplis dans la mise en œuvre de la Convention au niveau national, y compris les progrès réalisé</w:t>
      </w:r>
      <w:r>
        <w:rPr>
          <w:rFonts w:ascii="Times New Roman" w:hAnsi="Times New Roman" w:cs="Times New Roman"/>
          <w:sz w:val="24"/>
          <w:szCs w:val="24"/>
        </w:rPr>
        <w:t>s</w:t>
      </w:r>
      <w:r w:rsidRPr="00E056B1">
        <w:rPr>
          <w:rFonts w:ascii="Times New Roman" w:hAnsi="Times New Roman" w:cs="Times New Roman"/>
          <w:sz w:val="24"/>
          <w:szCs w:val="24"/>
        </w:rPr>
        <w:t xml:space="preserve"> dans la mise en œuvre de leur Stratégie et Plan d’action nationaux pour la diversité biologique (SPANB) avec les objectifs nationaux pour la biodiversité, la réalisation des objectifs d’Aichi pour la biodiversité, et la mise en œuvre du plan stratégique pour la diversité biologique 2011-2020. Les données du </w:t>
      </w:r>
      <w:r>
        <w:rPr>
          <w:rFonts w:ascii="Times New Roman" w:hAnsi="Times New Roman" w:cs="Times New Roman"/>
          <w:sz w:val="24"/>
          <w:szCs w:val="24"/>
        </w:rPr>
        <w:t>6RN</w:t>
      </w:r>
      <w:r w:rsidRPr="00E056B1">
        <w:rPr>
          <w:rFonts w:ascii="Times New Roman" w:hAnsi="Times New Roman" w:cs="Times New Roman"/>
          <w:sz w:val="24"/>
          <w:szCs w:val="24"/>
        </w:rPr>
        <w:t xml:space="preserve"> seront également utilisées aux fins de l’établissement de la cinquième édition des perspectives mondiales de la diversité biologique et fourniront des données pour l’examen final de la mise en œuvre du plan stratégique qui sera entrepris à la 15ème COP en 2020.</w:t>
      </w:r>
    </w:p>
    <w:p w14:paraId="65BD67DD" w14:textId="77777777" w:rsidR="003D4DBF" w:rsidRPr="00E056B1" w:rsidRDefault="003D4DBF" w:rsidP="003D4DBF">
      <w:pPr>
        <w:spacing w:after="0" w:line="240" w:lineRule="auto"/>
        <w:jc w:val="both"/>
        <w:rPr>
          <w:rFonts w:ascii="Times New Roman" w:hAnsi="Times New Roman" w:cs="Times New Roman"/>
          <w:sz w:val="24"/>
          <w:szCs w:val="24"/>
        </w:rPr>
      </w:pPr>
    </w:p>
    <w:p w14:paraId="2E467F00" w14:textId="2BC7726A"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 xml:space="preserve">Le </w:t>
      </w:r>
      <w:r>
        <w:rPr>
          <w:rFonts w:ascii="Times New Roman" w:hAnsi="Times New Roman" w:cs="Times New Roman"/>
          <w:sz w:val="24"/>
          <w:szCs w:val="24"/>
        </w:rPr>
        <w:t>6RN</w:t>
      </w:r>
      <w:r w:rsidR="006A6E14">
        <w:rPr>
          <w:rFonts w:ascii="Times New Roman" w:hAnsi="Times New Roman" w:cs="Times New Roman"/>
          <w:sz w:val="24"/>
          <w:szCs w:val="24"/>
        </w:rPr>
        <w:t xml:space="preserve"> </w:t>
      </w:r>
      <w:r w:rsidRPr="00E056B1">
        <w:rPr>
          <w:rFonts w:ascii="Times New Roman" w:hAnsi="Times New Roman" w:cs="Times New Roman"/>
          <w:sz w:val="24"/>
          <w:szCs w:val="24"/>
        </w:rPr>
        <w:t xml:space="preserve">se concentre sur les mesures prises et les progrès réalisés depuis l’adoption du plan stratégique, en mettant l’accent sur les changements effectués et les résultats obtenus depuis la présentation du dernier rapport national. </w:t>
      </w:r>
      <w:r>
        <w:rPr>
          <w:rFonts w:ascii="Times New Roman" w:hAnsi="Times New Roman" w:cs="Times New Roman"/>
          <w:sz w:val="24"/>
          <w:szCs w:val="24"/>
        </w:rPr>
        <w:t xml:space="preserve">Il </w:t>
      </w:r>
      <w:r w:rsidRPr="00E056B1">
        <w:rPr>
          <w:rFonts w:ascii="Times New Roman" w:hAnsi="Times New Roman" w:cs="Times New Roman"/>
          <w:sz w:val="24"/>
          <w:szCs w:val="24"/>
        </w:rPr>
        <w:t>met aussi en évidence les résultats importants de la biodiversité et l’efficacité des politiques, mesures et législations relatives à la biodiversité en ce qui concerne les Objectifs d'Aichi du plan stratégique pour la Biodiversité biologique 2011-2020 (OAB). Il s’agit de réaliser : (1) une évaluation des progrès réalisés par rapport à chaque objectif national relatif à la biodiversité ; (2) une évaluation de l’efficacité des mesures prises, et l’identification des enseignements tirés, et des besoins en matière d’appui technique, scientifique, de capacité et de mise en œuvre ; et (3) une description de la contribution du pays à la réalisation de chaque OAB et des objectifs de la Stratégie mondiale pour la conservation des plantes.</w:t>
      </w:r>
    </w:p>
    <w:p w14:paraId="6182E430" w14:textId="77777777" w:rsidR="003D4DBF" w:rsidRPr="00E056B1" w:rsidRDefault="003D4DBF" w:rsidP="003D4DBF">
      <w:pPr>
        <w:spacing w:after="0" w:line="240" w:lineRule="auto"/>
        <w:jc w:val="both"/>
        <w:rPr>
          <w:rFonts w:ascii="Times New Roman" w:hAnsi="Times New Roman" w:cs="Times New Roman"/>
          <w:color w:val="000000"/>
          <w:sz w:val="24"/>
          <w:szCs w:val="24"/>
        </w:rPr>
      </w:pPr>
    </w:p>
    <w:p w14:paraId="7578E053" w14:textId="5CBF7EB1" w:rsidR="003D4DBF" w:rsidRPr="00E056B1" w:rsidRDefault="003D4DBF" w:rsidP="003D4DBF">
      <w:pPr>
        <w:spacing w:after="0" w:line="240" w:lineRule="auto"/>
        <w:jc w:val="both"/>
        <w:rPr>
          <w:rFonts w:ascii="Times New Roman" w:hAnsi="Times New Roman" w:cs="Times New Roman"/>
          <w:kern w:val="22"/>
          <w:sz w:val="24"/>
          <w:szCs w:val="24"/>
          <w:lang w:val="fr-CA"/>
        </w:rPr>
      </w:pPr>
      <w:r>
        <w:rPr>
          <w:rFonts w:ascii="Times New Roman" w:hAnsi="Times New Roman" w:cs="Times New Roman"/>
          <w:sz w:val="24"/>
          <w:szCs w:val="24"/>
        </w:rPr>
        <w:t xml:space="preserve">Ce rapport </w:t>
      </w:r>
      <w:r w:rsidRPr="00E056B1">
        <w:rPr>
          <w:rFonts w:ascii="Times New Roman" w:hAnsi="Times New Roman" w:cs="Times New Roman"/>
          <w:sz w:val="24"/>
          <w:szCs w:val="24"/>
        </w:rPr>
        <w:t>se veut</w:t>
      </w:r>
      <w:r w:rsidRPr="00E056B1">
        <w:rPr>
          <w:rFonts w:ascii="Times New Roman" w:hAnsi="Times New Roman" w:cs="Times New Roman"/>
          <w:kern w:val="22"/>
          <w:sz w:val="24"/>
          <w:szCs w:val="24"/>
          <w:lang w:val="fr-CA"/>
        </w:rPr>
        <w:t xml:space="preserve"> participati</w:t>
      </w:r>
      <w:r>
        <w:rPr>
          <w:rFonts w:ascii="Times New Roman" w:hAnsi="Times New Roman" w:cs="Times New Roman"/>
          <w:kern w:val="22"/>
          <w:sz w:val="24"/>
          <w:szCs w:val="24"/>
          <w:lang w:val="fr-CA"/>
        </w:rPr>
        <w:t>f</w:t>
      </w:r>
      <w:r w:rsidRPr="00E056B1">
        <w:rPr>
          <w:rFonts w:ascii="Times New Roman" w:hAnsi="Times New Roman" w:cs="Times New Roman"/>
          <w:kern w:val="22"/>
          <w:sz w:val="24"/>
          <w:szCs w:val="24"/>
          <w:lang w:val="fr-CA"/>
        </w:rPr>
        <w:t>, en y incluant les parties prenantes notamment les correspondants nationaux du Protocole de Cartagena sur la prévention des risques biotechnologiques et du Protocole de Nagoya sur l’accès aux ressources génétiques et le partage juste et équitable des avantages découlant de leur utilisation, ainsi que les correspondants nationaux des autres conventions liées à la diversité biologique, des Conventions de Rio et des autres processus et accords internationaux et régionaux pertinents. Il a pris en compte les avis du ministère de l’environnement et des ressources forestière</w:t>
      </w:r>
      <w:r w:rsidR="006E77C1">
        <w:rPr>
          <w:rFonts w:ascii="Times New Roman" w:hAnsi="Times New Roman" w:cs="Times New Roman"/>
          <w:kern w:val="22"/>
          <w:sz w:val="24"/>
          <w:szCs w:val="24"/>
          <w:lang w:val="fr-CA"/>
        </w:rPr>
        <w:t>s</w:t>
      </w:r>
      <w:r w:rsidRPr="00E056B1">
        <w:rPr>
          <w:rFonts w:ascii="Times New Roman" w:hAnsi="Times New Roman" w:cs="Times New Roman"/>
          <w:kern w:val="22"/>
          <w:sz w:val="24"/>
          <w:szCs w:val="24"/>
          <w:lang w:val="fr-CA"/>
        </w:rPr>
        <w:t xml:space="preserve">, d’autres ministères et des services centraux et déconcentrés, des organisations communautaires locales, des établissements de recherche et universitaires, du secteur privé, des organes représentant les secteurs agricole, forestier, de la pêche, du tourisme, de l’exploitation minière, de l’énergie, du transport, de la fabrication de produits et d’autres secteurs, des organes de gestion de l’environnement, des organisations non gouvernementales, des organisations de femmes et des agences qui s’occupent du développement durable et de  </w:t>
      </w:r>
      <w:r>
        <w:rPr>
          <w:rFonts w:ascii="Times New Roman" w:hAnsi="Times New Roman" w:cs="Times New Roman"/>
          <w:kern w:val="22"/>
          <w:sz w:val="24"/>
          <w:szCs w:val="24"/>
          <w:lang w:val="fr-CA"/>
        </w:rPr>
        <w:t xml:space="preserve">réduction </w:t>
      </w:r>
      <w:r w:rsidRPr="00E056B1">
        <w:rPr>
          <w:rFonts w:ascii="Times New Roman" w:hAnsi="Times New Roman" w:cs="Times New Roman"/>
          <w:kern w:val="22"/>
          <w:sz w:val="24"/>
          <w:szCs w:val="24"/>
          <w:lang w:val="fr-CA"/>
        </w:rPr>
        <w:t>de la pauvreté. La participation implique aussi les secteurs dont les activités ont un impact indirect sur la diversité biologique, pouvant inclure les secteurs de la planification, des finances, de la santé, de l’éducation et de la réduction de la pauvreté. Des efforts ont été déployés pour faire en sorte que les parties prenantes impliquées dans les consultations pertinentes soient représentatives des circonstances nationales, et pour assurer un équilibre entre hommes et femmes.</w:t>
      </w:r>
    </w:p>
    <w:p w14:paraId="3942B6A8"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4F661117"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kern w:val="22"/>
          <w:sz w:val="24"/>
          <w:szCs w:val="24"/>
          <w:lang w:val="fr-CA"/>
        </w:rPr>
      </w:pPr>
      <w:r w:rsidRPr="00E056B1">
        <w:rPr>
          <w:rFonts w:ascii="Times New Roman" w:hAnsi="Times New Roman" w:cs="Times New Roman"/>
          <w:kern w:val="22"/>
          <w:sz w:val="24"/>
          <w:szCs w:val="24"/>
          <w:lang w:val="fr-CA"/>
        </w:rPr>
        <w:t>Toutes les sources d’information pertinentes sont prises en compte dans la préparation du rapport national, afin de refléter entièrement les circonstances nationales. Ceci inclut non seulement les rapports établis par le ministère de l’environnement, mais aussi les rapports préparés par les autres ministères et autorités infranationales, les études ou évaluations du pays sur la diversité biologique, les examens nationaux de l’application de la Convention et de la mise en œuvre de la stratégie et plan d’action nationaux pour la diversité biologique (SPANB</w:t>
      </w:r>
      <w:r w:rsidRPr="00E056B1">
        <w:rPr>
          <w:rFonts w:ascii="Times New Roman" w:hAnsi="Times New Roman" w:cs="Times New Roman"/>
          <w:sz w:val="24"/>
          <w:szCs w:val="24"/>
        </w:rPr>
        <w:t>2011-2020</w:t>
      </w:r>
      <w:r w:rsidRPr="00E056B1">
        <w:rPr>
          <w:rFonts w:ascii="Times New Roman" w:hAnsi="Times New Roman" w:cs="Times New Roman"/>
          <w:kern w:val="22"/>
          <w:sz w:val="24"/>
          <w:szCs w:val="24"/>
          <w:lang w:val="fr-CA"/>
        </w:rPr>
        <w:t xml:space="preserve">). Le rapport inclue également les évaluations des valeurs de la diversité biologique et des services et fonctions écosystémiques qu’elle sous-tend, les rapports remis au titre d’autres conventions liées à la diversité biologique, des Conventions de Rio et des accords multilatéraux </w:t>
      </w:r>
      <w:r>
        <w:rPr>
          <w:rFonts w:ascii="Times New Roman" w:hAnsi="Times New Roman" w:cs="Times New Roman"/>
          <w:kern w:val="22"/>
          <w:sz w:val="24"/>
          <w:szCs w:val="24"/>
          <w:lang w:val="fr-CA"/>
        </w:rPr>
        <w:t xml:space="preserve">pertinents </w:t>
      </w:r>
      <w:r w:rsidRPr="00E056B1">
        <w:rPr>
          <w:rFonts w:ascii="Times New Roman" w:hAnsi="Times New Roman" w:cs="Times New Roman"/>
          <w:kern w:val="22"/>
          <w:sz w:val="24"/>
          <w:szCs w:val="24"/>
          <w:lang w:val="fr-CA"/>
        </w:rPr>
        <w:t>sur l’environnement, ainsi que les rapports et études ciblées sur la biodiversité.</w:t>
      </w:r>
    </w:p>
    <w:p w14:paraId="19AA72D4"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3B03EFD4"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L'objectif du 6</w:t>
      </w:r>
      <w:r w:rsidRPr="00E056B1">
        <w:rPr>
          <w:rFonts w:ascii="Times New Roman" w:hAnsi="Times New Roman" w:cs="Times New Roman"/>
          <w:sz w:val="24"/>
          <w:szCs w:val="24"/>
          <w:vertAlign w:val="superscript"/>
        </w:rPr>
        <w:t>e</w:t>
      </w:r>
      <w:r w:rsidRPr="00E056B1">
        <w:rPr>
          <w:rFonts w:ascii="Times New Roman" w:hAnsi="Times New Roman" w:cs="Times New Roman"/>
          <w:sz w:val="24"/>
          <w:szCs w:val="24"/>
        </w:rPr>
        <w:t xml:space="preserve">rapport national </w:t>
      </w:r>
      <w:r>
        <w:rPr>
          <w:rFonts w:ascii="Times New Roman" w:hAnsi="Times New Roman" w:cs="Times New Roman"/>
          <w:sz w:val="24"/>
          <w:szCs w:val="24"/>
        </w:rPr>
        <w:t>d</w:t>
      </w:r>
      <w:r w:rsidRPr="00E056B1">
        <w:rPr>
          <w:rFonts w:ascii="Times New Roman" w:hAnsi="Times New Roman" w:cs="Times New Roman"/>
          <w:sz w:val="24"/>
          <w:szCs w:val="24"/>
        </w:rPr>
        <w:t>u Togo est de fournir des informations sur les mesures prises par l’ensemble des acteurs pour la mise en œuvre de la Convention et l'efficacité de celles-ci.</w:t>
      </w:r>
    </w:p>
    <w:p w14:paraId="2114766D"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29100858" w14:textId="57D975E6" w:rsidR="003D4DBF" w:rsidRPr="00E056B1" w:rsidRDefault="003D4DBF" w:rsidP="003D4DBF">
      <w:pPr>
        <w:pStyle w:val="Default"/>
        <w:jc w:val="both"/>
      </w:pPr>
      <w:r w:rsidRPr="00E056B1">
        <w:t>De façon spécifique, il s’agit 1) d’examiner l’application de la stratégie et du plan d’action nationaux pour la diversité biologique (SPANB 2011-2020), conformément au plan stratégique et aux objectifs nationaux ; 2) Analyser les mesures</w:t>
      </w:r>
      <w:r w:rsidR="006E77C1">
        <w:t xml:space="preserve"> prises au niveau</w:t>
      </w:r>
      <w:r w:rsidRPr="00E056B1">
        <w:t xml:space="preserve"> national et autres mesures, y compris des objectifs pour évaluer la contribution de ces objectifs nationaux aux objectifs mondiaux.</w:t>
      </w:r>
    </w:p>
    <w:p w14:paraId="671CDC27" w14:textId="77777777" w:rsidR="003D4DBF" w:rsidRPr="00E056B1" w:rsidRDefault="003D4DBF" w:rsidP="003D4DBF">
      <w:pPr>
        <w:pStyle w:val="Default"/>
        <w:jc w:val="both"/>
      </w:pPr>
    </w:p>
    <w:p w14:paraId="5936A93F" w14:textId="77777777" w:rsidR="003D4DBF" w:rsidRPr="00E056B1" w:rsidRDefault="003D4DBF" w:rsidP="003D4DBF">
      <w:pPr>
        <w:pStyle w:val="Retraitcorpsdetexte"/>
        <w:spacing w:after="0" w:line="240" w:lineRule="auto"/>
        <w:ind w:left="0"/>
        <w:rPr>
          <w:rFonts w:ascii="Times New Roman" w:eastAsia="Calibri" w:hAnsi="Times New Roman" w:cs="Times New Roman"/>
          <w:sz w:val="24"/>
          <w:szCs w:val="24"/>
        </w:rPr>
      </w:pPr>
      <w:r w:rsidRPr="00E056B1">
        <w:rPr>
          <w:rFonts w:ascii="Times New Roman" w:eastAsia="Calibri" w:hAnsi="Times New Roman" w:cs="Times New Roman"/>
          <w:sz w:val="24"/>
          <w:szCs w:val="24"/>
        </w:rPr>
        <w:t xml:space="preserve">Le présent document est réalisé dans cet objectif afin de servir de base à la gestion </w:t>
      </w:r>
      <w:r w:rsidRPr="00E056B1">
        <w:rPr>
          <w:rFonts w:ascii="Times New Roman" w:hAnsi="Times New Roman" w:cs="Times New Roman"/>
          <w:sz w:val="24"/>
          <w:szCs w:val="24"/>
        </w:rPr>
        <w:t>de la diversité biologique au Togo</w:t>
      </w:r>
      <w:r w:rsidRPr="00E056B1">
        <w:rPr>
          <w:rFonts w:ascii="Times New Roman" w:eastAsia="Calibri" w:hAnsi="Times New Roman" w:cs="Times New Roman"/>
          <w:sz w:val="24"/>
          <w:szCs w:val="24"/>
        </w:rPr>
        <w:t>. Il est structuré en sept points, à savoir :</w:t>
      </w:r>
    </w:p>
    <w:p w14:paraId="2107B100" w14:textId="77777777" w:rsidR="003D4DBF" w:rsidRPr="00E056B1" w:rsidRDefault="003D4DBF" w:rsidP="00E50666">
      <w:pPr>
        <w:pStyle w:val="Paragraphedeliste"/>
        <w:numPr>
          <w:ilvl w:val="0"/>
          <w:numId w:val="23"/>
        </w:numPr>
        <w:spacing w:after="0" w:line="240" w:lineRule="auto"/>
        <w:jc w:val="both"/>
        <w:rPr>
          <w:rFonts w:ascii="Times New Roman" w:hAnsi="Times New Roman" w:cs="Times New Roman"/>
          <w:bCs/>
          <w:color w:val="000000"/>
          <w:sz w:val="24"/>
          <w:szCs w:val="24"/>
        </w:rPr>
      </w:pPr>
      <w:r w:rsidRPr="00E056B1">
        <w:rPr>
          <w:rFonts w:ascii="Times New Roman" w:hAnsi="Times New Roman" w:cs="Times New Roman"/>
          <w:bCs/>
          <w:color w:val="000000"/>
          <w:sz w:val="24"/>
          <w:szCs w:val="24"/>
        </w:rPr>
        <w:t>I. Renseignements sur les objectifs visés au niveau national ;</w:t>
      </w:r>
    </w:p>
    <w:p w14:paraId="3F1E220B" w14:textId="77777777" w:rsidR="003D4DBF" w:rsidRPr="00E056B1" w:rsidRDefault="003D4DBF" w:rsidP="00E50666">
      <w:pPr>
        <w:pStyle w:val="Paragraphedeliste"/>
        <w:numPr>
          <w:ilvl w:val="0"/>
          <w:numId w:val="23"/>
        </w:numPr>
        <w:spacing w:after="0" w:line="240" w:lineRule="auto"/>
        <w:jc w:val="both"/>
        <w:rPr>
          <w:rFonts w:ascii="Times New Roman" w:hAnsi="Times New Roman" w:cs="Times New Roman"/>
          <w:bCs/>
          <w:color w:val="000000"/>
          <w:sz w:val="24"/>
          <w:szCs w:val="24"/>
        </w:rPr>
      </w:pPr>
      <w:r w:rsidRPr="00E056B1">
        <w:rPr>
          <w:rFonts w:ascii="Times New Roman" w:hAnsi="Times New Roman" w:cs="Times New Roman"/>
          <w:bCs/>
          <w:color w:val="000000"/>
          <w:sz w:val="24"/>
          <w:szCs w:val="24"/>
        </w:rPr>
        <w:t>II. Mesures de mise en œuvre, efficacité, obstacles et besoins scientifiques et techniques ;</w:t>
      </w:r>
    </w:p>
    <w:p w14:paraId="020CE00F" w14:textId="77777777" w:rsidR="003D4DBF" w:rsidRPr="00E056B1" w:rsidRDefault="003D4DBF" w:rsidP="00E50666">
      <w:pPr>
        <w:pStyle w:val="Paragraphedeliste"/>
        <w:numPr>
          <w:ilvl w:val="0"/>
          <w:numId w:val="23"/>
        </w:numPr>
        <w:autoSpaceDE w:val="0"/>
        <w:autoSpaceDN w:val="0"/>
        <w:adjustRightInd w:val="0"/>
        <w:spacing w:after="0" w:line="240" w:lineRule="auto"/>
        <w:jc w:val="both"/>
        <w:rPr>
          <w:rFonts w:ascii="Times New Roman" w:hAnsi="Times New Roman" w:cs="Times New Roman"/>
          <w:bCs/>
          <w:color w:val="000000"/>
          <w:sz w:val="24"/>
          <w:szCs w:val="24"/>
        </w:rPr>
      </w:pPr>
      <w:r w:rsidRPr="00E056B1">
        <w:rPr>
          <w:rFonts w:ascii="Times New Roman" w:hAnsi="Times New Roman" w:cs="Times New Roman"/>
          <w:bCs/>
          <w:color w:val="000000"/>
          <w:sz w:val="24"/>
          <w:szCs w:val="24"/>
        </w:rPr>
        <w:t>III. Évaluation du progrès dans la réalisation de chaque objectif national ;</w:t>
      </w:r>
    </w:p>
    <w:p w14:paraId="42FC4DAE" w14:textId="77777777" w:rsidR="003D4DBF" w:rsidRPr="00E056B1" w:rsidRDefault="003D4DBF" w:rsidP="00E50666">
      <w:pPr>
        <w:pStyle w:val="Paragraphedeliste"/>
        <w:numPr>
          <w:ilvl w:val="0"/>
          <w:numId w:val="23"/>
        </w:numPr>
        <w:autoSpaceDE w:val="0"/>
        <w:autoSpaceDN w:val="0"/>
        <w:adjustRightInd w:val="0"/>
        <w:spacing w:after="0" w:line="240" w:lineRule="auto"/>
        <w:jc w:val="both"/>
        <w:rPr>
          <w:rFonts w:ascii="Times New Roman" w:hAnsi="Times New Roman" w:cs="Times New Roman"/>
          <w:bCs/>
          <w:color w:val="000000"/>
          <w:sz w:val="24"/>
          <w:szCs w:val="24"/>
        </w:rPr>
      </w:pPr>
      <w:r w:rsidRPr="00E056B1">
        <w:rPr>
          <w:rFonts w:ascii="Times New Roman" w:hAnsi="Times New Roman" w:cs="Times New Roman"/>
          <w:color w:val="000000"/>
          <w:sz w:val="24"/>
          <w:szCs w:val="24"/>
        </w:rPr>
        <w:t>IV. Contribution nationale en vue de la réalisation de chaque OAB mondial ;</w:t>
      </w:r>
    </w:p>
    <w:p w14:paraId="643CE8D3" w14:textId="77777777" w:rsidR="003D4DBF" w:rsidRPr="00E056B1" w:rsidRDefault="003D4DBF" w:rsidP="00E50666">
      <w:pPr>
        <w:pStyle w:val="Paragraphedeliste"/>
        <w:numPr>
          <w:ilvl w:val="0"/>
          <w:numId w:val="23"/>
        </w:numPr>
        <w:autoSpaceDE w:val="0"/>
        <w:autoSpaceDN w:val="0"/>
        <w:adjustRightInd w:val="0"/>
        <w:spacing w:after="0" w:line="240" w:lineRule="auto"/>
        <w:jc w:val="both"/>
        <w:rPr>
          <w:rFonts w:ascii="Times New Roman" w:hAnsi="Times New Roman" w:cs="Times New Roman"/>
          <w:color w:val="000000"/>
          <w:sz w:val="24"/>
          <w:szCs w:val="24"/>
        </w:rPr>
      </w:pPr>
      <w:r w:rsidRPr="00E056B1">
        <w:rPr>
          <w:rFonts w:ascii="Times New Roman" w:hAnsi="Times New Roman" w:cs="Times New Roman"/>
          <w:color w:val="000000"/>
          <w:sz w:val="24"/>
          <w:szCs w:val="24"/>
        </w:rPr>
        <w:t>V. Contribution nationale en vue de la réalisation des objectifs de la Stratégie mondiale pour la conservation des plantes ;</w:t>
      </w:r>
    </w:p>
    <w:p w14:paraId="0FBCC49E" w14:textId="77777777" w:rsidR="003D4DBF" w:rsidRPr="00E056B1" w:rsidRDefault="003D4DBF" w:rsidP="00E50666">
      <w:pPr>
        <w:pStyle w:val="Paragraphedeliste"/>
        <w:numPr>
          <w:ilvl w:val="0"/>
          <w:numId w:val="23"/>
        </w:numPr>
        <w:autoSpaceDE w:val="0"/>
        <w:autoSpaceDN w:val="0"/>
        <w:adjustRightInd w:val="0"/>
        <w:spacing w:after="0" w:line="240" w:lineRule="auto"/>
        <w:jc w:val="both"/>
        <w:rPr>
          <w:rFonts w:ascii="Times New Roman" w:hAnsi="Times New Roman" w:cs="Times New Roman"/>
          <w:color w:val="000000"/>
          <w:sz w:val="24"/>
          <w:szCs w:val="24"/>
        </w:rPr>
      </w:pPr>
      <w:r w:rsidRPr="00E056B1">
        <w:rPr>
          <w:rFonts w:ascii="Times New Roman" w:hAnsi="Times New Roman" w:cs="Times New Roman"/>
          <w:color w:val="000000"/>
          <w:sz w:val="24"/>
          <w:szCs w:val="24"/>
        </w:rPr>
        <w:t>VI. Contribution des communautés locales ;</w:t>
      </w:r>
    </w:p>
    <w:p w14:paraId="57CF8C55" w14:textId="77777777" w:rsidR="003D4DBF" w:rsidRPr="00E056B1" w:rsidRDefault="003D4DBF" w:rsidP="00E50666">
      <w:pPr>
        <w:pStyle w:val="Paragraphedeliste"/>
        <w:numPr>
          <w:ilvl w:val="0"/>
          <w:numId w:val="23"/>
        </w:numPr>
        <w:autoSpaceDE w:val="0"/>
        <w:autoSpaceDN w:val="0"/>
        <w:adjustRightInd w:val="0"/>
        <w:spacing w:after="0" w:line="240" w:lineRule="auto"/>
        <w:jc w:val="both"/>
        <w:rPr>
          <w:rFonts w:ascii="Times New Roman" w:hAnsi="Times New Roman" w:cs="Times New Roman"/>
          <w:color w:val="000000"/>
          <w:sz w:val="24"/>
          <w:szCs w:val="24"/>
        </w:rPr>
      </w:pPr>
      <w:r w:rsidRPr="00E056B1">
        <w:rPr>
          <w:rFonts w:ascii="Times New Roman" w:hAnsi="Times New Roman" w:cs="Times New Roman"/>
          <w:color w:val="000000"/>
          <w:sz w:val="24"/>
          <w:szCs w:val="24"/>
        </w:rPr>
        <w:t>VII. Mise à jour du profil de la biodiversité.</w:t>
      </w:r>
    </w:p>
    <w:p w14:paraId="504775CA" w14:textId="77777777" w:rsidR="003D4DBF" w:rsidRPr="00E056B1" w:rsidRDefault="003D4DBF" w:rsidP="003D4DBF">
      <w:pPr>
        <w:spacing w:after="0" w:line="240" w:lineRule="auto"/>
        <w:ind w:left="360"/>
        <w:jc w:val="both"/>
        <w:rPr>
          <w:rFonts w:ascii="Times New Roman" w:hAnsi="Times New Roman" w:cs="Times New Roman"/>
          <w:b/>
          <w:bCs/>
          <w:color w:val="000000"/>
          <w:sz w:val="24"/>
          <w:szCs w:val="24"/>
        </w:rPr>
      </w:pPr>
    </w:p>
    <w:p w14:paraId="607EA936" w14:textId="77777777" w:rsidR="003D4DBF" w:rsidRPr="00E056B1" w:rsidRDefault="003D4DBF" w:rsidP="003D4DBF">
      <w:pPr>
        <w:spacing w:after="0" w:line="240" w:lineRule="auto"/>
        <w:jc w:val="both"/>
        <w:rPr>
          <w:rFonts w:ascii="Times New Roman" w:hAnsi="Times New Roman" w:cs="Times New Roman"/>
          <w:b/>
          <w:sz w:val="24"/>
          <w:szCs w:val="24"/>
        </w:rPr>
      </w:pPr>
      <w:r w:rsidRPr="00E056B1">
        <w:rPr>
          <w:rFonts w:ascii="Times New Roman" w:hAnsi="Times New Roman" w:cs="Times New Roman"/>
          <w:b/>
          <w:sz w:val="24"/>
          <w:szCs w:val="24"/>
        </w:rPr>
        <w:br w:type="page"/>
      </w:r>
    </w:p>
    <w:p w14:paraId="762E6CDB" w14:textId="77777777" w:rsidR="003D4DBF" w:rsidRPr="00E056B1" w:rsidRDefault="003D4DBF" w:rsidP="003D4DBF">
      <w:pPr>
        <w:spacing w:after="0" w:line="240" w:lineRule="auto"/>
        <w:jc w:val="both"/>
        <w:rPr>
          <w:rFonts w:ascii="Times New Roman" w:hAnsi="Times New Roman" w:cs="Times New Roman"/>
          <w:b/>
          <w:sz w:val="24"/>
          <w:szCs w:val="24"/>
        </w:rPr>
        <w:sectPr w:rsidR="003D4DBF" w:rsidRPr="00E056B1" w:rsidSect="003A74BD">
          <w:footerReference w:type="default" r:id="rId13"/>
          <w:pgSz w:w="11906" w:h="16838"/>
          <w:pgMar w:top="1418" w:right="1418" w:bottom="1418" w:left="1418" w:header="709" w:footer="709" w:gutter="0"/>
          <w:pgNumType w:start="1"/>
          <w:cols w:space="708"/>
          <w:docGrid w:linePitch="360"/>
        </w:sectPr>
      </w:pPr>
    </w:p>
    <w:p w14:paraId="6E131181" w14:textId="77777777" w:rsidR="003D4DBF" w:rsidRPr="00AD6D69" w:rsidRDefault="003D4DBF" w:rsidP="003D4DBF">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3" w:name="_Toc533413734"/>
      <w:r w:rsidRPr="00AD6D69">
        <w:rPr>
          <w:rFonts w:ascii="Times New Roman Gras" w:eastAsiaTheme="majorEastAsia" w:hAnsi="Times New Roman Gras" w:cs="Times New Roman"/>
          <w:b/>
          <w:bCs/>
          <w:caps/>
          <w:color w:val="2E74B5" w:themeColor="accent1" w:themeShade="BF"/>
          <w:sz w:val="28"/>
          <w:szCs w:val="28"/>
        </w:rPr>
        <w:t>I. Renseignements sur les objectifs visés au niveau national</w:t>
      </w:r>
      <w:bookmarkEnd w:id="3"/>
    </w:p>
    <w:p w14:paraId="6C937D1E" w14:textId="77777777" w:rsidR="003D4DBF" w:rsidRPr="00E056B1" w:rsidRDefault="003D4DBF" w:rsidP="003D4DBF">
      <w:pPr>
        <w:spacing w:after="0" w:line="240" w:lineRule="auto"/>
        <w:jc w:val="both"/>
        <w:rPr>
          <w:rFonts w:ascii="Times New Roman" w:hAnsi="Times New Roman" w:cs="Times New Roman"/>
          <w:bCs/>
          <w:color w:val="000000"/>
          <w:sz w:val="24"/>
          <w:szCs w:val="24"/>
        </w:rPr>
      </w:pPr>
    </w:p>
    <w:p w14:paraId="7133E075" w14:textId="77777777" w:rsidR="003D4DBF" w:rsidRPr="00A02AD3" w:rsidRDefault="003D4DBF" w:rsidP="003D4DBF">
      <w:pPr>
        <w:spacing w:after="0" w:line="240" w:lineRule="auto"/>
        <w:outlineLvl w:val="2"/>
        <w:rPr>
          <w:rFonts w:ascii="Times New Roman" w:hAnsi="Times New Roman" w:cs="Times New Roman"/>
          <w:b/>
          <w:bCs/>
          <w:sz w:val="24"/>
          <w:szCs w:val="24"/>
        </w:rPr>
      </w:pPr>
      <w:bookmarkStart w:id="4" w:name="_Toc533413735"/>
      <w:r>
        <w:rPr>
          <w:rFonts w:ascii="Times New Roman" w:hAnsi="Times New Roman" w:cs="Times New Roman"/>
          <w:b/>
          <w:bCs/>
          <w:sz w:val="24"/>
          <w:szCs w:val="24"/>
        </w:rPr>
        <w:t>1.1.</w:t>
      </w:r>
      <w:r w:rsidRPr="00A02AD3">
        <w:rPr>
          <w:rFonts w:ascii="Times New Roman" w:hAnsi="Times New Roman" w:cs="Times New Roman"/>
          <w:b/>
          <w:bCs/>
          <w:sz w:val="24"/>
          <w:szCs w:val="24"/>
        </w:rPr>
        <w:t xml:space="preserve"> Principaux défis pour la conservation de la biodiversité au Togo</w:t>
      </w:r>
      <w:bookmarkEnd w:id="4"/>
    </w:p>
    <w:p w14:paraId="6E36CC61" w14:textId="77777777" w:rsidR="003D4DBF" w:rsidRPr="00E056B1" w:rsidRDefault="003D4DBF" w:rsidP="003D4DBF">
      <w:pPr>
        <w:pStyle w:val="Style19"/>
        <w:widowControl/>
        <w:spacing w:line="240" w:lineRule="auto"/>
        <w:rPr>
          <w:rStyle w:val="FontStyle147"/>
          <w:sz w:val="24"/>
          <w:szCs w:val="24"/>
        </w:rPr>
      </w:pPr>
    </w:p>
    <w:p w14:paraId="474BAA63"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 xml:space="preserve">Malgré l’importance de la biodiversité, sa dégradation à cause des pressions diverses, est très forte et sans précédent. Plusieurs taxons sont menacés de disparition et plusieurs habitats prioritaires de conservation de la faune et de la flore </w:t>
      </w:r>
      <w:r w:rsidRPr="00E056B1">
        <w:rPr>
          <w:rFonts w:ascii="Times New Roman" w:hAnsi="Times New Roman" w:cs="Times New Roman"/>
          <w:color w:val="000000"/>
          <w:sz w:val="24"/>
          <w:szCs w:val="24"/>
        </w:rPr>
        <w:t xml:space="preserve">sont partiellement ou totalement envahis, avec un taux d’occupation allant de 10 à 100% (MERF, 2013). </w:t>
      </w:r>
      <w:r w:rsidRPr="00E056B1">
        <w:rPr>
          <w:rFonts w:ascii="Times New Roman" w:hAnsi="Times New Roman" w:cs="Times New Roman"/>
          <w:sz w:val="24"/>
          <w:szCs w:val="24"/>
        </w:rPr>
        <w:t>Les principaux dangers qui menacent la préservation de la biodiversité au Togo sont de différents ordres. Il s’agit entre autres des dangers liés à la dégradation des écosystèmes, à la prolifération des espèces exotiques envahissantes, à l’exploitation abusive des ressources végétales, au manque de mécanisme de suivi des espèces de la faune.</w:t>
      </w:r>
    </w:p>
    <w:p w14:paraId="3CD46943" w14:textId="77777777" w:rsidR="003D4DBF" w:rsidRPr="00E056B1" w:rsidRDefault="003D4DBF" w:rsidP="003D4DBF">
      <w:pPr>
        <w:spacing w:after="0" w:line="240" w:lineRule="auto"/>
        <w:jc w:val="both"/>
        <w:rPr>
          <w:rFonts w:ascii="Times New Roman" w:hAnsi="Times New Roman" w:cs="Times New Roman"/>
          <w:sz w:val="24"/>
          <w:szCs w:val="24"/>
        </w:rPr>
      </w:pPr>
    </w:p>
    <w:p w14:paraId="3BD70C40" w14:textId="77777777" w:rsidR="003D4DBF" w:rsidRPr="00E056B1" w:rsidRDefault="003D4DBF" w:rsidP="00E50666">
      <w:pPr>
        <w:pStyle w:val="Paragraphedeliste"/>
        <w:numPr>
          <w:ilvl w:val="0"/>
          <w:numId w:val="7"/>
        </w:numPr>
        <w:spacing w:after="0" w:line="240" w:lineRule="auto"/>
        <w:jc w:val="both"/>
        <w:rPr>
          <w:rFonts w:ascii="Times New Roman" w:hAnsi="Times New Roman" w:cs="Times New Roman"/>
          <w:b/>
          <w:sz w:val="24"/>
          <w:szCs w:val="24"/>
        </w:rPr>
      </w:pPr>
      <w:r w:rsidRPr="00E056B1">
        <w:rPr>
          <w:rFonts w:ascii="Times New Roman" w:hAnsi="Times New Roman" w:cs="Times New Roman"/>
          <w:b/>
          <w:sz w:val="24"/>
          <w:szCs w:val="24"/>
        </w:rPr>
        <w:t>Dégradation des écosystèmes</w:t>
      </w:r>
    </w:p>
    <w:p w14:paraId="43FDD615" w14:textId="77777777" w:rsidR="003D4DBF" w:rsidRPr="00E056B1" w:rsidRDefault="003D4DBF" w:rsidP="003D4DBF">
      <w:pPr>
        <w:spacing w:after="0" w:line="240" w:lineRule="auto"/>
        <w:jc w:val="both"/>
        <w:rPr>
          <w:rFonts w:ascii="Times New Roman" w:hAnsi="Times New Roman" w:cs="Times New Roman"/>
          <w:sz w:val="24"/>
          <w:szCs w:val="24"/>
        </w:rPr>
      </w:pPr>
    </w:p>
    <w:p w14:paraId="7C0AAD81" w14:textId="50D7E538" w:rsidR="003D4DBF"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 xml:space="preserve">Les écosystèmes du Togo constituent de véritables habitats pour la conservation de la diversité biologique. Malheureusement, leur dégradation suite aux diverses pressions anthropiques (agriculture itinérante sur brûlis, exploitation forestière, élevage et transhumance, feux de végétation, envahissement et colonisation des aires protégées, pollution chimique par les déchets ménagers, industriels et agricoles, pollution organique, braconnage de la faune terrestre, </w:t>
      </w:r>
      <w:r>
        <w:rPr>
          <w:rFonts w:ascii="Times New Roman" w:hAnsi="Times New Roman" w:cs="Times New Roman"/>
          <w:sz w:val="24"/>
          <w:szCs w:val="24"/>
        </w:rPr>
        <w:t xml:space="preserve">trafic de spécimens </w:t>
      </w:r>
      <w:r w:rsidRPr="00E056B1">
        <w:rPr>
          <w:rFonts w:ascii="Times New Roman" w:hAnsi="Times New Roman" w:cs="Times New Roman"/>
          <w:sz w:val="24"/>
          <w:szCs w:val="24"/>
        </w:rPr>
        <w:t>des animaux sauvages</w:t>
      </w:r>
      <w:r>
        <w:rPr>
          <w:rFonts w:ascii="Times New Roman" w:hAnsi="Times New Roman" w:cs="Times New Roman"/>
          <w:sz w:val="24"/>
          <w:szCs w:val="24"/>
        </w:rPr>
        <w:t xml:space="preserve"> menacés de disparition</w:t>
      </w:r>
      <w:r w:rsidRPr="00E056B1">
        <w:rPr>
          <w:rFonts w:ascii="Times New Roman" w:hAnsi="Times New Roman" w:cs="Times New Roman"/>
          <w:sz w:val="24"/>
          <w:szCs w:val="24"/>
        </w:rPr>
        <w:t>, surexploitation des ressources halieutiques, etc.) et les projets de développement (barrages, exploitations minières, etc.) entraîne</w:t>
      </w:r>
      <w:r>
        <w:rPr>
          <w:rFonts w:ascii="Times New Roman" w:hAnsi="Times New Roman" w:cs="Times New Roman"/>
          <w:sz w:val="24"/>
          <w:szCs w:val="24"/>
        </w:rPr>
        <w:t>nt</w:t>
      </w:r>
      <w:r w:rsidRPr="00E056B1">
        <w:rPr>
          <w:rFonts w:ascii="Times New Roman" w:hAnsi="Times New Roman" w:cs="Times New Roman"/>
          <w:sz w:val="24"/>
          <w:szCs w:val="24"/>
        </w:rPr>
        <w:t xml:space="preserve"> ainsi </w:t>
      </w:r>
      <w:r w:rsidRPr="00E056B1">
        <w:rPr>
          <w:rFonts w:ascii="Times New Roman" w:hAnsi="Times New Roman" w:cs="Times New Roman"/>
          <w:bCs/>
          <w:sz w:val="24"/>
          <w:szCs w:val="24"/>
        </w:rPr>
        <w:t>leurs dysfonctionnements</w:t>
      </w:r>
      <w:r w:rsidRPr="00E056B1">
        <w:rPr>
          <w:rFonts w:ascii="Times New Roman" w:hAnsi="Times New Roman" w:cs="Times New Roman"/>
          <w:sz w:val="24"/>
          <w:szCs w:val="24"/>
        </w:rPr>
        <w:t xml:space="preserve"> et condui</w:t>
      </w:r>
      <w:r>
        <w:rPr>
          <w:rFonts w:ascii="Times New Roman" w:hAnsi="Times New Roman" w:cs="Times New Roman"/>
          <w:sz w:val="24"/>
          <w:szCs w:val="24"/>
        </w:rPr>
        <w:t>sent</w:t>
      </w:r>
      <w:r w:rsidRPr="00E056B1">
        <w:rPr>
          <w:rFonts w:ascii="Times New Roman" w:hAnsi="Times New Roman" w:cs="Times New Roman"/>
          <w:sz w:val="24"/>
          <w:szCs w:val="24"/>
        </w:rPr>
        <w:t xml:space="preserve"> à la destruction de ces habitats et de la diversité biologique</w:t>
      </w:r>
      <w:r w:rsidRPr="00E056B1">
        <w:rPr>
          <w:rFonts w:ascii="Times New Roman" w:hAnsi="Times New Roman" w:cs="Times New Roman"/>
          <w:bCs/>
          <w:sz w:val="24"/>
          <w:szCs w:val="24"/>
        </w:rPr>
        <w:t xml:space="preserve">. Dans les écosystèmes aquatiques (lagunes, mares, mers), les polluants de diverse nature (eaux et huiles usagées, déchets ménagers et industriels, etc.) y sont constamment déversés entraînant l’eutrophisation et la dégradation de la diversité biologique liée à ces milieux. </w:t>
      </w:r>
      <w:r w:rsidRPr="00E056B1">
        <w:rPr>
          <w:rFonts w:ascii="Times New Roman" w:hAnsi="Times New Roman" w:cs="Times New Roman"/>
          <w:sz w:val="24"/>
          <w:szCs w:val="24"/>
        </w:rPr>
        <w:t xml:space="preserve">Cette dégradation des écosystèmes est une menace non seulement pour les </w:t>
      </w:r>
      <w:r w:rsidR="006E77C1">
        <w:rPr>
          <w:rFonts w:ascii="Times New Roman" w:hAnsi="Times New Roman" w:cs="Times New Roman"/>
          <w:sz w:val="24"/>
          <w:szCs w:val="24"/>
        </w:rPr>
        <w:t>ressources naturelles y compris</w:t>
      </w:r>
      <w:r w:rsidRPr="00E056B1">
        <w:rPr>
          <w:rFonts w:ascii="Times New Roman" w:hAnsi="Times New Roman" w:cs="Times New Roman"/>
          <w:sz w:val="24"/>
          <w:szCs w:val="24"/>
        </w:rPr>
        <w:t xml:space="preserve"> la biodiversité mais aussi pour les communautés locales.</w:t>
      </w:r>
    </w:p>
    <w:p w14:paraId="40AF31D0" w14:textId="77777777" w:rsidR="003D4DBF" w:rsidRPr="00E056B1" w:rsidRDefault="003D4DBF" w:rsidP="003D4DBF">
      <w:pPr>
        <w:spacing w:after="0" w:line="240" w:lineRule="auto"/>
        <w:jc w:val="both"/>
        <w:rPr>
          <w:rFonts w:ascii="Times New Roman" w:hAnsi="Times New Roman" w:cs="Times New Roman"/>
          <w:bCs/>
          <w:sz w:val="24"/>
          <w:szCs w:val="24"/>
        </w:rPr>
      </w:pPr>
    </w:p>
    <w:p w14:paraId="1C16CD75" w14:textId="77777777" w:rsidR="003D4DBF" w:rsidRPr="008063D4" w:rsidRDefault="003D4DBF" w:rsidP="003D4DBF">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La perte et la fragmentation des habitats sont généralement deux phénomènes corrélés, qui peuvent intervenir en même temps, augmentant de ce fait les effets délétères sur le milieu naturel. La destruction des forêts entraine la disparition d’habitats naturels pour la faune et la flore. Les espèces animales</w:t>
      </w:r>
      <w:r>
        <w:rPr>
          <w:rFonts w:ascii="Times New Roman" w:hAnsi="Times New Roman" w:cs="Times New Roman"/>
          <w:sz w:val="24"/>
          <w:szCs w:val="24"/>
        </w:rPr>
        <w:t>,</w:t>
      </w:r>
      <w:r w:rsidRPr="008063D4">
        <w:rPr>
          <w:rFonts w:ascii="Times New Roman" w:hAnsi="Times New Roman" w:cs="Times New Roman"/>
          <w:sz w:val="24"/>
          <w:szCs w:val="24"/>
        </w:rPr>
        <w:t xml:space="preserve"> végétales</w:t>
      </w:r>
      <w:r>
        <w:rPr>
          <w:rFonts w:ascii="Times New Roman" w:hAnsi="Times New Roman" w:cs="Times New Roman"/>
          <w:sz w:val="24"/>
          <w:szCs w:val="24"/>
        </w:rPr>
        <w:t xml:space="preserve"> et halieutiques</w:t>
      </w:r>
      <w:r w:rsidRPr="008063D4">
        <w:rPr>
          <w:rFonts w:ascii="Times New Roman" w:hAnsi="Times New Roman" w:cs="Times New Roman"/>
          <w:sz w:val="24"/>
          <w:szCs w:val="24"/>
        </w:rPr>
        <w:t xml:space="preserve"> concernées sont fragilisées</w:t>
      </w:r>
      <w:r>
        <w:rPr>
          <w:rFonts w:ascii="Times New Roman" w:hAnsi="Times New Roman" w:cs="Times New Roman"/>
          <w:sz w:val="24"/>
          <w:szCs w:val="24"/>
        </w:rPr>
        <w:t xml:space="preserve"> et</w:t>
      </w:r>
      <w:r w:rsidRPr="008063D4">
        <w:rPr>
          <w:rFonts w:ascii="Times New Roman" w:hAnsi="Times New Roman" w:cs="Times New Roman"/>
          <w:sz w:val="24"/>
          <w:szCs w:val="24"/>
        </w:rPr>
        <w:t xml:space="preserve"> peuvent disparaitre si les ressources disponibles ne sont plus suffisantes. Elle résulte des actions de déboisement puis de défrichement, liées à l'extension des terres agricoles, d'une exploitation excessive de certaines essences forestières et de l'urbanisation (World Bank 2002). </w:t>
      </w:r>
    </w:p>
    <w:p w14:paraId="31D4D3A0" w14:textId="77777777" w:rsidR="003D4DBF" w:rsidRDefault="003D4DBF" w:rsidP="003D4DBF">
      <w:pPr>
        <w:spacing w:after="0" w:line="240" w:lineRule="auto"/>
        <w:jc w:val="both"/>
        <w:rPr>
          <w:rFonts w:ascii="Times New Roman" w:hAnsi="Times New Roman" w:cs="Times New Roman"/>
          <w:sz w:val="24"/>
          <w:szCs w:val="24"/>
        </w:rPr>
      </w:pPr>
    </w:p>
    <w:p w14:paraId="4CC77DF6" w14:textId="5FC61F99" w:rsidR="003D4DBF" w:rsidRDefault="003D4DBF" w:rsidP="003D4DBF">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En effet, l’agriculture est la première activité exercée dans les différentes régions et occupe la quasi-totalité de la population (plus de 80%). Les systèmes de production agricole au Togo sont en majorité extensifs et traditionnels. Le manque de ressources matériels et les investissements limités du secteur expliquent des taux de productivité</w:t>
      </w:r>
      <w:r w:rsidR="006E77C1">
        <w:rPr>
          <w:rFonts w:ascii="Times New Roman" w:hAnsi="Times New Roman" w:cs="Times New Roman"/>
          <w:sz w:val="24"/>
          <w:szCs w:val="24"/>
        </w:rPr>
        <w:t>s</w:t>
      </w:r>
      <w:r w:rsidRPr="008063D4">
        <w:rPr>
          <w:rFonts w:ascii="Times New Roman" w:hAnsi="Times New Roman" w:cs="Times New Roman"/>
          <w:sz w:val="24"/>
          <w:szCs w:val="24"/>
        </w:rPr>
        <w:t xml:space="preserve"> faibles qui s’accommodent avec l’étalement des surfaces cultivées pour assouvir une demande grandissante insufflée notamment par la dynamique démographique enregistrée à près de 2,8% de croissance (GIZ, 2016). Par ailleurs, les pratiques agricoles sont le plus souvent traditionnelles et non durables. L’utilisation des pratiques d’abattis-brulis couplé à des jachères à cycle court entraînent une perte de fertilité importante et rapide des sols (Adjonou, 2014 ; Nadjombe, O. 1992). Ainsi, la raréfaction des terres s’intensifie avec la perte de fertilité des sols ce qui implique la conversion et </w:t>
      </w:r>
      <w:r w:rsidR="006E77C1">
        <w:rPr>
          <w:rFonts w:ascii="Times New Roman" w:hAnsi="Times New Roman" w:cs="Times New Roman"/>
          <w:sz w:val="24"/>
          <w:szCs w:val="24"/>
        </w:rPr>
        <w:t xml:space="preserve">la </w:t>
      </w:r>
      <w:r w:rsidRPr="008063D4">
        <w:rPr>
          <w:rFonts w:ascii="Times New Roman" w:hAnsi="Times New Roman" w:cs="Times New Roman"/>
          <w:sz w:val="24"/>
          <w:szCs w:val="24"/>
        </w:rPr>
        <w:t>mise en culture des terres jusqu’ici restée</w:t>
      </w:r>
      <w:r w:rsidR="006E77C1">
        <w:rPr>
          <w:rFonts w:ascii="Times New Roman" w:hAnsi="Times New Roman" w:cs="Times New Roman"/>
          <w:sz w:val="24"/>
          <w:szCs w:val="24"/>
        </w:rPr>
        <w:t>s</w:t>
      </w:r>
      <w:r w:rsidRPr="008063D4">
        <w:rPr>
          <w:rFonts w:ascii="Times New Roman" w:hAnsi="Times New Roman" w:cs="Times New Roman"/>
          <w:sz w:val="24"/>
          <w:szCs w:val="24"/>
        </w:rPr>
        <w:t xml:space="preserve"> boisées.</w:t>
      </w:r>
    </w:p>
    <w:p w14:paraId="1C38223B" w14:textId="77777777" w:rsidR="003D4DBF" w:rsidRDefault="003D4DBF" w:rsidP="003D4DBF">
      <w:pPr>
        <w:spacing w:after="0" w:line="240" w:lineRule="auto"/>
        <w:jc w:val="both"/>
        <w:rPr>
          <w:rFonts w:ascii="Times New Roman" w:hAnsi="Times New Roman" w:cs="Times New Roman"/>
          <w:sz w:val="24"/>
          <w:szCs w:val="24"/>
        </w:rPr>
      </w:pPr>
    </w:p>
    <w:p w14:paraId="3085FF6F" w14:textId="77777777" w:rsidR="003D4DBF" w:rsidRDefault="003D4DBF" w:rsidP="003D4DBF">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En conséquence, au Togo, les populations se tournent de plus en plus vers des terres vierges en particulier dans les aires protégées pour assouvir leur besoin en terre. Ainsi nous avons un effet de rétroactivité entre la dégradation des sols</w:t>
      </w:r>
      <w:r>
        <w:rPr>
          <w:rFonts w:ascii="Times New Roman" w:hAnsi="Times New Roman" w:cs="Times New Roman"/>
          <w:sz w:val="24"/>
          <w:szCs w:val="24"/>
        </w:rPr>
        <w:t xml:space="preserve"> (induite</w:t>
      </w:r>
      <w:r w:rsidRPr="008063D4">
        <w:rPr>
          <w:rFonts w:ascii="Times New Roman" w:hAnsi="Times New Roman" w:cs="Times New Roman"/>
          <w:sz w:val="24"/>
          <w:szCs w:val="24"/>
        </w:rPr>
        <w:t xml:space="preserve"> notamment par des activités agricoles et d’élevage non soutenables</w:t>
      </w:r>
      <w:r>
        <w:rPr>
          <w:rFonts w:ascii="Times New Roman" w:hAnsi="Times New Roman" w:cs="Times New Roman"/>
          <w:sz w:val="24"/>
          <w:szCs w:val="24"/>
        </w:rPr>
        <w:t>)</w:t>
      </w:r>
      <w:r w:rsidRPr="008063D4">
        <w:rPr>
          <w:rFonts w:ascii="Times New Roman" w:hAnsi="Times New Roman" w:cs="Times New Roman"/>
          <w:sz w:val="24"/>
          <w:szCs w:val="24"/>
        </w:rPr>
        <w:t xml:space="preserve"> et le besoin grandissant en terre, qui entraîne des dynamiques de déforestation et de dégradation auto-entretenu</w:t>
      </w:r>
      <w:r>
        <w:rPr>
          <w:rFonts w:ascii="Times New Roman" w:hAnsi="Times New Roman" w:cs="Times New Roman"/>
          <w:sz w:val="24"/>
          <w:szCs w:val="24"/>
        </w:rPr>
        <w:t>e</w:t>
      </w:r>
      <w:r w:rsidRPr="008063D4">
        <w:rPr>
          <w:rFonts w:ascii="Times New Roman" w:hAnsi="Times New Roman" w:cs="Times New Roman"/>
          <w:sz w:val="24"/>
          <w:szCs w:val="24"/>
        </w:rPr>
        <w:t>s. A noter également, que la transhumance et le surpâturage est une cause proximale importante</w:t>
      </w:r>
      <w:r>
        <w:rPr>
          <w:rFonts w:ascii="Times New Roman" w:hAnsi="Times New Roman" w:cs="Times New Roman"/>
          <w:sz w:val="24"/>
          <w:szCs w:val="24"/>
        </w:rPr>
        <w:t xml:space="preserve"> de la dégradation des forêts. </w:t>
      </w:r>
      <w:r w:rsidRPr="008063D4">
        <w:rPr>
          <w:rFonts w:ascii="Times New Roman" w:hAnsi="Times New Roman" w:cs="Times New Roman"/>
          <w:sz w:val="24"/>
          <w:szCs w:val="24"/>
        </w:rPr>
        <w:t>En effet, la rareté des terres disponibles pour la pratique de l’élevage et les pratiques traditionnels sans contrôle de cheptel a pour effet d’entrainer un surpâturage qui, au-delà d’impacter lui-même fortement les écosystèmes, notamment forestiers, réduit la disponibilité des terres productives (Alinon, 2013) et accentue ainsi la pression sur les forêts.</w:t>
      </w:r>
    </w:p>
    <w:p w14:paraId="1FA5228A" w14:textId="77777777" w:rsidR="003D4DBF" w:rsidRPr="00E056B1" w:rsidRDefault="003D4DBF" w:rsidP="003D4DBF">
      <w:pPr>
        <w:spacing w:after="0" w:line="240" w:lineRule="auto"/>
        <w:jc w:val="both"/>
        <w:rPr>
          <w:rFonts w:ascii="Times New Roman" w:hAnsi="Times New Roman" w:cs="Times New Roman"/>
          <w:bCs/>
          <w:sz w:val="24"/>
          <w:szCs w:val="24"/>
        </w:rPr>
      </w:pPr>
    </w:p>
    <w:p w14:paraId="1D2ABA1D" w14:textId="681805D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Les écosystèmes de mangroves et des zones humides associées, localisés dans l’extrême sud-est du pays autour du chenal de Gbaga et ses rivières affluentes, couvrent actuellement moins de 1000 ha. Elles comprennent deux espèces de palétuviers (</w:t>
      </w:r>
      <w:r w:rsidRPr="00E056B1">
        <w:rPr>
          <w:rFonts w:ascii="Times New Roman" w:hAnsi="Times New Roman" w:cs="Times New Roman"/>
          <w:i/>
          <w:sz w:val="24"/>
          <w:szCs w:val="24"/>
        </w:rPr>
        <w:t>Rhizophora racemosa</w:t>
      </w:r>
      <w:r w:rsidRPr="00E056B1">
        <w:rPr>
          <w:rFonts w:ascii="Times New Roman" w:hAnsi="Times New Roman" w:cs="Times New Roman"/>
          <w:sz w:val="24"/>
          <w:szCs w:val="24"/>
        </w:rPr>
        <w:t xml:space="preserve"> et </w:t>
      </w:r>
      <w:r w:rsidRPr="00E056B1">
        <w:rPr>
          <w:rFonts w:ascii="Times New Roman" w:hAnsi="Times New Roman" w:cs="Times New Roman"/>
          <w:i/>
          <w:sz w:val="24"/>
          <w:szCs w:val="24"/>
        </w:rPr>
        <w:t>Avicenniagerminans</w:t>
      </w:r>
      <w:r w:rsidRPr="00E056B1">
        <w:rPr>
          <w:rFonts w:ascii="Times New Roman" w:hAnsi="Times New Roman" w:cs="Times New Roman"/>
          <w:sz w:val="24"/>
          <w:szCs w:val="24"/>
        </w:rPr>
        <w:t>)</w:t>
      </w:r>
      <w:r w:rsidR="00EC17E3">
        <w:rPr>
          <w:rFonts w:ascii="Times New Roman" w:hAnsi="Times New Roman" w:cs="Times New Roman"/>
          <w:sz w:val="24"/>
          <w:szCs w:val="24"/>
        </w:rPr>
        <w:t xml:space="preserve"> </w:t>
      </w:r>
      <w:r w:rsidRPr="00E056B1">
        <w:rPr>
          <w:rFonts w:ascii="Times New Roman" w:hAnsi="Times New Roman" w:cs="Times New Roman"/>
          <w:sz w:val="24"/>
          <w:szCs w:val="24"/>
        </w:rPr>
        <w:t>et constituent un écosystème très productif et à usages multiples (Afidégnon, 1999). Malheureusement, la surexploitation des ressources végétales et animales et les modifications de salinité induites par la construction du barrage de Nangbéto, menacent la survie de cet écosystème.</w:t>
      </w:r>
    </w:p>
    <w:p w14:paraId="0B32A3EF" w14:textId="77777777" w:rsidR="003D4DBF" w:rsidRPr="00E056B1" w:rsidRDefault="003D4DBF" w:rsidP="003D4DBF">
      <w:pPr>
        <w:spacing w:after="0" w:line="240" w:lineRule="auto"/>
        <w:jc w:val="both"/>
        <w:rPr>
          <w:rFonts w:ascii="Times New Roman" w:hAnsi="Times New Roman" w:cs="Times New Roman"/>
          <w:color w:val="000000"/>
          <w:sz w:val="24"/>
          <w:szCs w:val="24"/>
        </w:rPr>
      </w:pPr>
    </w:p>
    <w:p w14:paraId="30C7C08C" w14:textId="77777777" w:rsidR="003D4DBF" w:rsidRPr="00E056B1" w:rsidRDefault="003D4DBF" w:rsidP="003D4DBF">
      <w:pPr>
        <w:spacing w:after="0" w:line="240" w:lineRule="auto"/>
        <w:ind w:left="57"/>
        <w:jc w:val="both"/>
        <w:rPr>
          <w:rFonts w:ascii="Times New Roman" w:hAnsi="Times New Roman" w:cs="Times New Roman"/>
          <w:sz w:val="24"/>
          <w:szCs w:val="24"/>
        </w:rPr>
      </w:pPr>
      <w:r w:rsidRPr="00E056B1">
        <w:rPr>
          <w:rFonts w:ascii="Times New Roman" w:hAnsi="Times New Roman" w:cs="Times New Roman"/>
          <w:sz w:val="24"/>
          <w:szCs w:val="24"/>
        </w:rPr>
        <w:t>Par ailleurs, les pressions anthropiques sur les aires protégées du Togo concourent à la dégradation de ces domaines où les habitats potentiels pour la conservation de la biodiversité sont encore préservés. Des études réalisées dans la plane de l’Oti et dans le complexe Oti-Kéran-Mandouri (OKM) ont dressé une série d’activités fréquemment pratiquées. Il s’agit entre autres de l’agriculture pluviale et de contre-saison, du pâturage, de la chasse, de la coupe de bois de feu, la carbonisation, la pêche, la cueillette de fruit, la recherche de l’eau et de médicaments, le ramassage de bois mort, etc (Aleza, 2010 ; Bamazi, 2010; Polo-Akpisso, 2010; Dimobe et al., 2012 ; Diwédiga et al., 2012 ; Hounkpè, 2013).</w:t>
      </w:r>
    </w:p>
    <w:p w14:paraId="7A328197" w14:textId="77777777" w:rsidR="003D4DBF" w:rsidRPr="00E056B1" w:rsidRDefault="003D4DBF" w:rsidP="003D4DBF">
      <w:pPr>
        <w:spacing w:after="0" w:line="240" w:lineRule="auto"/>
        <w:ind w:left="57"/>
        <w:jc w:val="both"/>
        <w:rPr>
          <w:rFonts w:ascii="Times New Roman" w:hAnsi="Times New Roman" w:cs="Times New Roman"/>
          <w:sz w:val="24"/>
          <w:szCs w:val="24"/>
        </w:rPr>
      </w:pPr>
    </w:p>
    <w:p w14:paraId="7EA269AC" w14:textId="77777777" w:rsidR="003D4DBF" w:rsidRPr="00E056B1" w:rsidRDefault="003D4DBF" w:rsidP="003D4DBF">
      <w:pPr>
        <w:spacing w:after="0" w:line="240" w:lineRule="auto"/>
        <w:ind w:left="57"/>
        <w:jc w:val="both"/>
        <w:rPr>
          <w:rFonts w:ascii="Times New Roman" w:hAnsi="Times New Roman" w:cs="Times New Roman"/>
          <w:sz w:val="24"/>
          <w:szCs w:val="24"/>
        </w:rPr>
      </w:pPr>
      <w:r w:rsidRPr="00E056B1">
        <w:rPr>
          <w:rFonts w:ascii="Times New Roman" w:hAnsi="Times New Roman" w:cs="Times New Roman"/>
          <w:sz w:val="24"/>
          <w:szCs w:val="24"/>
        </w:rPr>
        <w:t>Outre, les différentes formes de pressions anthropiques susmentionnées, on peut citer également la transhumance qui est essentiellement pratiquée par les peulhs nomades venant du sahel. Ces derniers conduisent chaque année des milliers de bœufs et font des intrusions fréquentes dans les aires protégées à la recherche de l’eau et du pâturage. Les feux de végétation constituent aussi une véritable menace pour la conservation de la biodiversité. Ils sont parfois allumés par les braconniers pour traquer le gibier ou par les transhumants pour favoriser la repousse des graminées lors du passage des troupeaux.</w:t>
      </w:r>
    </w:p>
    <w:p w14:paraId="37BCFA60" w14:textId="77777777" w:rsidR="003D4DBF" w:rsidRDefault="003D4DBF" w:rsidP="003D4DBF">
      <w:pPr>
        <w:pStyle w:val="Style19"/>
        <w:widowControl/>
        <w:spacing w:line="240" w:lineRule="auto"/>
        <w:rPr>
          <w:rFonts w:ascii="Times New Roman" w:hAnsi="Times New Roman" w:cs="Times New Roman"/>
        </w:rPr>
      </w:pPr>
    </w:p>
    <w:p w14:paraId="67DDF756" w14:textId="77777777" w:rsidR="003D4DBF" w:rsidRPr="008063D4" w:rsidRDefault="003D4DBF" w:rsidP="003D4DBF">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Les feux de végétation constituent également une des causes majeures de la déforestation et de la dégradation des forêts. Au regard des investigations, les feux de végétation répétés sont ainsi présentés comme la troisième cause de la déforestation et la dégradation des forêts dans toute les régions excepté la région Maritime (MERF, 2018). Ces incendies de forêt aboutissent à une mortalité significative des arbres voire à la disparition des forêts. Enfin, l’on peut noter la recrudescence au cours des dernières années d’ouverture des carrières de prélèvement de sable (pour les chantiers de construction), de concassage de gravier (pour les travaux de routes et autres) qui dégradent les reliques forestières et défigurent l’environnement (MERF, 2014 ; MERF, 2018).</w:t>
      </w:r>
    </w:p>
    <w:p w14:paraId="49667C80" w14:textId="77777777" w:rsidR="003D4DBF" w:rsidRDefault="003D4DBF" w:rsidP="003D4DBF">
      <w:pPr>
        <w:spacing w:after="0" w:line="240" w:lineRule="auto"/>
        <w:jc w:val="both"/>
        <w:rPr>
          <w:rFonts w:ascii="Times New Roman" w:hAnsi="Times New Roman" w:cs="Times New Roman"/>
          <w:sz w:val="24"/>
          <w:szCs w:val="24"/>
        </w:rPr>
      </w:pPr>
    </w:p>
    <w:p w14:paraId="7BC327AB" w14:textId="4EB70E77" w:rsidR="003D4DBF" w:rsidRPr="008063D4" w:rsidRDefault="003D4DBF" w:rsidP="003D4DBF">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Les différentes causes citées sont de façon générale liée aux facteurs dits ultimes (MERF, 2018). Au rang de ces facteurs, l’on note (i) le facteur économique reconnu comme l’une des principales causes sous-jacentes de la déforestation et de la dégradation des forêts ; (ii) le facteur démographique qui est parmi les causes sous-jacentes les plus influente</w:t>
      </w:r>
      <w:r w:rsidR="006E77C1">
        <w:rPr>
          <w:rFonts w:ascii="Times New Roman" w:hAnsi="Times New Roman" w:cs="Times New Roman"/>
          <w:sz w:val="24"/>
          <w:szCs w:val="24"/>
        </w:rPr>
        <w:t>s</w:t>
      </w:r>
      <w:r w:rsidRPr="008063D4">
        <w:rPr>
          <w:rFonts w:ascii="Times New Roman" w:hAnsi="Times New Roman" w:cs="Times New Roman"/>
          <w:sz w:val="24"/>
          <w:szCs w:val="24"/>
        </w:rPr>
        <w:t xml:space="preserve"> de la déforestation et la dégradation des forêts. En effet, celle-ci joue indirectement sur la demande de terre, que ce soit pour l’installation des habitats ou bien pour le développement des surfaces agricoles. Ainsi une croissance démographique soutenue va engendrer en tant que facteur sous-jacent une dynamique de déforestation et dégradation importante ; (iii) facteur naturel qui explique une grande partie des dynamiques de dégradation de l’environnement. La richesse du capital naturel d’un pays offre une opportunité de développement considérable et ainsi une incitation certaine à son exploitation et (iv) les facteurs politique, institutionnel et culturel qui influencent substantiellement les dynamiques de dégradation de l’environnement (Rudel, 2013).</w:t>
      </w:r>
    </w:p>
    <w:p w14:paraId="08D5BDEA" w14:textId="77777777" w:rsidR="003D4DBF" w:rsidRPr="00E056B1" w:rsidRDefault="003D4DBF" w:rsidP="003D4DBF">
      <w:pPr>
        <w:pStyle w:val="Style19"/>
        <w:widowControl/>
        <w:spacing w:line="240" w:lineRule="auto"/>
        <w:rPr>
          <w:rFonts w:ascii="Times New Roman" w:hAnsi="Times New Roman" w:cs="Times New Roman"/>
        </w:rPr>
      </w:pPr>
    </w:p>
    <w:p w14:paraId="0AE377FA" w14:textId="77777777" w:rsidR="003D4DBF" w:rsidRPr="00BC689A" w:rsidRDefault="003D4DBF" w:rsidP="00E50666">
      <w:pPr>
        <w:pStyle w:val="Paragraphedeliste"/>
        <w:numPr>
          <w:ilvl w:val="0"/>
          <w:numId w:val="7"/>
        </w:numPr>
        <w:spacing w:after="0" w:line="240" w:lineRule="auto"/>
        <w:jc w:val="both"/>
        <w:rPr>
          <w:rFonts w:ascii="Times New Roman" w:hAnsi="Times New Roman" w:cs="Times New Roman"/>
          <w:b/>
          <w:sz w:val="24"/>
          <w:szCs w:val="24"/>
        </w:rPr>
      </w:pPr>
      <w:r w:rsidRPr="00BC689A">
        <w:rPr>
          <w:rFonts w:ascii="Times New Roman" w:hAnsi="Times New Roman" w:cs="Times New Roman"/>
          <w:b/>
          <w:sz w:val="24"/>
          <w:szCs w:val="24"/>
        </w:rPr>
        <w:t>Prolifération des espèces exotiques envahissantes</w:t>
      </w:r>
    </w:p>
    <w:p w14:paraId="537E6D9D" w14:textId="77777777" w:rsidR="003D4DBF" w:rsidRPr="00E056B1" w:rsidRDefault="003D4DBF" w:rsidP="003D4DBF">
      <w:pPr>
        <w:pStyle w:val="Style19"/>
        <w:widowControl/>
        <w:spacing w:line="240" w:lineRule="auto"/>
        <w:rPr>
          <w:rFonts w:ascii="Times New Roman" w:hAnsi="Times New Roman" w:cs="Times New Roman"/>
        </w:rPr>
      </w:pPr>
    </w:p>
    <w:p w14:paraId="343FF7ED" w14:textId="6BABCDC4" w:rsidR="003D4DBF" w:rsidRPr="00E056B1" w:rsidRDefault="003D4DBF" w:rsidP="003D4DBF">
      <w:pPr>
        <w:spacing w:after="0" w:line="240" w:lineRule="auto"/>
        <w:jc w:val="both"/>
        <w:rPr>
          <w:rFonts w:ascii="Times New Roman" w:hAnsi="Times New Roman" w:cs="Times New Roman"/>
          <w:bCs/>
          <w:sz w:val="24"/>
          <w:szCs w:val="24"/>
        </w:rPr>
      </w:pPr>
      <w:r w:rsidRPr="00E056B1">
        <w:rPr>
          <w:rFonts w:ascii="Times New Roman" w:hAnsi="Times New Roman" w:cs="Times New Roman"/>
          <w:bCs/>
          <w:sz w:val="24"/>
          <w:szCs w:val="24"/>
        </w:rPr>
        <w:t>Dans la plupart des écosystèmes, on note une prolifération des espèces exotiques envahissantes et les plus fréquemment rencontrées sont des espèces exotiques de terre</w:t>
      </w:r>
      <w:r w:rsidR="006E77C1">
        <w:rPr>
          <w:rFonts w:ascii="Times New Roman" w:hAnsi="Times New Roman" w:cs="Times New Roman"/>
          <w:bCs/>
          <w:sz w:val="24"/>
          <w:szCs w:val="24"/>
        </w:rPr>
        <w:t>s</w:t>
      </w:r>
      <w:r w:rsidRPr="00E056B1">
        <w:rPr>
          <w:rFonts w:ascii="Times New Roman" w:hAnsi="Times New Roman" w:cs="Times New Roman"/>
          <w:bCs/>
          <w:sz w:val="24"/>
          <w:szCs w:val="24"/>
        </w:rPr>
        <w:t xml:space="preserve"> ferme</w:t>
      </w:r>
      <w:r w:rsidR="006E77C1">
        <w:rPr>
          <w:rFonts w:ascii="Times New Roman" w:hAnsi="Times New Roman" w:cs="Times New Roman"/>
          <w:bCs/>
          <w:sz w:val="24"/>
          <w:szCs w:val="24"/>
        </w:rPr>
        <w:t>s</w:t>
      </w:r>
      <w:r w:rsidRPr="00E056B1">
        <w:rPr>
          <w:rFonts w:ascii="Times New Roman" w:hAnsi="Times New Roman" w:cs="Times New Roman"/>
          <w:bCs/>
          <w:sz w:val="24"/>
          <w:szCs w:val="24"/>
        </w:rPr>
        <w:t xml:space="preserve"> ou aquatiques. Comme espèces de terre ferme, on peut citer </w:t>
      </w:r>
      <w:r w:rsidRPr="00E056B1">
        <w:rPr>
          <w:rFonts w:ascii="Times New Roman" w:hAnsi="Times New Roman" w:cs="Times New Roman"/>
          <w:bCs/>
          <w:i/>
          <w:sz w:val="24"/>
          <w:szCs w:val="24"/>
        </w:rPr>
        <w:t>Chromolaena</w:t>
      </w:r>
      <w:r>
        <w:rPr>
          <w:rFonts w:ascii="Times New Roman" w:hAnsi="Times New Roman" w:cs="Times New Roman"/>
          <w:bCs/>
          <w:i/>
          <w:sz w:val="24"/>
          <w:szCs w:val="24"/>
        </w:rPr>
        <w:t xml:space="preserve"> </w:t>
      </w:r>
      <w:r w:rsidRPr="00E056B1">
        <w:rPr>
          <w:rFonts w:ascii="Times New Roman" w:hAnsi="Times New Roman" w:cs="Times New Roman"/>
          <w:bCs/>
          <w:i/>
          <w:sz w:val="24"/>
          <w:szCs w:val="24"/>
        </w:rPr>
        <w:t>odorata</w:t>
      </w:r>
      <w:r w:rsidRPr="00E056B1">
        <w:rPr>
          <w:rFonts w:ascii="Times New Roman" w:hAnsi="Times New Roman" w:cs="Times New Roman"/>
          <w:bCs/>
          <w:sz w:val="24"/>
          <w:szCs w:val="24"/>
        </w:rPr>
        <w:t xml:space="preserve"> (Asteraceae), une espèce des jachères surtout du climat guinéen, </w:t>
      </w:r>
      <w:r w:rsidRPr="00E056B1">
        <w:rPr>
          <w:rFonts w:ascii="Times New Roman" w:hAnsi="Times New Roman" w:cs="Times New Roman"/>
          <w:bCs/>
          <w:i/>
          <w:sz w:val="24"/>
          <w:szCs w:val="24"/>
        </w:rPr>
        <w:t>Azadirachta</w:t>
      </w:r>
      <w:r w:rsidR="00BB4F21">
        <w:rPr>
          <w:rFonts w:ascii="Times New Roman" w:hAnsi="Times New Roman" w:cs="Times New Roman"/>
          <w:bCs/>
          <w:i/>
          <w:sz w:val="24"/>
          <w:szCs w:val="24"/>
        </w:rPr>
        <w:t xml:space="preserve"> </w:t>
      </w:r>
      <w:r w:rsidRPr="00E056B1">
        <w:rPr>
          <w:rFonts w:ascii="Times New Roman" w:hAnsi="Times New Roman" w:cs="Times New Roman"/>
          <w:bCs/>
          <w:i/>
          <w:sz w:val="24"/>
          <w:szCs w:val="24"/>
        </w:rPr>
        <w:t>indica</w:t>
      </w:r>
      <w:r w:rsidRPr="00E056B1">
        <w:rPr>
          <w:rFonts w:ascii="Times New Roman" w:hAnsi="Times New Roman" w:cs="Times New Roman"/>
          <w:bCs/>
          <w:sz w:val="24"/>
          <w:szCs w:val="24"/>
        </w:rPr>
        <w:t xml:space="preserve"> (Meliaceae) observé partout au Togo et devenu même la végétation ligneuse de certaines localités à travers le pays, </w:t>
      </w:r>
      <w:r w:rsidRPr="00E056B1">
        <w:rPr>
          <w:rFonts w:ascii="Times New Roman" w:hAnsi="Times New Roman" w:cs="Times New Roman"/>
          <w:bCs/>
          <w:i/>
          <w:sz w:val="24"/>
          <w:szCs w:val="24"/>
        </w:rPr>
        <w:t>Leucaena</w:t>
      </w:r>
      <w:r>
        <w:rPr>
          <w:rFonts w:ascii="Times New Roman" w:hAnsi="Times New Roman" w:cs="Times New Roman"/>
          <w:bCs/>
          <w:i/>
          <w:sz w:val="24"/>
          <w:szCs w:val="24"/>
        </w:rPr>
        <w:t xml:space="preserve"> </w:t>
      </w:r>
      <w:r w:rsidRPr="00E056B1">
        <w:rPr>
          <w:rFonts w:ascii="Times New Roman" w:hAnsi="Times New Roman" w:cs="Times New Roman"/>
          <w:bCs/>
          <w:i/>
          <w:sz w:val="24"/>
          <w:szCs w:val="24"/>
        </w:rPr>
        <w:t>leucocephala</w:t>
      </w:r>
      <w:r w:rsidRPr="00E056B1">
        <w:rPr>
          <w:rFonts w:ascii="Times New Roman" w:hAnsi="Times New Roman" w:cs="Times New Roman"/>
          <w:bCs/>
          <w:sz w:val="24"/>
          <w:szCs w:val="24"/>
        </w:rPr>
        <w:t xml:space="preserve"> (Mimosaceae), </w:t>
      </w:r>
      <w:r w:rsidRPr="00E056B1">
        <w:rPr>
          <w:rFonts w:ascii="Times New Roman" w:hAnsi="Times New Roman" w:cs="Times New Roman"/>
          <w:bCs/>
          <w:i/>
          <w:iCs/>
          <w:sz w:val="24"/>
          <w:szCs w:val="24"/>
        </w:rPr>
        <w:t>Tit</w:t>
      </w:r>
      <w:r w:rsidR="00BB4F21">
        <w:rPr>
          <w:rFonts w:ascii="Times New Roman" w:hAnsi="Times New Roman" w:cs="Times New Roman"/>
          <w:bCs/>
          <w:i/>
          <w:iCs/>
          <w:sz w:val="24"/>
          <w:szCs w:val="24"/>
        </w:rPr>
        <w:t>h</w:t>
      </w:r>
      <w:r w:rsidRPr="00E056B1">
        <w:rPr>
          <w:rFonts w:ascii="Times New Roman" w:hAnsi="Times New Roman" w:cs="Times New Roman"/>
          <w:bCs/>
          <w:i/>
          <w:iCs/>
          <w:sz w:val="24"/>
          <w:szCs w:val="24"/>
        </w:rPr>
        <w:t>onia</w:t>
      </w:r>
      <w:r w:rsidR="00BB4F21">
        <w:rPr>
          <w:rFonts w:ascii="Times New Roman" w:hAnsi="Times New Roman" w:cs="Times New Roman"/>
          <w:bCs/>
          <w:i/>
          <w:iCs/>
          <w:sz w:val="24"/>
          <w:szCs w:val="24"/>
        </w:rPr>
        <w:t xml:space="preserve"> </w:t>
      </w:r>
      <w:r w:rsidRPr="00E056B1">
        <w:rPr>
          <w:rFonts w:ascii="Times New Roman" w:hAnsi="Times New Roman" w:cs="Times New Roman"/>
          <w:bCs/>
          <w:i/>
          <w:iCs/>
          <w:sz w:val="24"/>
          <w:szCs w:val="24"/>
        </w:rPr>
        <w:t>diversifolia</w:t>
      </w:r>
      <w:r w:rsidRPr="00E056B1">
        <w:rPr>
          <w:rFonts w:ascii="Times New Roman" w:hAnsi="Times New Roman" w:cs="Times New Roman"/>
          <w:bCs/>
          <w:sz w:val="24"/>
          <w:szCs w:val="24"/>
        </w:rPr>
        <w:t xml:space="preserve"> (Asteraceae) et </w:t>
      </w:r>
      <w:r w:rsidRPr="00E056B1">
        <w:rPr>
          <w:rFonts w:ascii="Times New Roman" w:hAnsi="Times New Roman" w:cs="Times New Roman"/>
          <w:bCs/>
          <w:i/>
          <w:iCs/>
          <w:sz w:val="24"/>
          <w:szCs w:val="24"/>
        </w:rPr>
        <w:t>Mimosa invisa</w:t>
      </w:r>
      <w:r w:rsidR="00BB4F21">
        <w:rPr>
          <w:rFonts w:ascii="Times New Roman" w:hAnsi="Times New Roman" w:cs="Times New Roman"/>
          <w:bCs/>
          <w:i/>
          <w:iCs/>
          <w:sz w:val="24"/>
          <w:szCs w:val="24"/>
        </w:rPr>
        <w:t xml:space="preserve"> </w:t>
      </w:r>
      <w:r w:rsidRPr="00E056B1">
        <w:rPr>
          <w:rFonts w:ascii="Times New Roman" w:hAnsi="Times New Roman" w:cs="Times New Roman"/>
          <w:bCs/>
          <w:iCs/>
          <w:sz w:val="24"/>
          <w:szCs w:val="24"/>
        </w:rPr>
        <w:t>(Fabaceae),</w:t>
      </w:r>
      <w:r>
        <w:rPr>
          <w:rFonts w:ascii="Times New Roman" w:hAnsi="Times New Roman" w:cs="Times New Roman"/>
          <w:bCs/>
          <w:iCs/>
          <w:sz w:val="24"/>
          <w:szCs w:val="24"/>
        </w:rPr>
        <w:t xml:space="preserve"> </w:t>
      </w:r>
      <w:r w:rsidRPr="00E056B1">
        <w:rPr>
          <w:rFonts w:ascii="Times New Roman" w:hAnsi="Times New Roman" w:cs="Times New Roman"/>
          <w:bCs/>
          <w:sz w:val="24"/>
          <w:szCs w:val="24"/>
        </w:rPr>
        <w:t xml:space="preserve">etc. Dans les </w:t>
      </w:r>
      <w:r w:rsidRPr="00E056B1">
        <w:rPr>
          <w:rFonts w:ascii="Times New Roman" w:hAnsi="Times New Roman" w:cs="Times New Roman"/>
          <w:sz w:val="24"/>
          <w:szCs w:val="24"/>
        </w:rPr>
        <w:t xml:space="preserve">forêts de la zone montagneuse sub-humide du Togo décrit comme un hotspot en Afrique sub-saharienne (Ferla et </w:t>
      </w:r>
      <w:r w:rsidRPr="00E056B1">
        <w:rPr>
          <w:rFonts w:ascii="Times New Roman" w:hAnsi="Times New Roman" w:cs="Times New Roman"/>
          <w:i/>
          <w:sz w:val="24"/>
          <w:szCs w:val="24"/>
        </w:rPr>
        <w:t>al.</w:t>
      </w:r>
      <w:r w:rsidRPr="00E056B1">
        <w:rPr>
          <w:rFonts w:ascii="Times New Roman" w:hAnsi="Times New Roman" w:cs="Times New Roman"/>
          <w:sz w:val="24"/>
          <w:szCs w:val="24"/>
        </w:rPr>
        <w:t xml:space="preserve"> 2001), et où l’endémisme est très prononcé pour l’Afrique de l’ouest (Beentje et </w:t>
      </w:r>
      <w:r w:rsidRPr="00E056B1">
        <w:rPr>
          <w:rFonts w:ascii="Times New Roman" w:hAnsi="Times New Roman" w:cs="Times New Roman"/>
          <w:i/>
          <w:sz w:val="24"/>
          <w:szCs w:val="24"/>
        </w:rPr>
        <w:t xml:space="preserve">al. </w:t>
      </w:r>
      <w:r w:rsidRPr="00E056B1">
        <w:rPr>
          <w:rFonts w:ascii="Times New Roman" w:hAnsi="Times New Roman" w:cs="Times New Roman"/>
          <w:sz w:val="24"/>
          <w:szCs w:val="24"/>
        </w:rPr>
        <w:t>1994), l’intensification de la culture du teck (</w:t>
      </w:r>
      <w:r w:rsidRPr="00E056B1">
        <w:rPr>
          <w:rFonts w:ascii="Times New Roman" w:hAnsi="Times New Roman" w:cs="Times New Roman"/>
          <w:i/>
          <w:sz w:val="24"/>
          <w:szCs w:val="24"/>
        </w:rPr>
        <w:t>Tectona grandis</w:t>
      </w:r>
      <w:r w:rsidRPr="00E056B1">
        <w:rPr>
          <w:rFonts w:ascii="Times New Roman" w:hAnsi="Times New Roman" w:cs="Times New Roman"/>
          <w:sz w:val="24"/>
          <w:szCs w:val="24"/>
        </w:rPr>
        <w:t xml:space="preserve">) menace dangereusement la flore locale). </w:t>
      </w:r>
      <w:r w:rsidRPr="00E056B1">
        <w:rPr>
          <w:rFonts w:ascii="Times New Roman" w:hAnsi="Times New Roman" w:cs="Times New Roman"/>
          <w:bCs/>
          <w:sz w:val="24"/>
          <w:szCs w:val="24"/>
        </w:rPr>
        <w:t xml:space="preserve">Ces espèces perturbent sérieusement le développement et le maintien des écosystèmes naturels. En milieu aquatique, les principales espèces aquatiques qui envahissent les mares et les lagunes au Togo sont </w:t>
      </w:r>
      <w:r w:rsidRPr="00E056B1">
        <w:rPr>
          <w:rFonts w:ascii="Times New Roman" w:hAnsi="Times New Roman" w:cs="Times New Roman"/>
          <w:bCs/>
          <w:i/>
          <w:sz w:val="24"/>
          <w:szCs w:val="24"/>
        </w:rPr>
        <w:t>Pistiastratioites</w:t>
      </w:r>
      <w:r w:rsidRPr="00E056B1">
        <w:rPr>
          <w:rFonts w:ascii="Times New Roman" w:hAnsi="Times New Roman" w:cs="Times New Roman"/>
          <w:bCs/>
          <w:sz w:val="24"/>
          <w:szCs w:val="24"/>
        </w:rPr>
        <w:t xml:space="preserve"> (Araceae) et </w:t>
      </w:r>
      <w:r w:rsidRPr="00E056B1">
        <w:rPr>
          <w:rFonts w:ascii="Times New Roman" w:hAnsi="Times New Roman" w:cs="Times New Roman"/>
          <w:bCs/>
          <w:i/>
          <w:sz w:val="24"/>
          <w:szCs w:val="24"/>
        </w:rPr>
        <w:t>Echhornia</w:t>
      </w:r>
      <w:r w:rsidR="00BB4F21">
        <w:rPr>
          <w:rFonts w:ascii="Times New Roman" w:hAnsi="Times New Roman" w:cs="Times New Roman"/>
          <w:bCs/>
          <w:i/>
          <w:sz w:val="24"/>
          <w:szCs w:val="24"/>
        </w:rPr>
        <w:t xml:space="preserve"> </w:t>
      </w:r>
      <w:r w:rsidRPr="00E056B1">
        <w:rPr>
          <w:rFonts w:ascii="Times New Roman" w:hAnsi="Times New Roman" w:cs="Times New Roman"/>
          <w:bCs/>
          <w:i/>
          <w:sz w:val="24"/>
          <w:szCs w:val="24"/>
        </w:rPr>
        <w:t>crassipes</w:t>
      </w:r>
      <w:r w:rsidRPr="00E056B1">
        <w:rPr>
          <w:rFonts w:ascii="Times New Roman" w:hAnsi="Times New Roman" w:cs="Times New Roman"/>
          <w:bCs/>
          <w:sz w:val="24"/>
          <w:szCs w:val="24"/>
        </w:rPr>
        <w:t xml:space="preserve"> (Pontederiaceae) mais aussi les espèces de fougère </w:t>
      </w:r>
      <w:r w:rsidRPr="00E056B1">
        <w:rPr>
          <w:rFonts w:ascii="Times New Roman" w:hAnsi="Times New Roman" w:cs="Times New Roman"/>
          <w:color w:val="000000"/>
          <w:sz w:val="24"/>
          <w:szCs w:val="24"/>
          <w:lang w:val="es-ES"/>
        </w:rPr>
        <w:t>Azollaceae (</w:t>
      </w:r>
      <w:r w:rsidRPr="00E056B1">
        <w:rPr>
          <w:rFonts w:ascii="Times New Roman" w:hAnsi="Times New Roman" w:cs="Times New Roman"/>
          <w:i/>
          <w:color w:val="000000"/>
          <w:sz w:val="24"/>
          <w:szCs w:val="24"/>
          <w:lang w:val="es-ES"/>
        </w:rPr>
        <w:t>Azolla africana</w:t>
      </w:r>
      <w:r w:rsidRPr="00E056B1">
        <w:rPr>
          <w:rFonts w:ascii="Times New Roman" w:hAnsi="Times New Roman" w:cs="Times New Roman"/>
          <w:color w:val="000000"/>
          <w:sz w:val="24"/>
          <w:szCs w:val="24"/>
          <w:lang w:val="es-ES"/>
        </w:rPr>
        <w:t xml:space="preserve">) et </w:t>
      </w:r>
      <w:r w:rsidRPr="00E056B1">
        <w:rPr>
          <w:rFonts w:ascii="Times New Roman" w:hAnsi="Times New Roman" w:cs="Times New Roman"/>
          <w:color w:val="000000"/>
          <w:sz w:val="24"/>
          <w:szCs w:val="24"/>
          <w:lang w:val="fr-CA"/>
        </w:rPr>
        <w:t>Salviniaceae (</w:t>
      </w:r>
      <w:r w:rsidRPr="00E056B1">
        <w:rPr>
          <w:rFonts w:ascii="Times New Roman" w:hAnsi="Times New Roman" w:cs="Times New Roman"/>
          <w:i/>
          <w:color w:val="000000"/>
          <w:sz w:val="24"/>
          <w:szCs w:val="24"/>
          <w:lang w:val="fr-CA"/>
        </w:rPr>
        <w:t>Salvinia auriculata</w:t>
      </w:r>
      <w:r w:rsidRPr="00E056B1">
        <w:rPr>
          <w:rFonts w:ascii="Times New Roman" w:hAnsi="Times New Roman" w:cs="Times New Roman"/>
          <w:color w:val="000000"/>
          <w:sz w:val="24"/>
          <w:szCs w:val="24"/>
          <w:lang w:val="fr-CA"/>
        </w:rPr>
        <w:t>)</w:t>
      </w:r>
      <w:r w:rsidRPr="00E056B1">
        <w:rPr>
          <w:rFonts w:ascii="Times New Roman" w:hAnsi="Times New Roman" w:cs="Times New Roman"/>
          <w:bCs/>
          <w:sz w:val="24"/>
          <w:szCs w:val="24"/>
        </w:rPr>
        <w:t>, entraînant l’eutrophisation et l’asphyxie de toute la diversité biologique de ces écosystèmes.</w:t>
      </w:r>
    </w:p>
    <w:p w14:paraId="15171B6A" w14:textId="77777777" w:rsidR="003D4DBF" w:rsidRDefault="003D4DBF" w:rsidP="003D4DBF">
      <w:pPr>
        <w:spacing w:after="0" w:line="240" w:lineRule="auto"/>
        <w:jc w:val="both"/>
        <w:rPr>
          <w:rFonts w:ascii="Times New Roman" w:hAnsi="Times New Roman" w:cs="Times New Roman"/>
          <w:bCs/>
          <w:sz w:val="24"/>
          <w:szCs w:val="24"/>
        </w:rPr>
      </w:pPr>
    </w:p>
    <w:p w14:paraId="32835C98" w14:textId="3DE813EB" w:rsidR="003D4DBF" w:rsidRPr="008063D4" w:rsidRDefault="003D4DBF" w:rsidP="003D4DBF">
      <w:pPr>
        <w:autoSpaceDE w:val="0"/>
        <w:autoSpaceDN w:val="0"/>
        <w:adjustRightInd w:val="0"/>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 xml:space="preserve">Pour ce qui concerne les espèces animales, MERF (2014) note la présence de deux espèces d’insectes exotiques. Une mouche des fruits, </w:t>
      </w:r>
      <w:r w:rsidRPr="00256E0E">
        <w:rPr>
          <w:rFonts w:ascii="Times New Roman" w:hAnsi="Times New Roman" w:cs="Times New Roman"/>
          <w:bCs/>
          <w:i/>
          <w:sz w:val="24"/>
          <w:szCs w:val="24"/>
        </w:rPr>
        <w:t>Bactrocera invadens</w:t>
      </w:r>
      <w:r w:rsidRPr="008063D4">
        <w:rPr>
          <w:rFonts w:ascii="Times New Roman" w:hAnsi="Times New Roman" w:cs="Times New Roman"/>
          <w:bCs/>
          <w:sz w:val="24"/>
          <w:szCs w:val="24"/>
        </w:rPr>
        <w:t xml:space="preserve"> Drew Tsuruta and White (Diptera : Tephritidae) et une cochenille farineuse du papayer, Paracoccus marginatus Williams and Granara de Willink (Hemiptera : Pseudococcidae). Ces </w:t>
      </w:r>
      <w:r w:rsidRPr="008063D4">
        <w:rPr>
          <w:rFonts w:ascii="Times New Roman" w:hAnsi="Times New Roman" w:cs="Times New Roman"/>
          <w:sz w:val="24"/>
          <w:szCs w:val="24"/>
        </w:rPr>
        <w:t xml:space="preserve">espèces très polyphages et respectivement originaires d’Asie et d’Amérique centrale ont envahi le Togo causant des dégâts sérieux aux fruits, légumes et à plusieurs essences végétales d’importance économique de notre pays. En 2015, Gomina </w:t>
      </w:r>
      <w:r w:rsidR="006B03CB">
        <w:rPr>
          <w:rFonts w:ascii="Times New Roman" w:hAnsi="Times New Roman" w:cs="Times New Roman"/>
          <w:sz w:val="24"/>
          <w:szCs w:val="24"/>
        </w:rPr>
        <w:t xml:space="preserve">a </w:t>
      </w:r>
      <w:r w:rsidRPr="008063D4">
        <w:rPr>
          <w:rFonts w:ascii="Times New Roman" w:hAnsi="Times New Roman" w:cs="Times New Roman"/>
          <w:sz w:val="24"/>
          <w:szCs w:val="24"/>
        </w:rPr>
        <w:t xml:space="preserve">inventorié 35 espèces de Tephritidae au sud du Togo, dont les frugivores sont les plus importants. Au rang de ces frugivores l’on peut noter </w:t>
      </w:r>
      <w:r w:rsidRPr="00BB4F21">
        <w:rPr>
          <w:rFonts w:ascii="Times New Roman" w:hAnsi="Times New Roman" w:cs="Times New Roman"/>
          <w:i/>
          <w:sz w:val="24"/>
          <w:szCs w:val="24"/>
        </w:rPr>
        <w:t>Bactrocera dorsalis</w:t>
      </w:r>
      <w:r w:rsidRPr="008063D4">
        <w:rPr>
          <w:rFonts w:ascii="Times New Roman" w:hAnsi="Times New Roman" w:cs="Times New Roman"/>
          <w:sz w:val="24"/>
          <w:szCs w:val="24"/>
        </w:rPr>
        <w:t xml:space="preserve"> dont l’air de répartition s’étend actuellement à l’ensemble des régions ouest, centre et est-africaines (De Meyer et al., 2010). Depuis son introduction, les pertes de rendements amputables à cette espèce sur la mangue à travers l</w:t>
      </w:r>
      <w:r w:rsidR="006B03CB">
        <w:rPr>
          <w:rFonts w:ascii="Times New Roman" w:hAnsi="Times New Roman" w:cs="Times New Roman"/>
          <w:sz w:val="24"/>
          <w:szCs w:val="24"/>
        </w:rPr>
        <w:t>’Afrique sont</w:t>
      </w:r>
      <w:r w:rsidRPr="008063D4">
        <w:rPr>
          <w:rFonts w:ascii="Times New Roman" w:hAnsi="Times New Roman" w:cs="Times New Roman"/>
          <w:sz w:val="24"/>
          <w:szCs w:val="24"/>
        </w:rPr>
        <w:t xml:space="preserve"> comprises entre 30 et 80% (Ekesi et al., 2006 ; Vayssières et al., 2009). Quant à B. cucurbitae signalé récemment en Afrique de l’Ouest et au Togo (Vayssières et al., 2007), il attaque les Anacardiaceae (Vayssières et al., 2007). Des perspect</w:t>
      </w:r>
      <w:r w:rsidR="006E77C1">
        <w:rPr>
          <w:rFonts w:ascii="Times New Roman" w:hAnsi="Times New Roman" w:cs="Times New Roman"/>
          <w:sz w:val="24"/>
          <w:szCs w:val="24"/>
        </w:rPr>
        <w:t>ives de lutte biologique contre</w:t>
      </w:r>
      <w:r w:rsidRPr="008063D4">
        <w:rPr>
          <w:rFonts w:ascii="Times New Roman" w:hAnsi="Times New Roman" w:cs="Times New Roman"/>
          <w:sz w:val="24"/>
          <w:szCs w:val="24"/>
        </w:rPr>
        <w:t xml:space="preserve"> ces insectes sont en cours d’exploration.</w:t>
      </w:r>
    </w:p>
    <w:p w14:paraId="7483F7B3" w14:textId="77777777" w:rsidR="003D4DBF" w:rsidRDefault="003D4DBF" w:rsidP="003D4DBF">
      <w:pPr>
        <w:spacing w:after="0" w:line="240" w:lineRule="auto"/>
        <w:jc w:val="both"/>
        <w:rPr>
          <w:rFonts w:ascii="Times New Roman" w:hAnsi="Times New Roman" w:cs="Times New Roman"/>
          <w:bCs/>
          <w:sz w:val="24"/>
          <w:szCs w:val="24"/>
        </w:rPr>
      </w:pPr>
    </w:p>
    <w:p w14:paraId="05C28EFC" w14:textId="77777777" w:rsidR="003D4DBF" w:rsidRDefault="003D4DBF" w:rsidP="003D4DBF">
      <w:pPr>
        <w:spacing w:after="0" w:line="240" w:lineRule="auto"/>
        <w:jc w:val="both"/>
        <w:rPr>
          <w:rFonts w:ascii="Times New Roman" w:hAnsi="Times New Roman" w:cs="Times New Roman"/>
          <w:bCs/>
          <w:sz w:val="24"/>
          <w:szCs w:val="24"/>
        </w:rPr>
      </w:pPr>
    </w:p>
    <w:p w14:paraId="1D7D2753" w14:textId="77777777" w:rsidR="006A6E14" w:rsidRDefault="006A6E14" w:rsidP="003D4DBF">
      <w:pPr>
        <w:spacing w:after="0" w:line="240" w:lineRule="auto"/>
        <w:jc w:val="both"/>
        <w:rPr>
          <w:rFonts w:ascii="Times New Roman" w:hAnsi="Times New Roman" w:cs="Times New Roman"/>
          <w:bCs/>
          <w:sz w:val="24"/>
          <w:szCs w:val="24"/>
        </w:rPr>
      </w:pPr>
    </w:p>
    <w:p w14:paraId="21CF95FA" w14:textId="77777777" w:rsidR="006A6E14" w:rsidRDefault="006A6E14" w:rsidP="003D4DBF">
      <w:pPr>
        <w:spacing w:after="0" w:line="240" w:lineRule="auto"/>
        <w:jc w:val="both"/>
        <w:rPr>
          <w:rFonts w:ascii="Times New Roman" w:hAnsi="Times New Roman" w:cs="Times New Roman"/>
          <w:bCs/>
          <w:sz w:val="24"/>
          <w:szCs w:val="24"/>
        </w:rPr>
      </w:pPr>
    </w:p>
    <w:p w14:paraId="33B95C28" w14:textId="77777777" w:rsidR="006A6E14" w:rsidRDefault="006A6E14" w:rsidP="003D4DBF">
      <w:pPr>
        <w:spacing w:after="0" w:line="240" w:lineRule="auto"/>
        <w:jc w:val="both"/>
        <w:rPr>
          <w:rFonts w:ascii="Times New Roman" w:hAnsi="Times New Roman" w:cs="Times New Roman"/>
          <w:bCs/>
          <w:sz w:val="24"/>
          <w:szCs w:val="24"/>
        </w:rPr>
      </w:pPr>
    </w:p>
    <w:p w14:paraId="13F3FDE4" w14:textId="77777777" w:rsidR="003D4DBF" w:rsidRPr="00E056B1" w:rsidRDefault="003D4DBF" w:rsidP="003D4DBF">
      <w:pPr>
        <w:spacing w:after="0" w:line="240" w:lineRule="auto"/>
        <w:jc w:val="both"/>
        <w:rPr>
          <w:rFonts w:ascii="Times New Roman" w:hAnsi="Times New Roman" w:cs="Times New Roman"/>
          <w:bCs/>
          <w:sz w:val="24"/>
          <w:szCs w:val="24"/>
        </w:rPr>
      </w:pPr>
    </w:p>
    <w:p w14:paraId="125FCAFA" w14:textId="77777777" w:rsidR="003D4DBF" w:rsidRPr="00BC689A" w:rsidRDefault="003D4DBF" w:rsidP="00E50666">
      <w:pPr>
        <w:pStyle w:val="Paragraphedeliste"/>
        <w:numPr>
          <w:ilvl w:val="0"/>
          <w:numId w:val="7"/>
        </w:numPr>
        <w:spacing w:after="0" w:line="240" w:lineRule="auto"/>
        <w:jc w:val="both"/>
        <w:rPr>
          <w:rFonts w:ascii="Times New Roman" w:hAnsi="Times New Roman" w:cs="Times New Roman"/>
          <w:b/>
          <w:sz w:val="24"/>
          <w:szCs w:val="24"/>
        </w:rPr>
      </w:pPr>
      <w:r w:rsidRPr="00E056B1">
        <w:rPr>
          <w:rFonts w:ascii="Times New Roman" w:hAnsi="Times New Roman" w:cs="Times New Roman"/>
          <w:b/>
          <w:sz w:val="24"/>
          <w:szCs w:val="24"/>
        </w:rPr>
        <w:t>Exploitation abusive des ressources végétales</w:t>
      </w:r>
    </w:p>
    <w:p w14:paraId="7FFAA6AB" w14:textId="77777777" w:rsidR="003D4DBF" w:rsidRPr="00E056B1" w:rsidRDefault="003D4DBF" w:rsidP="003D4DBF">
      <w:pPr>
        <w:spacing w:after="0" w:line="240" w:lineRule="auto"/>
        <w:jc w:val="both"/>
        <w:rPr>
          <w:rFonts w:ascii="Times New Roman" w:hAnsi="Times New Roman" w:cs="Times New Roman"/>
          <w:bCs/>
          <w:sz w:val="24"/>
          <w:szCs w:val="24"/>
        </w:rPr>
      </w:pPr>
    </w:p>
    <w:p w14:paraId="4DD8E3C2" w14:textId="77777777" w:rsidR="003D4DBF" w:rsidRPr="00E056B1" w:rsidRDefault="003D4DBF" w:rsidP="003D4DBF">
      <w:pPr>
        <w:spacing w:after="0" w:line="240" w:lineRule="auto"/>
        <w:jc w:val="both"/>
        <w:rPr>
          <w:rFonts w:ascii="Times New Roman" w:hAnsi="Times New Roman" w:cs="Times New Roman"/>
          <w:color w:val="000000"/>
          <w:sz w:val="24"/>
          <w:szCs w:val="24"/>
        </w:rPr>
      </w:pPr>
      <w:r w:rsidRPr="00E056B1">
        <w:rPr>
          <w:rFonts w:ascii="Times New Roman" w:hAnsi="Times New Roman" w:cs="Times New Roman"/>
          <w:sz w:val="24"/>
          <w:szCs w:val="24"/>
        </w:rPr>
        <w:t>L’exploitation</w:t>
      </w:r>
      <w:r w:rsidRPr="00E056B1">
        <w:rPr>
          <w:rFonts w:ascii="Times New Roman" w:hAnsi="Times New Roman" w:cs="Times New Roman"/>
          <w:color w:val="000000"/>
          <w:sz w:val="24"/>
          <w:szCs w:val="24"/>
        </w:rPr>
        <w:t xml:space="preserve"> abusive et non contrôlée des ressources végétales dans le but de satisfaire les besoins en combustibles ligneux, en bois d’œuvre et en bois de service constitue également un facteur d’érosion de la biodiversité. La dégradation des formations végétales s’est accélérée dans les régions de la Kara, Centrale et des Plateaux, suite à l’accroissement de la demande en bois de chauffe et de charbon de bois, principale source d’énergie domestique pour 80% de la population.</w:t>
      </w:r>
    </w:p>
    <w:p w14:paraId="14A66A36" w14:textId="77777777" w:rsidR="003D4DBF" w:rsidRPr="00E056B1" w:rsidRDefault="003D4DBF" w:rsidP="003D4DBF">
      <w:pPr>
        <w:spacing w:after="0" w:line="240" w:lineRule="auto"/>
        <w:jc w:val="both"/>
        <w:rPr>
          <w:rFonts w:ascii="Times New Roman" w:hAnsi="Times New Roman" w:cs="Times New Roman"/>
          <w:color w:val="000000"/>
          <w:sz w:val="24"/>
          <w:szCs w:val="24"/>
        </w:rPr>
      </w:pPr>
    </w:p>
    <w:p w14:paraId="4F456033"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color w:val="000000"/>
          <w:sz w:val="24"/>
          <w:szCs w:val="24"/>
        </w:rPr>
        <w:t>Aussi, l</w:t>
      </w:r>
      <w:r w:rsidRPr="00E056B1">
        <w:rPr>
          <w:rFonts w:ascii="Times New Roman" w:hAnsi="Times New Roman" w:cs="Times New Roman"/>
          <w:sz w:val="24"/>
          <w:szCs w:val="24"/>
        </w:rPr>
        <w:t xml:space="preserve">’exploitation irrationnelle des essences pour le bois d’œuvre et de service s’est-elle aggravée ces dernières années suite au commerce de bois d’œuvre avec l’Asie, la Chine en particulier. L’utilisation de la tronçonneuse a vite supplanté les scies manuelles utilisées jusqu’à une époque récente et a contribué à une raréfaction des essences forestières de valeur telles que </w:t>
      </w:r>
      <w:r w:rsidRPr="00E056B1">
        <w:rPr>
          <w:rFonts w:ascii="Times New Roman" w:hAnsi="Times New Roman" w:cs="Times New Roman"/>
          <w:i/>
          <w:sz w:val="24"/>
          <w:szCs w:val="24"/>
        </w:rPr>
        <w:t>Milicia</w:t>
      </w:r>
      <w:r>
        <w:rPr>
          <w:rFonts w:ascii="Times New Roman" w:hAnsi="Times New Roman" w:cs="Times New Roman"/>
          <w:i/>
          <w:sz w:val="24"/>
          <w:szCs w:val="24"/>
        </w:rPr>
        <w:t xml:space="preserve"> </w:t>
      </w:r>
      <w:r w:rsidRPr="00E056B1">
        <w:rPr>
          <w:rFonts w:ascii="Times New Roman" w:hAnsi="Times New Roman" w:cs="Times New Roman"/>
          <w:i/>
          <w:sz w:val="24"/>
          <w:szCs w:val="24"/>
        </w:rPr>
        <w:t>excelsa,</w:t>
      </w:r>
      <w:r>
        <w:rPr>
          <w:rFonts w:ascii="Times New Roman" w:hAnsi="Times New Roman" w:cs="Times New Roman"/>
          <w:i/>
          <w:sz w:val="24"/>
          <w:szCs w:val="24"/>
        </w:rPr>
        <w:t xml:space="preserve"> </w:t>
      </w:r>
      <w:r w:rsidRPr="00E056B1">
        <w:rPr>
          <w:rFonts w:ascii="Times New Roman" w:hAnsi="Times New Roman" w:cs="Times New Roman"/>
          <w:i/>
          <w:sz w:val="24"/>
          <w:szCs w:val="24"/>
        </w:rPr>
        <w:t>Khaya</w:t>
      </w:r>
      <w:r>
        <w:rPr>
          <w:rFonts w:ascii="Times New Roman" w:hAnsi="Times New Roman" w:cs="Times New Roman"/>
          <w:i/>
          <w:sz w:val="24"/>
          <w:szCs w:val="24"/>
        </w:rPr>
        <w:t xml:space="preserve"> </w:t>
      </w:r>
      <w:r w:rsidRPr="00E056B1">
        <w:rPr>
          <w:rFonts w:ascii="Times New Roman" w:hAnsi="Times New Roman" w:cs="Times New Roman"/>
          <w:i/>
          <w:sz w:val="24"/>
          <w:szCs w:val="24"/>
        </w:rPr>
        <w:t>grandifoliola, Khaya</w:t>
      </w:r>
      <w:r>
        <w:rPr>
          <w:rFonts w:ascii="Times New Roman" w:hAnsi="Times New Roman" w:cs="Times New Roman"/>
          <w:i/>
          <w:sz w:val="24"/>
          <w:szCs w:val="24"/>
        </w:rPr>
        <w:t xml:space="preserve"> </w:t>
      </w:r>
      <w:r w:rsidRPr="00E056B1">
        <w:rPr>
          <w:rFonts w:ascii="Times New Roman" w:hAnsi="Times New Roman" w:cs="Times New Roman"/>
          <w:i/>
          <w:sz w:val="24"/>
          <w:szCs w:val="24"/>
        </w:rPr>
        <w:t>senegalensis</w:t>
      </w:r>
      <w:r w:rsidRPr="00E056B1">
        <w:rPr>
          <w:rFonts w:ascii="Times New Roman" w:hAnsi="Times New Roman" w:cs="Times New Roman"/>
          <w:sz w:val="24"/>
          <w:szCs w:val="24"/>
        </w:rPr>
        <w:t xml:space="preserve">, </w:t>
      </w:r>
      <w:r w:rsidRPr="00E056B1">
        <w:rPr>
          <w:rFonts w:ascii="Times New Roman" w:hAnsi="Times New Roman" w:cs="Times New Roman"/>
          <w:i/>
          <w:sz w:val="24"/>
          <w:szCs w:val="24"/>
        </w:rPr>
        <w:t>Triplochiton</w:t>
      </w:r>
      <w:r>
        <w:rPr>
          <w:rFonts w:ascii="Times New Roman" w:hAnsi="Times New Roman" w:cs="Times New Roman"/>
          <w:i/>
          <w:sz w:val="24"/>
          <w:szCs w:val="24"/>
        </w:rPr>
        <w:t xml:space="preserve"> </w:t>
      </w:r>
      <w:r w:rsidRPr="00E056B1">
        <w:rPr>
          <w:rFonts w:ascii="Times New Roman" w:hAnsi="Times New Roman" w:cs="Times New Roman"/>
          <w:i/>
          <w:sz w:val="24"/>
          <w:szCs w:val="24"/>
        </w:rPr>
        <w:t>scleroxylon…</w:t>
      </w:r>
      <w:r w:rsidRPr="00E056B1">
        <w:rPr>
          <w:rFonts w:ascii="Times New Roman" w:hAnsi="Times New Roman" w:cs="Times New Roman"/>
          <w:sz w:val="24"/>
          <w:szCs w:val="24"/>
        </w:rPr>
        <w:t xml:space="preserve"> Or les rendements moyens obtenus avec cette technique sont très faible</w:t>
      </w:r>
      <w:r>
        <w:rPr>
          <w:rFonts w:ascii="Times New Roman" w:hAnsi="Times New Roman" w:cs="Times New Roman"/>
          <w:sz w:val="24"/>
          <w:szCs w:val="24"/>
        </w:rPr>
        <w:t>s</w:t>
      </w:r>
      <w:r w:rsidRPr="00E056B1">
        <w:rPr>
          <w:rFonts w:ascii="Times New Roman" w:hAnsi="Times New Roman" w:cs="Times New Roman"/>
          <w:sz w:val="24"/>
          <w:szCs w:val="24"/>
        </w:rPr>
        <w:t xml:space="preserve">, environ 11% (Akpoto, 2011). </w:t>
      </w:r>
      <w:r w:rsidRPr="00E056B1">
        <w:rPr>
          <w:rFonts w:ascii="Times New Roman" w:hAnsi="Times New Roman" w:cs="Times New Roman"/>
          <w:bCs/>
          <w:sz w:val="24"/>
          <w:szCs w:val="24"/>
        </w:rPr>
        <w:t xml:space="preserve">Aujourd’hui, le bois d’œuvre qui provient de la zone forestière est devenu très rare et son approvisionnement à partir des pays voisins devient au jour le jour plus important. </w:t>
      </w:r>
      <w:r w:rsidRPr="00E056B1">
        <w:rPr>
          <w:rFonts w:ascii="Times New Roman" w:hAnsi="Times New Roman" w:cs="Times New Roman"/>
          <w:sz w:val="24"/>
          <w:szCs w:val="24"/>
        </w:rPr>
        <w:t>Ces pratiques sont des causes primordiales de la destruction des habitats de la faune sauvage et de l’érosion de la diversité animale et végétale.</w:t>
      </w:r>
    </w:p>
    <w:p w14:paraId="3388626A" w14:textId="77777777" w:rsidR="003D4DBF" w:rsidRPr="00E056B1" w:rsidRDefault="003D4DBF" w:rsidP="003D4DBF">
      <w:pPr>
        <w:spacing w:after="0" w:line="240" w:lineRule="auto"/>
        <w:ind w:left="57"/>
        <w:jc w:val="both"/>
        <w:rPr>
          <w:rFonts w:ascii="Times New Roman" w:hAnsi="Times New Roman" w:cs="Times New Roman"/>
          <w:sz w:val="24"/>
          <w:szCs w:val="24"/>
        </w:rPr>
      </w:pPr>
    </w:p>
    <w:p w14:paraId="123446D7" w14:textId="77777777" w:rsidR="003D4DBF" w:rsidRPr="00E056B1" w:rsidRDefault="003D4DBF" w:rsidP="003D4DBF">
      <w:pPr>
        <w:spacing w:after="0" w:line="240" w:lineRule="auto"/>
        <w:ind w:left="57"/>
        <w:jc w:val="both"/>
        <w:rPr>
          <w:rFonts w:ascii="Times New Roman" w:hAnsi="Times New Roman" w:cs="Times New Roman"/>
          <w:sz w:val="24"/>
          <w:szCs w:val="24"/>
        </w:rPr>
      </w:pPr>
      <w:r w:rsidRPr="00E056B1">
        <w:rPr>
          <w:rFonts w:ascii="Times New Roman" w:hAnsi="Times New Roman" w:cs="Times New Roman"/>
          <w:sz w:val="24"/>
          <w:szCs w:val="24"/>
        </w:rPr>
        <w:t xml:space="preserve">En outre, la fabrication du charbon de bois, avec l’abattage anarchique des arbres, est une activité qui prend de l’ampleur et qui occupe les riverains surtout en saison sèche. Les espèces végétales les plus utilisées à cet effet sont </w:t>
      </w:r>
      <w:r w:rsidRPr="00E056B1">
        <w:rPr>
          <w:rFonts w:ascii="Times New Roman" w:hAnsi="Times New Roman" w:cs="Times New Roman"/>
          <w:i/>
          <w:iCs/>
          <w:sz w:val="24"/>
          <w:szCs w:val="24"/>
        </w:rPr>
        <w:t>Prosopis africana</w:t>
      </w:r>
      <w:r w:rsidRPr="00E056B1">
        <w:rPr>
          <w:rFonts w:ascii="Times New Roman" w:hAnsi="Times New Roman" w:cs="Times New Roman"/>
          <w:sz w:val="24"/>
          <w:szCs w:val="24"/>
        </w:rPr>
        <w:t xml:space="preserve">, </w:t>
      </w:r>
      <w:r w:rsidRPr="00E056B1">
        <w:rPr>
          <w:rFonts w:ascii="Times New Roman" w:hAnsi="Times New Roman" w:cs="Times New Roman"/>
          <w:i/>
          <w:iCs/>
          <w:sz w:val="24"/>
          <w:szCs w:val="24"/>
        </w:rPr>
        <w:t>Anogeisus</w:t>
      </w:r>
      <w:r>
        <w:rPr>
          <w:rFonts w:ascii="Times New Roman" w:hAnsi="Times New Roman" w:cs="Times New Roman"/>
          <w:i/>
          <w:iCs/>
          <w:sz w:val="24"/>
          <w:szCs w:val="24"/>
        </w:rPr>
        <w:t xml:space="preserve"> </w:t>
      </w:r>
      <w:r w:rsidRPr="00E056B1">
        <w:rPr>
          <w:rFonts w:ascii="Times New Roman" w:hAnsi="Times New Roman" w:cs="Times New Roman"/>
          <w:i/>
          <w:iCs/>
          <w:sz w:val="24"/>
          <w:szCs w:val="24"/>
        </w:rPr>
        <w:t>leiocarpus</w:t>
      </w:r>
      <w:r w:rsidRPr="00E056B1">
        <w:rPr>
          <w:rFonts w:ascii="Times New Roman" w:hAnsi="Times New Roman" w:cs="Times New Roman"/>
          <w:sz w:val="24"/>
          <w:szCs w:val="24"/>
        </w:rPr>
        <w:t xml:space="preserve">, </w:t>
      </w:r>
      <w:r w:rsidRPr="00E056B1">
        <w:rPr>
          <w:rFonts w:ascii="Times New Roman" w:hAnsi="Times New Roman" w:cs="Times New Roman"/>
          <w:i/>
          <w:iCs/>
          <w:sz w:val="24"/>
          <w:szCs w:val="24"/>
        </w:rPr>
        <w:t>Pterocarpus</w:t>
      </w:r>
      <w:r>
        <w:rPr>
          <w:rFonts w:ascii="Times New Roman" w:hAnsi="Times New Roman" w:cs="Times New Roman"/>
          <w:i/>
          <w:iCs/>
          <w:sz w:val="24"/>
          <w:szCs w:val="24"/>
        </w:rPr>
        <w:t xml:space="preserve"> </w:t>
      </w:r>
      <w:r w:rsidRPr="00E056B1">
        <w:rPr>
          <w:rFonts w:ascii="Times New Roman" w:hAnsi="Times New Roman" w:cs="Times New Roman"/>
          <w:i/>
          <w:iCs/>
          <w:sz w:val="24"/>
          <w:szCs w:val="24"/>
        </w:rPr>
        <w:t>erinaceus</w:t>
      </w:r>
      <w:r w:rsidRPr="00E056B1">
        <w:rPr>
          <w:rFonts w:ascii="Times New Roman" w:hAnsi="Times New Roman" w:cs="Times New Roman"/>
          <w:sz w:val="24"/>
          <w:szCs w:val="24"/>
        </w:rPr>
        <w:t xml:space="preserve">, </w:t>
      </w:r>
      <w:r w:rsidRPr="00E056B1">
        <w:rPr>
          <w:rFonts w:ascii="Times New Roman" w:hAnsi="Times New Roman" w:cs="Times New Roman"/>
          <w:i/>
          <w:iCs/>
          <w:sz w:val="24"/>
          <w:szCs w:val="24"/>
        </w:rPr>
        <w:t>Terminalia</w:t>
      </w:r>
      <w:r>
        <w:rPr>
          <w:rFonts w:ascii="Times New Roman" w:hAnsi="Times New Roman" w:cs="Times New Roman"/>
          <w:i/>
          <w:iCs/>
          <w:sz w:val="24"/>
          <w:szCs w:val="24"/>
        </w:rPr>
        <w:t xml:space="preserve"> </w:t>
      </w:r>
      <w:r w:rsidRPr="00E056B1">
        <w:rPr>
          <w:rFonts w:ascii="Times New Roman" w:hAnsi="Times New Roman" w:cs="Times New Roman"/>
          <w:iCs/>
          <w:sz w:val="24"/>
          <w:szCs w:val="24"/>
        </w:rPr>
        <w:t>spp</w:t>
      </w:r>
      <w:r w:rsidRPr="00E056B1">
        <w:rPr>
          <w:rFonts w:ascii="Times New Roman" w:hAnsi="Times New Roman" w:cs="Times New Roman"/>
          <w:i/>
          <w:iCs/>
          <w:sz w:val="24"/>
          <w:szCs w:val="24"/>
        </w:rPr>
        <w:t>.</w:t>
      </w:r>
      <w:r w:rsidRPr="00E056B1">
        <w:rPr>
          <w:rFonts w:ascii="Times New Roman" w:hAnsi="Times New Roman" w:cs="Times New Roman"/>
          <w:sz w:val="24"/>
          <w:szCs w:val="24"/>
        </w:rPr>
        <w:t>,</w:t>
      </w:r>
      <w:r>
        <w:rPr>
          <w:rFonts w:ascii="Times New Roman" w:hAnsi="Times New Roman" w:cs="Times New Roman"/>
          <w:sz w:val="24"/>
          <w:szCs w:val="24"/>
        </w:rPr>
        <w:t xml:space="preserve"> </w:t>
      </w:r>
      <w:r w:rsidRPr="00E056B1">
        <w:rPr>
          <w:rFonts w:ascii="Times New Roman" w:hAnsi="Times New Roman" w:cs="Times New Roman"/>
          <w:i/>
          <w:iCs/>
          <w:sz w:val="24"/>
          <w:szCs w:val="24"/>
        </w:rPr>
        <w:t>Khaya</w:t>
      </w:r>
      <w:r>
        <w:rPr>
          <w:rFonts w:ascii="Times New Roman" w:hAnsi="Times New Roman" w:cs="Times New Roman"/>
          <w:i/>
          <w:iCs/>
          <w:sz w:val="24"/>
          <w:szCs w:val="24"/>
        </w:rPr>
        <w:t xml:space="preserve"> </w:t>
      </w:r>
      <w:r w:rsidRPr="00E056B1">
        <w:rPr>
          <w:rFonts w:ascii="Times New Roman" w:hAnsi="Times New Roman" w:cs="Times New Roman"/>
          <w:i/>
          <w:iCs/>
          <w:sz w:val="24"/>
          <w:szCs w:val="24"/>
        </w:rPr>
        <w:t>senegalensis</w:t>
      </w:r>
      <w:r w:rsidRPr="00E056B1">
        <w:rPr>
          <w:rFonts w:ascii="Times New Roman" w:hAnsi="Times New Roman" w:cs="Times New Roman"/>
          <w:sz w:val="24"/>
          <w:szCs w:val="24"/>
        </w:rPr>
        <w:t xml:space="preserve">. Ces espèces sont également utilisées pour le bois de chauffe du fait de leur qualité énergétique. L’effet néfaste de la carbonisation sur l’environnement ne se limite pas à la coupe du bois; les techniques de carbonisation utilisées y contribuent grandement. Ces techniques restent encore archaïques au Togo (MEMEPT, 2002) et elles consistent en une combustion partielle des rondins dans des meules traditionnelles (Naughton-Treves, 2007), avec un rendement d’environ 10 à 18% (Fontodji et al., 2011). Le charbonnage à lui seul entraîne un taux de déforestation de l’ordre de </w:t>
      </w:r>
      <w:smartTag w:uri="urn:schemas-microsoft-com:office:smarttags" w:element="metricconverter">
        <w:smartTagPr>
          <w:attr w:name="ProductID" w:val="5000 hectares"/>
        </w:smartTagPr>
        <w:r w:rsidRPr="00E056B1">
          <w:rPr>
            <w:rFonts w:ascii="Times New Roman" w:hAnsi="Times New Roman" w:cs="Times New Roman"/>
            <w:sz w:val="24"/>
            <w:szCs w:val="24"/>
          </w:rPr>
          <w:t>5000 hectares</w:t>
        </w:r>
      </w:smartTag>
      <w:r w:rsidRPr="00E056B1">
        <w:rPr>
          <w:rFonts w:ascii="Times New Roman" w:hAnsi="Times New Roman" w:cs="Times New Roman"/>
          <w:sz w:val="24"/>
          <w:szCs w:val="24"/>
        </w:rPr>
        <w:t xml:space="preserve"> par an au Togo, soit 0,5% de la superficie totale des forêts (MEMEPT, 2002) et les espèces préférentiellement utilisées sont menacées de disparition (Kokou et </w:t>
      </w:r>
      <w:r w:rsidRPr="00E056B1">
        <w:rPr>
          <w:rFonts w:ascii="Times New Roman" w:hAnsi="Times New Roman" w:cs="Times New Roman"/>
          <w:i/>
          <w:sz w:val="24"/>
          <w:szCs w:val="24"/>
        </w:rPr>
        <w:t>al</w:t>
      </w:r>
      <w:r w:rsidRPr="00E056B1">
        <w:rPr>
          <w:rFonts w:ascii="Times New Roman" w:hAnsi="Times New Roman" w:cs="Times New Roman"/>
          <w:sz w:val="24"/>
          <w:szCs w:val="24"/>
        </w:rPr>
        <w:t>., 2009; Atsri, 2009; Fontodji et al., 2011; Tagba, 2013).</w:t>
      </w:r>
    </w:p>
    <w:p w14:paraId="7A8E60C5" w14:textId="77777777" w:rsidR="003D4DBF" w:rsidRPr="00E056B1" w:rsidRDefault="003D4DBF" w:rsidP="003D4DBF">
      <w:pPr>
        <w:spacing w:after="0" w:line="240" w:lineRule="auto"/>
        <w:jc w:val="both"/>
        <w:rPr>
          <w:rFonts w:ascii="Times New Roman" w:hAnsi="Times New Roman" w:cs="Times New Roman"/>
          <w:bCs/>
          <w:sz w:val="24"/>
          <w:szCs w:val="24"/>
        </w:rPr>
      </w:pPr>
    </w:p>
    <w:p w14:paraId="43236E63" w14:textId="77777777" w:rsidR="003D4DBF" w:rsidRPr="00BC689A" w:rsidRDefault="003D4DBF" w:rsidP="00E50666">
      <w:pPr>
        <w:pStyle w:val="Paragraphedeliste"/>
        <w:numPr>
          <w:ilvl w:val="0"/>
          <w:numId w:val="7"/>
        </w:numPr>
        <w:spacing w:after="0" w:line="240" w:lineRule="auto"/>
        <w:jc w:val="both"/>
        <w:rPr>
          <w:rFonts w:ascii="Times New Roman" w:hAnsi="Times New Roman" w:cs="Times New Roman"/>
          <w:b/>
          <w:sz w:val="24"/>
          <w:szCs w:val="24"/>
        </w:rPr>
      </w:pPr>
      <w:r w:rsidRPr="00A56CCD">
        <w:rPr>
          <w:rFonts w:ascii="Times New Roman" w:hAnsi="Times New Roman" w:cs="Times New Roman"/>
          <w:b/>
          <w:sz w:val="24"/>
          <w:szCs w:val="24"/>
        </w:rPr>
        <w:t>Menaces spécifiques pour les espèces de faune</w:t>
      </w:r>
    </w:p>
    <w:p w14:paraId="414E9984" w14:textId="77777777" w:rsidR="003D4DBF" w:rsidRPr="00E056B1" w:rsidRDefault="003D4DBF" w:rsidP="003D4DBF">
      <w:pPr>
        <w:spacing w:after="0" w:line="240" w:lineRule="auto"/>
        <w:jc w:val="both"/>
        <w:rPr>
          <w:rFonts w:ascii="Times New Roman" w:hAnsi="Times New Roman" w:cs="Times New Roman"/>
          <w:bCs/>
          <w:sz w:val="24"/>
          <w:szCs w:val="24"/>
        </w:rPr>
      </w:pPr>
    </w:p>
    <w:p w14:paraId="7F6436B7" w14:textId="77777777" w:rsidR="003D4DBF" w:rsidRPr="00E056B1" w:rsidRDefault="003D4DBF" w:rsidP="003D4DBF">
      <w:pPr>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L</w:t>
      </w:r>
      <w:r w:rsidRPr="00E056B1">
        <w:rPr>
          <w:rFonts w:ascii="Times New Roman" w:hAnsi="Times New Roman" w:cs="Times New Roman"/>
          <w:sz w:val="24"/>
          <w:szCs w:val="24"/>
        </w:rPr>
        <w:t xml:space="preserve">e braconnage a provoqué la disparition ou la raréfaction de nombreuses espèces au Togo. </w:t>
      </w:r>
      <w:r w:rsidRPr="00E056B1">
        <w:rPr>
          <w:rFonts w:ascii="Times New Roman" w:hAnsi="Times New Roman" w:cs="Times New Roman"/>
          <w:color w:val="000000"/>
          <w:spacing w:val="1"/>
          <w:sz w:val="24"/>
          <w:szCs w:val="24"/>
        </w:rPr>
        <w:t xml:space="preserve">En effet, la faune togolaise a connu une forte réduction de la population de plusieurs espèces surtout chez les grands mammifères au cours de ces vingt dernières années. </w:t>
      </w:r>
      <w:r w:rsidRPr="00E056B1">
        <w:rPr>
          <w:rFonts w:ascii="Times New Roman" w:hAnsi="Times New Roman" w:cs="Times New Roman"/>
          <w:sz w:val="24"/>
          <w:szCs w:val="24"/>
        </w:rPr>
        <w:t>Plusieurs espèces de vertébrés naguère communes et très abondantes au Togo sont devenues très rares ou sont extirpées en raison de leur surexploitation</w:t>
      </w:r>
      <w:r w:rsidRPr="00E056B1">
        <w:rPr>
          <w:rFonts w:ascii="Times New Roman" w:hAnsi="Times New Roman" w:cs="Times New Roman"/>
          <w:color w:val="000000"/>
          <w:sz w:val="24"/>
          <w:szCs w:val="24"/>
        </w:rPr>
        <w:t>.</w:t>
      </w:r>
      <w:r w:rsidRPr="00E056B1">
        <w:rPr>
          <w:rFonts w:ascii="Times New Roman" w:hAnsi="Times New Roman" w:cs="Times New Roman"/>
          <w:color w:val="000000"/>
          <w:spacing w:val="1"/>
          <w:sz w:val="24"/>
          <w:szCs w:val="24"/>
        </w:rPr>
        <w:t>Par exemple, la population des éléphants qui était à 250 individus en 1990 (</w:t>
      </w:r>
      <w:r w:rsidRPr="00E056B1">
        <w:rPr>
          <w:rFonts w:ascii="Times New Roman" w:hAnsi="Times New Roman" w:cs="Times New Roman"/>
          <w:color w:val="000000"/>
          <w:spacing w:val="4"/>
          <w:sz w:val="24"/>
          <w:szCs w:val="24"/>
        </w:rPr>
        <w:t>UICN/GSEAF, 1995) est réduite aujourd'hui à près de 150 individus (Franz Weber, 2013</w:t>
      </w:r>
      <w:r w:rsidRPr="00E056B1">
        <w:rPr>
          <w:rFonts w:ascii="Times New Roman" w:hAnsi="Times New Roman" w:cs="Times New Roman"/>
          <w:color w:val="000000"/>
          <w:spacing w:val="-1"/>
          <w:sz w:val="24"/>
          <w:szCs w:val="24"/>
        </w:rPr>
        <w:t xml:space="preserve">). Dans les zones de distribution permanente d'éléphants, on observe des incursions saisonnières à l'exemple du parc national Oti-Kéran. Les éléphants ont complètement disparu du parc national </w:t>
      </w:r>
      <w:r w:rsidRPr="00E056B1">
        <w:rPr>
          <w:rFonts w:ascii="Times New Roman" w:hAnsi="Times New Roman" w:cs="Times New Roman"/>
          <w:color w:val="000000"/>
          <w:sz w:val="24"/>
          <w:szCs w:val="24"/>
        </w:rPr>
        <w:t xml:space="preserve">de la Fosse aux Lions. Certaines espèces des grands prédateurs </w:t>
      </w:r>
      <w:r w:rsidRPr="00E056B1">
        <w:rPr>
          <w:rFonts w:ascii="Times New Roman" w:hAnsi="Times New Roman" w:cs="Times New Roman"/>
          <w:i/>
          <w:iCs/>
          <w:color w:val="000000"/>
          <w:sz w:val="24"/>
          <w:szCs w:val="24"/>
        </w:rPr>
        <w:t xml:space="preserve">(Panthera leo, P. pardus, </w:t>
      </w:r>
      <w:r w:rsidRPr="00E056B1">
        <w:rPr>
          <w:rFonts w:ascii="Times New Roman" w:hAnsi="Times New Roman" w:cs="Times New Roman"/>
          <w:color w:val="000000"/>
          <w:sz w:val="24"/>
          <w:szCs w:val="24"/>
        </w:rPr>
        <w:t>etc.) ont complètement disparues des aires protégées du Togo.</w:t>
      </w:r>
    </w:p>
    <w:p w14:paraId="4293FB8C" w14:textId="77777777" w:rsidR="003D4DBF" w:rsidRPr="00E056B1" w:rsidRDefault="003D4DBF" w:rsidP="003D4DBF">
      <w:pPr>
        <w:spacing w:after="0" w:line="240" w:lineRule="auto"/>
        <w:jc w:val="both"/>
        <w:rPr>
          <w:rFonts w:ascii="Times New Roman" w:hAnsi="Times New Roman" w:cs="Times New Roman"/>
          <w:color w:val="000000"/>
          <w:sz w:val="24"/>
          <w:szCs w:val="24"/>
        </w:rPr>
      </w:pPr>
    </w:p>
    <w:p w14:paraId="42260772" w14:textId="432FD664"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color w:val="000000"/>
          <w:sz w:val="24"/>
          <w:szCs w:val="24"/>
        </w:rPr>
        <w:t xml:space="preserve">Les espèces de mammifères herbivores </w:t>
      </w:r>
      <w:r w:rsidRPr="00E056B1">
        <w:rPr>
          <w:rFonts w:ascii="Times New Roman" w:hAnsi="Times New Roman" w:cs="Times New Roman"/>
          <w:sz w:val="24"/>
          <w:szCs w:val="24"/>
        </w:rPr>
        <w:t xml:space="preserve">appartenant aux </w:t>
      </w:r>
      <w:r w:rsidRPr="00E056B1">
        <w:rPr>
          <w:rFonts w:ascii="Times New Roman" w:hAnsi="Times New Roman" w:cs="Times New Roman"/>
          <w:color w:val="000000"/>
          <w:sz w:val="24"/>
          <w:szCs w:val="24"/>
        </w:rPr>
        <w:t xml:space="preserve">genres </w:t>
      </w:r>
      <w:r w:rsidRPr="00E056B1">
        <w:rPr>
          <w:rFonts w:ascii="Times New Roman" w:hAnsi="Times New Roman" w:cs="Times New Roman"/>
          <w:i/>
          <w:iCs/>
          <w:color w:val="000000"/>
          <w:sz w:val="24"/>
          <w:szCs w:val="24"/>
        </w:rPr>
        <w:t xml:space="preserve">Cephalophus, Alcelaphus, Kobus, Syncerus, Hippotragus, Tragelaphus, </w:t>
      </w:r>
      <w:r w:rsidRPr="00E056B1">
        <w:rPr>
          <w:rFonts w:ascii="Times New Roman" w:hAnsi="Times New Roman" w:cs="Times New Roman"/>
          <w:sz w:val="24"/>
          <w:szCs w:val="24"/>
        </w:rPr>
        <w:t xml:space="preserve">de même que le </w:t>
      </w:r>
      <w:r w:rsidRPr="00E056B1">
        <w:rPr>
          <w:rStyle w:val="st"/>
          <w:rFonts w:ascii="Times New Roman" w:hAnsi="Times New Roman" w:cs="Times New Roman"/>
          <w:i/>
          <w:sz w:val="24"/>
          <w:szCs w:val="24"/>
        </w:rPr>
        <w:t>Panthera Leo</w:t>
      </w:r>
      <w:r w:rsidRPr="00E056B1">
        <w:rPr>
          <w:rStyle w:val="st"/>
          <w:rFonts w:ascii="Times New Roman" w:hAnsi="Times New Roman" w:cs="Times New Roman"/>
          <w:sz w:val="24"/>
          <w:szCs w:val="24"/>
        </w:rPr>
        <w:t xml:space="preserve"> (</w:t>
      </w:r>
      <w:r w:rsidRPr="00E056B1">
        <w:rPr>
          <w:rFonts w:ascii="Times New Roman" w:hAnsi="Times New Roman" w:cs="Times New Roman"/>
          <w:iCs/>
          <w:color w:val="000000"/>
          <w:sz w:val="24"/>
          <w:szCs w:val="24"/>
        </w:rPr>
        <w:t>Lion)</w:t>
      </w:r>
      <w:r w:rsidRPr="00E056B1">
        <w:rPr>
          <w:rFonts w:ascii="Times New Roman" w:hAnsi="Times New Roman" w:cs="Times New Roman"/>
          <w:i/>
          <w:iCs/>
          <w:color w:val="000000"/>
          <w:sz w:val="24"/>
          <w:szCs w:val="24"/>
        </w:rPr>
        <w:t xml:space="preserve">, </w:t>
      </w:r>
      <w:r w:rsidRPr="00E056B1">
        <w:rPr>
          <w:rFonts w:ascii="Times New Roman" w:hAnsi="Times New Roman" w:cs="Times New Roman"/>
          <w:iCs/>
          <w:color w:val="000000"/>
          <w:sz w:val="24"/>
          <w:szCs w:val="24"/>
        </w:rPr>
        <w:t>le chimpanzé (</w:t>
      </w:r>
      <w:r w:rsidRPr="00E056B1">
        <w:rPr>
          <w:rStyle w:val="Accentuation"/>
          <w:rFonts w:ascii="Times New Roman" w:hAnsi="Times New Roman" w:cs="Times New Roman"/>
          <w:sz w:val="24"/>
          <w:szCs w:val="24"/>
        </w:rPr>
        <w:t>Pan troglodytes</w:t>
      </w:r>
      <w:r w:rsidRPr="00E056B1">
        <w:rPr>
          <w:rFonts w:ascii="Times New Roman" w:hAnsi="Times New Roman" w:cs="Times New Roman"/>
          <w:iCs/>
          <w:color w:val="000000"/>
          <w:sz w:val="24"/>
          <w:szCs w:val="24"/>
        </w:rPr>
        <w:t>),</w:t>
      </w:r>
      <w:r w:rsidRPr="00E056B1">
        <w:rPr>
          <w:rFonts w:ascii="Times New Roman" w:hAnsi="Times New Roman" w:cs="Times New Roman"/>
          <w:color w:val="000000"/>
          <w:sz w:val="24"/>
          <w:szCs w:val="24"/>
        </w:rPr>
        <w:t xml:space="preserve">etc, et </w:t>
      </w:r>
      <w:r w:rsidRPr="00E056B1">
        <w:rPr>
          <w:rFonts w:ascii="Times New Roman" w:hAnsi="Times New Roman" w:cs="Times New Roman"/>
          <w:sz w:val="24"/>
          <w:szCs w:val="24"/>
        </w:rPr>
        <w:t>du bongo (</w:t>
      </w:r>
      <w:r w:rsidRPr="00E056B1">
        <w:rPr>
          <w:rFonts w:ascii="Times New Roman" w:hAnsi="Times New Roman" w:cs="Times New Roman"/>
          <w:i/>
          <w:iCs/>
          <w:sz w:val="24"/>
          <w:szCs w:val="24"/>
        </w:rPr>
        <w:t>Tragelaphus</w:t>
      </w:r>
      <w:r w:rsidR="007E2155">
        <w:rPr>
          <w:rFonts w:ascii="Times New Roman" w:hAnsi="Times New Roman" w:cs="Times New Roman"/>
          <w:i/>
          <w:iCs/>
          <w:sz w:val="24"/>
          <w:szCs w:val="24"/>
        </w:rPr>
        <w:t xml:space="preserve"> </w:t>
      </w:r>
      <w:r w:rsidRPr="00E056B1">
        <w:rPr>
          <w:rFonts w:ascii="Times New Roman" w:hAnsi="Times New Roman" w:cs="Times New Roman"/>
          <w:i/>
          <w:iCs/>
          <w:sz w:val="24"/>
          <w:szCs w:val="24"/>
        </w:rPr>
        <w:t>eurycerus</w:t>
      </w:r>
      <w:r w:rsidRPr="00E056B1">
        <w:rPr>
          <w:rFonts w:ascii="Times New Roman" w:hAnsi="Times New Roman" w:cs="Times New Roman"/>
          <w:sz w:val="24"/>
          <w:szCs w:val="24"/>
        </w:rPr>
        <w:t xml:space="preserve">) </w:t>
      </w:r>
      <w:r w:rsidRPr="00E056B1">
        <w:rPr>
          <w:rFonts w:ascii="Times New Roman" w:hAnsi="Times New Roman" w:cs="Times New Roman"/>
          <w:color w:val="000000"/>
          <w:sz w:val="24"/>
          <w:szCs w:val="24"/>
        </w:rPr>
        <w:t xml:space="preserve">ont connu une réduction drastique de leurs populations ou ont complètement disparu. </w:t>
      </w:r>
      <w:r w:rsidRPr="00E056B1">
        <w:rPr>
          <w:rFonts w:ascii="Times New Roman" w:hAnsi="Times New Roman" w:cs="Times New Roman"/>
          <w:sz w:val="24"/>
          <w:szCs w:val="24"/>
        </w:rPr>
        <w:t>En dépit de la réduction du potentiel faunique disponible due notamment à la disparition des habitats, la faune sauvage constitue malheureusement, encore de nos jours, une part importante de l’apport protéique pour une grande partie de la population rurale.</w:t>
      </w:r>
    </w:p>
    <w:p w14:paraId="47F8753C" w14:textId="77777777" w:rsidR="003D4DBF" w:rsidRPr="00E056B1" w:rsidRDefault="003D4DBF" w:rsidP="003D4DBF">
      <w:pPr>
        <w:spacing w:after="0" w:line="240" w:lineRule="auto"/>
        <w:jc w:val="both"/>
        <w:rPr>
          <w:rFonts w:ascii="Times New Roman" w:hAnsi="Times New Roman" w:cs="Times New Roman"/>
          <w:sz w:val="24"/>
          <w:szCs w:val="24"/>
        </w:rPr>
      </w:pPr>
    </w:p>
    <w:p w14:paraId="21B649F4" w14:textId="035BC97F"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En outre, il n’existe pas un mécanisme de suivi pour les espèces endémiques du pays, en particulier pour les trois espèces endémiques signalées au Togo, parmi lesquelles l’escargot géant (</w:t>
      </w:r>
      <w:r w:rsidRPr="00E056B1">
        <w:rPr>
          <w:rFonts w:ascii="Times New Roman" w:hAnsi="Times New Roman" w:cs="Times New Roman"/>
          <w:i/>
          <w:iCs/>
          <w:sz w:val="24"/>
          <w:szCs w:val="24"/>
        </w:rPr>
        <w:t>Achatina</w:t>
      </w:r>
      <w:r w:rsidR="007E2155">
        <w:rPr>
          <w:rFonts w:ascii="Times New Roman" w:hAnsi="Times New Roman" w:cs="Times New Roman"/>
          <w:i/>
          <w:iCs/>
          <w:sz w:val="24"/>
          <w:szCs w:val="24"/>
        </w:rPr>
        <w:t xml:space="preserve"> </w:t>
      </w:r>
      <w:r w:rsidRPr="00E056B1">
        <w:rPr>
          <w:rFonts w:ascii="Times New Roman" w:hAnsi="Times New Roman" w:cs="Times New Roman"/>
          <w:i/>
          <w:iCs/>
          <w:sz w:val="24"/>
          <w:szCs w:val="24"/>
        </w:rPr>
        <w:t xml:space="preserve">togoensis, </w:t>
      </w:r>
      <w:r w:rsidRPr="00E056B1">
        <w:rPr>
          <w:rFonts w:ascii="Times New Roman" w:hAnsi="Times New Roman" w:cs="Times New Roman"/>
          <w:iCs/>
          <w:sz w:val="24"/>
          <w:szCs w:val="24"/>
        </w:rPr>
        <w:t>Mollusque</w:t>
      </w:r>
      <w:r w:rsidRPr="00E056B1">
        <w:rPr>
          <w:rFonts w:ascii="Times New Roman" w:hAnsi="Times New Roman" w:cs="Times New Roman"/>
          <w:sz w:val="24"/>
          <w:szCs w:val="24"/>
        </w:rPr>
        <w:t xml:space="preserve">) dans le massif d’Adélé et 2 Amphibiens </w:t>
      </w:r>
      <w:r w:rsidRPr="00E056B1">
        <w:rPr>
          <w:rFonts w:ascii="Times New Roman" w:hAnsi="Times New Roman" w:cs="Times New Roman"/>
          <w:i/>
          <w:iCs/>
          <w:sz w:val="24"/>
          <w:szCs w:val="24"/>
        </w:rPr>
        <w:t>Conrauaderooi</w:t>
      </w:r>
      <w:r w:rsidRPr="00E056B1">
        <w:rPr>
          <w:rFonts w:ascii="Times New Roman" w:hAnsi="Times New Roman" w:cs="Times New Roman"/>
          <w:sz w:val="24"/>
          <w:szCs w:val="24"/>
        </w:rPr>
        <w:t xml:space="preserve"> dans les forêts semi-décidues du Kloto (Région des Plateaux), </w:t>
      </w:r>
      <w:r w:rsidRPr="00E056B1">
        <w:rPr>
          <w:rFonts w:ascii="Times New Roman" w:hAnsi="Times New Roman" w:cs="Times New Roman"/>
          <w:i/>
          <w:iCs/>
          <w:sz w:val="24"/>
          <w:szCs w:val="24"/>
        </w:rPr>
        <w:t>Bufo togoensis</w:t>
      </w:r>
      <w:r w:rsidRPr="00E056B1">
        <w:rPr>
          <w:rFonts w:ascii="Times New Roman" w:hAnsi="Times New Roman" w:cs="Times New Roman"/>
          <w:sz w:val="24"/>
          <w:szCs w:val="24"/>
        </w:rPr>
        <w:t xml:space="preserve"> dans le Massif d’Adélé (Région Centrale). C’est de même pour les espèces endémiques à la sous-région (Ghana, Togo, Benin et Nigeria) notamment: une espèce d’Amphibien (</w:t>
      </w:r>
      <w:r w:rsidRPr="00E056B1">
        <w:rPr>
          <w:rFonts w:ascii="Times New Roman" w:hAnsi="Times New Roman" w:cs="Times New Roman"/>
          <w:i/>
          <w:iCs/>
          <w:sz w:val="24"/>
          <w:szCs w:val="24"/>
        </w:rPr>
        <w:t>Aubria</w:t>
      </w:r>
      <w:r w:rsidR="00637F9C">
        <w:rPr>
          <w:rFonts w:ascii="Times New Roman" w:hAnsi="Times New Roman" w:cs="Times New Roman"/>
          <w:i/>
          <w:iCs/>
          <w:sz w:val="24"/>
          <w:szCs w:val="24"/>
        </w:rPr>
        <w:t xml:space="preserve"> sub si</w:t>
      </w:r>
      <w:r w:rsidRPr="00E056B1">
        <w:rPr>
          <w:rFonts w:ascii="Times New Roman" w:hAnsi="Times New Roman" w:cs="Times New Roman"/>
          <w:i/>
          <w:iCs/>
          <w:sz w:val="24"/>
          <w:szCs w:val="24"/>
        </w:rPr>
        <w:t>gillata)</w:t>
      </w:r>
      <w:r w:rsidRPr="00E056B1">
        <w:rPr>
          <w:rFonts w:ascii="Times New Roman" w:hAnsi="Times New Roman" w:cs="Times New Roman"/>
          <w:sz w:val="24"/>
          <w:szCs w:val="24"/>
        </w:rPr>
        <w:t xml:space="preserve"> et quatre espèces de Poisson (</w:t>
      </w:r>
      <w:r w:rsidRPr="00E056B1">
        <w:rPr>
          <w:rFonts w:ascii="Times New Roman" w:hAnsi="Times New Roman" w:cs="Times New Roman"/>
          <w:i/>
          <w:iCs/>
          <w:sz w:val="24"/>
          <w:szCs w:val="24"/>
        </w:rPr>
        <w:t>Marcuseniusbrucii (</w:t>
      </w:r>
      <w:r w:rsidRPr="00E056B1">
        <w:rPr>
          <w:rFonts w:ascii="Times New Roman" w:hAnsi="Times New Roman" w:cs="Times New Roman"/>
          <w:sz w:val="24"/>
          <w:szCs w:val="24"/>
        </w:rPr>
        <w:t>Mono et Ogun au Nigeria</w:t>
      </w:r>
      <w:r w:rsidRPr="00E056B1">
        <w:rPr>
          <w:rFonts w:ascii="Times New Roman" w:hAnsi="Times New Roman" w:cs="Times New Roman"/>
          <w:i/>
          <w:iCs/>
          <w:sz w:val="24"/>
          <w:szCs w:val="24"/>
        </w:rPr>
        <w:t xml:space="preserve">), </w:t>
      </w:r>
      <w:r w:rsidRPr="00E056B1">
        <w:rPr>
          <w:rStyle w:val="sciname"/>
          <w:rFonts w:ascii="Times New Roman" w:hAnsi="Times New Roman" w:cs="Times New Roman"/>
          <w:i/>
          <w:sz w:val="24"/>
          <w:szCs w:val="24"/>
        </w:rPr>
        <w:t>Foerschichthysflavipinnis</w:t>
      </w:r>
      <w:r w:rsidR="007E2155">
        <w:rPr>
          <w:rStyle w:val="sciname"/>
          <w:rFonts w:ascii="Times New Roman" w:hAnsi="Times New Roman" w:cs="Times New Roman"/>
          <w:i/>
          <w:sz w:val="24"/>
          <w:szCs w:val="24"/>
        </w:rPr>
        <w:t xml:space="preserve"> </w:t>
      </w:r>
      <w:r w:rsidRPr="00E056B1">
        <w:rPr>
          <w:rStyle w:val="sciname"/>
          <w:rFonts w:ascii="Times New Roman" w:hAnsi="Times New Roman" w:cs="Times New Roman"/>
          <w:sz w:val="24"/>
          <w:szCs w:val="24"/>
        </w:rPr>
        <w:t>(</w:t>
      </w:r>
      <w:r w:rsidR="007E2155">
        <w:rPr>
          <w:rFonts w:ascii="Times New Roman" w:hAnsi="Times New Roman" w:cs="Times New Roman"/>
          <w:sz w:val="24"/>
          <w:szCs w:val="24"/>
        </w:rPr>
        <w:t xml:space="preserve">Ghana, </w:t>
      </w:r>
      <w:r w:rsidRPr="00E056B1">
        <w:rPr>
          <w:rFonts w:ascii="Times New Roman" w:hAnsi="Times New Roman" w:cs="Times New Roman"/>
          <w:sz w:val="24"/>
          <w:szCs w:val="24"/>
        </w:rPr>
        <w:t>Togo, Benin et Nigeria</w:t>
      </w:r>
      <w:r w:rsidRPr="00E056B1">
        <w:rPr>
          <w:rStyle w:val="sciname"/>
          <w:rFonts w:ascii="Times New Roman" w:hAnsi="Times New Roman" w:cs="Times New Roman"/>
          <w:sz w:val="24"/>
          <w:szCs w:val="24"/>
        </w:rPr>
        <w:t>),</w:t>
      </w:r>
      <w:r w:rsidR="007E2155">
        <w:rPr>
          <w:rStyle w:val="sciname"/>
          <w:rFonts w:ascii="Times New Roman" w:hAnsi="Times New Roman" w:cs="Times New Roman"/>
          <w:sz w:val="24"/>
          <w:szCs w:val="24"/>
        </w:rPr>
        <w:t xml:space="preserve"> </w:t>
      </w:r>
      <w:r w:rsidRPr="00E056B1">
        <w:rPr>
          <w:rFonts w:ascii="Times New Roman" w:hAnsi="Times New Roman" w:cs="Times New Roman"/>
          <w:i/>
          <w:iCs/>
          <w:color w:val="000000"/>
          <w:sz w:val="24"/>
          <w:szCs w:val="24"/>
        </w:rPr>
        <w:t>Epiplatys</w:t>
      </w:r>
      <w:r w:rsidR="007E2155">
        <w:rPr>
          <w:rFonts w:ascii="Times New Roman" w:hAnsi="Times New Roman" w:cs="Times New Roman"/>
          <w:i/>
          <w:iCs/>
          <w:color w:val="000000"/>
          <w:sz w:val="24"/>
          <w:szCs w:val="24"/>
        </w:rPr>
        <w:t xml:space="preserve"> </w:t>
      </w:r>
      <w:r w:rsidRPr="00E056B1">
        <w:rPr>
          <w:rFonts w:ascii="Times New Roman" w:hAnsi="Times New Roman" w:cs="Times New Roman"/>
          <w:i/>
          <w:iCs/>
          <w:color w:val="000000"/>
          <w:sz w:val="24"/>
          <w:szCs w:val="24"/>
        </w:rPr>
        <w:t>sexfasciatus</w:t>
      </w:r>
      <w:r w:rsidR="007E2155">
        <w:rPr>
          <w:rFonts w:ascii="Times New Roman" w:hAnsi="Times New Roman" w:cs="Times New Roman"/>
          <w:i/>
          <w:iCs/>
          <w:color w:val="000000"/>
          <w:sz w:val="24"/>
          <w:szCs w:val="24"/>
        </w:rPr>
        <w:t xml:space="preserve"> </w:t>
      </w:r>
      <w:r w:rsidRPr="00E056B1">
        <w:rPr>
          <w:rFonts w:ascii="Times New Roman" w:hAnsi="Times New Roman" w:cs="Times New Roman"/>
          <w:i/>
          <w:iCs/>
          <w:color w:val="000000"/>
          <w:sz w:val="24"/>
          <w:szCs w:val="24"/>
        </w:rPr>
        <w:t>togolensis</w:t>
      </w:r>
      <w:r w:rsidR="007E2155">
        <w:rPr>
          <w:rFonts w:ascii="Times New Roman" w:hAnsi="Times New Roman" w:cs="Times New Roman"/>
          <w:i/>
          <w:iCs/>
          <w:color w:val="000000"/>
          <w:sz w:val="24"/>
          <w:szCs w:val="24"/>
        </w:rPr>
        <w:t xml:space="preserve"> </w:t>
      </w:r>
      <w:r w:rsidRPr="00E056B1">
        <w:rPr>
          <w:rFonts w:ascii="Times New Roman" w:hAnsi="Times New Roman" w:cs="Times New Roman"/>
          <w:iCs/>
          <w:color w:val="000000"/>
          <w:sz w:val="24"/>
          <w:szCs w:val="24"/>
        </w:rPr>
        <w:t>(Sud-Est Ghana, Mono, Sud Bénin et Sud Nigeria),</w:t>
      </w:r>
      <w:r w:rsidR="007E2155">
        <w:rPr>
          <w:rFonts w:ascii="Times New Roman" w:hAnsi="Times New Roman" w:cs="Times New Roman"/>
          <w:iCs/>
          <w:color w:val="000000"/>
          <w:sz w:val="24"/>
          <w:szCs w:val="24"/>
        </w:rPr>
        <w:t xml:space="preserve"> </w:t>
      </w:r>
      <w:r w:rsidRPr="00E056B1">
        <w:rPr>
          <w:rFonts w:ascii="Times New Roman" w:hAnsi="Times New Roman" w:cs="Times New Roman"/>
          <w:bCs/>
          <w:i/>
          <w:iCs/>
          <w:sz w:val="24"/>
          <w:szCs w:val="24"/>
        </w:rPr>
        <w:t>Aphyosemion</w:t>
      </w:r>
      <w:r w:rsidR="00637F9C">
        <w:rPr>
          <w:rFonts w:ascii="Times New Roman" w:hAnsi="Times New Roman" w:cs="Times New Roman"/>
          <w:bCs/>
          <w:i/>
          <w:iCs/>
          <w:sz w:val="24"/>
          <w:szCs w:val="24"/>
        </w:rPr>
        <w:t xml:space="preserve"> </w:t>
      </w:r>
      <w:r w:rsidRPr="00E056B1">
        <w:rPr>
          <w:rFonts w:ascii="Times New Roman" w:hAnsi="Times New Roman" w:cs="Times New Roman"/>
          <w:bCs/>
          <w:i/>
          <w:iCs/>
          <w:sz w:val="24"/>
          <w:szCs w:val="24"/>
        </w:rPr>
        <w:t>bitaeniatum</w:t>
      </w:r>
      <w:r w:rsidR="007E2155">
        <w:rPr>
          <w:rFonts w:ascii="Times New Roman" w:hAnsi="Times New Roman" w:cs="Times New Roman"/>
          <w:bCs/>
          <w:i/>
          <w:iCs/>
          <w:sz w:val="24"/>
          <w:szCs w:val="24"/>
        </w:rPr>
        <w:t xml:space="preserve"> </w:t>
      </w:r>
      <w:r w:rsidRPr="00E056B1">
        <w:rPr>
          <w:rFonts w:ascii="Times New Roman" w:hAnsi="Times New Roman" w:cs="Times New Roman"/>
          <w:bCs/>
          <w:iCs/>
          <w:sz w:val="24"/>
          <w:szCs w:val="24"/>
        </w:rPr>
        <w:t>(Mono, Sud Bénin et Sud Nigeria)</w:t>
      </w:r>
      <w:r w:rsidRPr="00E056B1">
        <w:rPr>
          <w:rFonts w:ascii="Times New Roman" w:hAnsi="Times New Roman" w:cs="Times New Roman"/>
          <w:sz w:val="24"/>
          <w:szCs w:val="24"/>
        </w:rPr>
        <w:t xml:space="preserve"> (Paugy et </w:t>
      </w:r>
      <w:r w:rsidRPr="00E056B1">
        <w:rPr>
          <w:rFonts w:ascii="Times New Roman" w:hAnsi="Times New Roman" w:cs="Times New Roman"/>
          <w:i/>
          <w:sz w:val="24"/>
          <w:szCs w:val="24"/>
        </w:rPr>
        <w:t>al</w:t>
      </w:r>
      <w:r w:rsidRPr="00E056B1">
        <w:rPr>
          <w:rFonts w:ascii="Times New Roman" w:hAnsi="Times New Roman" w:cs="Times New Roman"/>
          <w:sz w:val="24"/>
          <w:szCs w:val="24"/>
        </w:rPr>
        <w:t>., 2003).</w:t>
      </w:r>
    </w:p>
    <w:p w14:paraId="693FD03B" w14:textId="77777777" w:rsidR="003D4DBF" w:rsidRDefault="003D4DBF" w:rsidP="003D4DBF">
      <w:pPr>
        <w:spacing w:after="0" w:line="240" w:lineRule="auto"/>
        <w:jc w:val="both"/>
        <w:rPr>
          <w:rFonts w:ascii="Times New Roman" w:hAnsi="Times New Roman" w:cs="Times New Roman"/>
          <w:sz w:val="24"/>
          <w:szCs w:val="24"/>
        </w:rPr>
      </w:pPr>
    </w:p>
    <w:p w14:paraId="50246949" w14:textId="7F27E756" w:rsidR="003D4DBF" w:rsidRDefault="003D4DBF" w:rsidP="003D4DBF">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En dehors du phénomène de fragmentation, les écosystèmes sont sous l’influence d’autres menaces qui entraine</w:t>
      </w:r>
      <w:r w:rsidR="000B16F2">
        <w:rPr>
          <w:rFonts w:ascii="Times New Roman" w:hAnsi="Times New Roman" w:cs="Times New Roman"/>
          <w:sz w:val="24"/>
          <w:szCs w:val="24"/>
        </w:rPr>
        <w:t>nt</w:t>
      </w:r>
      <w:r w:rsidRPr="008063D4">
        <w:rPr>
          <w:rFonts w:ascii="Times New Roman" w:hAnsi="Times New Roman" w:cs="Times New Roman"/>
          <w:sz w:val="24"/>
          <w:szCs w:val="24"/>
        </w:rPr>
        <w:t xml:space="preserve"> la diminution voir</w:t>
      </w:r>
      <w:r>
        <w:rPr>
          <w:rFonts w:ascii="Times New Roman" w:hAnsi="Times New Roman" w:cs="Times New Roman"/>
          <w:sz w:val="24"/>
          <w:szCs w:val="24"/>
        </w:rPr>
        <w:t>e</w:t>
      </w:r>
      <w:r w:rsidRPr="008063D4">
        <w:rPr>
          <w:rFonts w:ascii="Times New Roman" w:hAnsi="Times New Roman" w:cs="Times New Roman"/>
          <w:sz w:val="24"/>
          <w:szCs w:val="24"/>
        </w:rPr>
        <w:t xml:space="preserve"> la disparition de certaines espèces animales (MERF, 2014). Il s’agit de : diverses pollutions (chimiques et organiques), surexploitation des espèces animales, le braconnage, envahissement des</w:t>
      </w:r>
      <w:r>
        <w:rPr>
          <w:rFonts w:ascii="Times New Roman" w:hAnsi="Times New Roman" w:cs="Times New Roman"/>
          <w:sz w:val="24"/>
          <w:szCs w:val="24"/>
        </w:rPr>
        <w:t xml:space="preserve"> aires protégées, etc. (Figure 1</w:t>
      </w:r>
      <w:r w:rsidRPr="008063D4">
        <w:rPr>
          <w:rFonts w:ascii="Times New Roman" w:hAnsi="Times New Roman" w:cs="Times New Roman"/>
          <w:sz w:val="24"/>
          <w:szCs w:val="24"/>
        </w:rPr>
        <w:t xml:space="preserve">). </w:t>
      </w:r>
    </w:p>
    <w:p w14:paraId="1FE7E70B" w14:textId="77777777" w:rsidR="003D4DBF" w:rsidRPr="008063D4" w:rsidRDefault="003D4DBF" w:rsidP="003D4DBF">
      <w:pPr>
        <w:spacing w:after="0" w:line="240" w:lineRule="auto"/>
        <w:jc w:val="both"/>
        <w:rPr>
          <w:rFonts w:ascii="Times New Roman" w:hAnsi="Times New Roman" w:cs="Times New Roman"/>
          <w:sz w:val="24"/>
          <w:szCs w:val="24"/>
        </w:rPr>
      </w:pPr>
    </w:p>
    <w:p w14:paraId="1E975C74" w14:textId="77777777" w:rsidR="003D4DBF" w:rsidRDefault="003D4DBF" w:rsidP="003D4DBF">
      <w:pPr>
        <w:spacing w:after="0"/>
        <w:ind w:left="57"/>
        <w:jc w:val="both"/>
        <w:rPr>
          <w:rFonts w:ascii="Arial" w:hAnsi="Arial" w:cs="Arial"/>
          <w:sz w:val="24"/>
          <w:szCs w:val="24"/>
        </w:rPr>
      </w:pPr>
    </w:p>
    <w:p w14:paraId="2FC27E3F" w14:textId="77777777" w:rsidR="003D4DBF" w:rsidRPr="000F5B36" w:rsidRDefault="003D4DBF" w:rsidP="003D4DBF">
      <w:pPr>
        <w:spacing w:after="0"/>
        <w:ind w:left="57"/>
        <w:jc w:val="center"/>
        <w:rPr>
          <w:rFonts w:ascii="Arial" w:hAnsi="Arial" w:cs="Arial"/>
          <w:sz w:val="24"/>
          <w:szCs w:val="24"/>
        </w:rPr>
      </w:pPr>
      <w:r>
        <w:rPr>
          <w:rFonts w:ascii="Arial" w:hAnsi="Arial" w:cs="Arial"/>
          <w:noProof/>
          <w:sz w:val="24"/>
          <w:szCs w:val="24"/>
          <w:lang w:eastAsia="fr-FR"/>
        </w:rPr>
        <w:drawing>
          <wp:inline distT="0" distB="0" distL="0" distR="0" wp14:anchorId="75A44789" wp14:editId="3A595333">
            <wp:extent cx="5204239" cy="3514297"/>
            <wp:effectExtent l="19050" t="0" r="15461" b="0"/>
            <wp:docPr id="8" name="Graphique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37201E4" w14:textId="77777777" w:rsidR="003D4DBF" w:rsidRPr="008063D4" w:rsidRDefault="003D4DBF" w:rsidP="003D4DBF">
      <w:pPr>
        <w:spacing w:after="0" w:line="240" w:lineRule="auto"/>
        <w:rPr>
          <w:rFonts w:ascii="Times New Roman" w:hAnsi="Times New Roman" w:cs="Times New Roman"/>
          <w:sz w:val="24"/>
          <w:szCs w:val="24"/>
        </w:rPr>
      </w:pPr>
    </w:p>
    <w:p w14:paraId="57BF5AD9" w14:textId="77777777" w:rsidR="003D4DBF" w:rsidRDefault="003D4DBF" w:rsidP="003D4DBF">
      <w:pPr>
        <w:autoSpaceDE w:val="0"/>
        <w:autoSpaceDN w:val="0"/>
        <w:adjustRightInd w:val="0"/>
        <w:spacing w:after="0" w:line="240" w:lineRule="auto"/>
        <w:jc w:val="both"/>
        <w:rPr>
          <w:rFonts w:ascii="Times New Roman" w:hAnsi="Times New Roman" w:cs="Times New Roman"/>
          <w:b/>
          <w:sz w:val="24"/>
          <w:szCs w:val="24"/>
        </w:rPr>
      </w:pPr>
    </w:p>
    <w:p w14:paraId="630D1A8F" w14:textId="17FE9F49" w:rsidR="003D4DBF" w:rsidRPr="00F00DB1" w:rsidRDefault="003D4DBF" w:rsidP="003D4DBF">
      <w:pPr>
        <w:pStyle w:val="Lgende"/>
        <w:rPr>
          <w:rFonts w:ascii="Times New Roman" w:hAnsi="Times New Roman"/>
          <w:sz w:val="24"/>
          <w:szCs w:val="24"/>
          <w:lang w:eastAsia="fr-FR"/>
        </w:rPr>
      </w:pPr>
      <w:bookmarkStart w:id="5" w:name="_Toc533413489"/>
      <w:r w:rsidRPr="00F00DB1">
        <w:rPr>
          <w:rFonts w:ascii="Times New Roman" w:hAnsi="Times New Roman"/>
          <w:sz w:val="24"/>
          <w:szCs w:val="24"/>
        </w:rPr>
        <w:t xml:space="preserve">Figure </w:t>
      </w:r>
      <w:r w:rsidRPr="00F00DB1">
        <w:rPr>
          <w:rFonts w:ascii="Times New Roman" w:hAnsi="Times New Roman"/>
          <w:sz w:val="24"/>
          <w:szCs w:val="24"/>
        </w:rPr>
        <w:fldChar w:fldCharType="begin"/>
      </w:r>
      <w:r w:rsidRPr="00F00DB1">
        <w:rPr>
          <w:rFonts w:ascii="Times New Roman" w:hAnsi="Times New Roman"/>
          <w:sz w:val="24"/>
          <w:szCs w:val="24"/>
        </w:rPr>
        <w:instrText xml:space="preserve"> SEQ Figure \* ARABIC </w:instrText>
      </w:r>
      <w:r w:rsidRPr="00F00DB1">
        <w:rPr>
          <w:rFonts w:ascii="Times New Roman" w:hAnsi="Times New Roman"/>
          <w:sz w:val="24"/>
          <w:szCs w:val="24"/>
        </w:rPr>
        <w:fldChar w:fldCharType="separate"/>
      </w:r>
      <w:r w:rsidR="00C47BFF">
        <w:rPr>
          <w:rFonts w:ascii="Times New Roman" w:hAnsi="Times New Roman"/>
          <w:noProof/>
          <w:sz w:val="24"/>
          <w:szCs w:val="24"/>
        </w:rPr>
        <w:t>1</w:t>
      </w:r>
      <w:r w:rsidRPr="00F00DB1">
        <w:rPr>
          <w:rFonts w:ascii="Times New Roman" w:hAnsi="Times New Roman"/>
          <w:sz w:val="24"/>
          <w:szCs w:val="24"/>
        </w:rPr>
        <w:fldChar w:fldCharType="end"/>
      </w:r>
      <w:r w:rsidRPr="00F00DB1">
        <w:rPr>
          <w:rFonts w:ascii="Times New Roman" w:hAnsi="Times New Roman"/>
          <w:sz w:val="24"/>
          <w:szCs w:val="24"/>
        </w:rPr>
        <w:t>: Estimation du nombre d’espèces de Vertébrés de la Liste rouge influencées par les importants dangers qui les menacent au Togo</w:t>
      </w:r>
      <w:bookmarkEnd w:id="5"/>
    </w:p>
    <w:p w14:paraId="08C0D717" w14:textId="77777777" w:rsidR="003D4DBF" w:rsidRPr="008063D4" w:rsidRDefault="003D4DBF" w:rsidP="003D4DBF">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lang w:eastAsia="fr-FR"/>
        </w:rPr>
        <w:t xml:space="preserve">Concernant les écosystèmes aquatiques et leurs espèces, ils sont sous la menace du </w:t>
      </w:r>
      <w:r w:rsidRPr="008063D4">
        <w:rPr>
          <w:rFonts w:ascii="Times New Roman" w:hAnsi="Times New Roman" w:cs="Times New Roman"/>
          <w:sz w:val="24"/>
          <w:szCs w:val="24"/>
        </w:rPr>
        <w:t xml:space="preserve">phénomène de l’ensablement dû certainement aux défrichements des berges. Par ailleurs, la pratique de </w:t>
      </w:r>
      <w:r w:rsidRPr="008063D4">
        <w:rPr>
          <w:rFonts w:ascii="Times New Roman" w:hAnsi="Times New Roman" w:cs="Times New Roman"/>
          <w:sz w:val="24"/>
          <w:szCs w:val="24"/>
          <w:lang w:eastAsia="fr-FR"/>
        </w:rPr>
        <w:t>la pêche traditionnelle, peu développée est le mode de pêche le plus répandu. E</w:t>
      </w:r>
      <w:r w:rsidRPr="008063D4">
        <w:rPr>
          <w:rFonts w:ascii="Times New Roman" w:hAnsi="Times New Roman" w:cs="Times New Roman"/>
          <w:sz w:val="24"/>
          <w:szCs w:val="24"/>
        </w:rPr>
        <w:t>lle se pratique sans observer la réglementation en la matière. Les activités de pêche sont quotidiennes avec des engins inappropriés. MERF (2014) indique que ce système d’exploitation des ressources et les diverses techniques ont conduit à un appauvrissement de l’ensemble des cours d’eaux à travers le pays. Il ne favorise donc pas l’exploitation durable des espèces halieutiques. Le 5</w:t>
      </w:r>
      <w:r w:rsidRPr="008063D4">
        <w:rPr>
          <w:rFonts w:ascii="Times New Roman" w:hAnsi="Times New Roman" w:cs="Times New Roman"/>
          <w:sz w:val="24"/>
          <w:szCs w:val="24"/>
          <w:vertAlign w:val="superscript"/>
        </w:rPr>
        <w:t>ème</w:t>
      </w:r>
      <w:r w:rsidRPr="008063D4">
        <w:rPr>
          <w:rFonts w:ascii="Times New Roman" w:hAnsi="Times New Roman" w:cs="Times New Roman"/>
          <w:sz w:val="24"/>
          <w:szCs w:val="24"/>
        </w:rPr>
        <w:t xml:space="preserve"> rapport national indique que ces menaces font que certaines espèces de Vertébrés du Togo sont devenues vulnérables, en danger, en danger critique ou quasiment menacées et </w:t>
      </w:r>
      <w:r>
        <w:rPr>
          <w:rFonts w:ascii="Times New Roman" w:hAnsi="Times New Roman" w:cs="Times New Roman"/>
          <w:sz w:val="24"/>
          <w:szCs w:val="24"/>
        </w:rPr>
        <w:t>figurent par conséquent sur la l</w:t>
      </w:r>
      <w:r w:rsidRPr="008063D4">
        <w:rPr>
          <w:rFonts w:ascii="Times New Roman" w:hAnsi="Times New Roman" w:cs="Times New Roman"/>
          <w:sz w:val="24"/>
          <w:szCs w:val="24"/>
        </w:rPr>
        <w:t>iste rouge des espèces de l’IUCN. Un total de 48 espèces de Vertébrés d</w:t>
      </w:r>
      <w:r>
        <w:rPr>
          <w:rFonts w:ascii="Times New Roman" w:hAnsi="Times New Roman" w:cs="Times New Roman"/>
          <w:sz w:val="24"/>
          <w:szCs w:val="24"/>
        </w:rPr>
        <w:t>u Togo se retrouvent sur cette l</w:t>
      </w:r>
      <w:r w:rsidRPr="008063D4">
        <w:rPr>
          <w:rFonts w:ascii="Times New Roman" w:hAnsi="Times New Roman" w:cs="Times New Roman"/>
          <w:sz w:val="24"/>
          <w:szCs w:val="24"/>
        </w:rPr>
        <w:t xml:space="preserve">iste soit 2,72% des espèces de Vertébrés </w:t>
      </w:r>
      <w:r>
        <w:rPr>
          <w:rFonts w:ascii="Times New Roman" w:hAnsi="Times New Roman" w:cs="Times New Roman"/>
          <w:sz w:val="24"/>
          <w:szCs w:val="24"/>
        </w:rPr>
        <w:t xml:space="preserve"> (Tableau 1) </w:t>
      </w:r>
      <w:r w:rsidRPr="008063D4">
        <w:rPr>
          <w:rFonts w:ascii="Times New Roman" w:hAnsi="Times New Roman" w:cs="Times New Roman"/>
          <w:sz w:val="24"/>
          <w:szCs w:val="24"/>
        </w:rPr>
        <w:t xml:space="preserve">(MERF, 2014). </w:t>
      </w:r>
    </w:p>
    <w:p w14:paraId="6908397C" w14:textId="77777777" w:rsidR="003D4DBF" w:rsidRPr="008063D4"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7B9249B9" w14:textId="121225AF" w:rsidR="003D4DBF" w:rsidRPr="00F00DB1" w:rsidRDefault="003D4DBF" w:rsidP="003D4DBF">
      <w:pPr>
        <w:pStyle w:val="Lgende"/>
        <w:rPr>
          <w:rFonts w:ascii="Times New Roman" w:hAnsi="Times New Roman"/>
          <w:b w:val="0"/>
          <w:sz w:val="24"/>
          <w:szCs w:val="24"/>
        </w:rPr>
      </w:pPr>
      <w:bookmarkStart w:id="6" w:name="_Toc533413472"/>
      <w:r w:rsidRPr="00F00DB1">
        <w:rPr>
          <w:rFonts w:ascii="Times New Roman" w:hAnsi="Times New Roman"/>
          <w:sz w:val="24"/>
          <w:szCs w:val="24"/>
        </w:rPr>
        <w:t xml:space="preserve">Tableau </w:t>
      </w:r>
      <w:r w:rsidRPr="00F00DB1">
        <w:rPr>
          <w:rFonts w:ascii="Times New Roman" w:hAnsi="Times New Roman"/>
          <w:sz w:val="24"/>
          <w:szCs w:val="24"/>
        </w:rPr>
        <w:fldChar w:fldCharType="begin"/>
      </w:r>
      <w:r w:rsidRPr="00F00DB1">
        <w:rPr>
          <w:rFonts w:ascii="Times New Roman" w:hAnsi="Times New Roman"/>
          <w:sz w:val="24"/>
          <w:szCs w:val="24"/>
        </w:rPr>
        <w:instrText xml:space="preserve"> SEQ Tableau \* ARABIC </w:instrText>
      </w:r>
      <w:r w:rsidRPr="00F00DB1">
        <w:rPr>
          <w:rFonts w:ascii="Times New Roman" w:hAnsi="Times New Roman"/>
          <w:sz w:val="24"/>
          <w:szCs w:val="24"/>
        </w:rPr>
        <w:fldChar w:fldCharType="separate"/>
      </w:r>
      <w:r w:rsidR="00C47BFF">
        <w:rPr>
          <w:rFonts w:ascii="Times New Roman" w:hAnsi="Times New Roman"/>
          <w:noProof/>
          <w:sz w:val="24"/>
          <w:szCs w:val="24"/>
        </w:rPr>
        <w:t>1</w:t>
      </w:r>
      <w:r w:rsidRPr="00F00DB1">
        <w:rPr>
          <w:rFonts w:ascii="Times New Roman" w:hAnsi="Times New Roman"/>
          <w:sz w:val="24"/>
          <w:szCs w:val="24"/>
        </w:rPr>
        <w:fldChar w:fldCharType="end"/>
      </w:r>
      <w:r w:rsidRPr="00F00DB1">
        <w:rPr>
          <w:rFonts w:ascii="Times New Roman" w:hAnsi="Times New Roman"/>
          <w:sz w:val="24"/>
          <w:szCs w:val="24"/>
        </w:rPr>
        <w:t>: Nombre d’espèces de la Liste rouge (espèces à Statut IUCN) dans les classes de Vertébrés du Togo</w:t>
      </w:r>
      <w:bookmarkEnd w:id="6"/>
    </w:p>
    <w:p w14:paraId="36232BD4" w14:textId="77777777" w:rsidR="003D4DBF" w:rsidRPr="000F5B36" w:rsidRDefault="003D4DBF" w:rsidP="003D4DBF">
      <w:pPr>
        <w:spacing w:after="0"/>
        <w:ind w:left="57"/>
        <w:rPr>
          <w:rFonts w:ascii="Arial" w:hAnsi="Arial" w:cs="Arial"/>
          <w:sz w:val="24"/>
          <w:szCs w:val="24"/>
        </w:rPr>
      </w:pPr>
    </w:p>
    <w:tbl>
      <w:tblPr>
        <w:tblW w:w="9077" w:type="dxa"/>
        <w:tblInd w:w="65" w:type="dxa"/>
        <w:tblCellMar>
          <w:left w:w="70" w:type="dxa"/>
          <w:right w:w="70" w:type="dxa"/>
        </w:tblCellMar>
        <w:tblLook w:val="04A0" w:firstRow="1" w:lastRow="0" w:firstColumn="1" w:lastColumn="0" w:noHBand="0" w:noVBand="1"/>
      </w:tblPr>
      <w:tblGrid>
        <w:gridCol w:w="2360"/>
        <w:gridCol w:w="3741"/>
        <w:gridCol w:w="2976"/>
      </w:tblGrid>
      <w:tr w:rsidR="003D4DBF" w:rsidRPr="000F5B36" w14:paraId="7257EDDA" w14:textId="77777777" w:rsidTr="00B0200A">
        <w:trPr>
          <w:trHeight w:val="315"/>
        </w:trPr>
        <w:tc>
          <w:tcPr>
            <w:tcW w:w="23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5533F6" w14:textId="77777777" w:rsidR="003D4DBF" w:rsidRPr="000F5B36" w:rsidRDefault="003D4DBF" w:rsidP="00B0200A">
            <w:pPr>
              <w:spacing w:after="0"/>
              <w:ind w:left="57"/>
              <w:rPr>
                <w:rFonts w:ascii="Arial" w:eastAsia="Times New Roman" w:hAnsi="Arial" w:cs="Arial"/>
                <w:b/>
                <w:bCs/>
                <w:color w:val="000000"/>
                <w:sz w:val="24"/>
                <w:szCs w:val="24"/>
                <w:lang w:eastAsia="fr-FR"/>
              </w:rPr>
            </w:pPr>
            <w:r w:rsidRPr="000F5B36">
              <w:rPr>
                <w:rFonts w:ascii="Arial" w:eastAsia="Times New Roman" w:hAnsi="Arial" w:cs="Arial"/>
                <w:b/>
                <w:bCs/>
                <w:color w:val="000000"/>
                <w:sz w:val="24"/>
                <w:szCs w:val="24"/>
                <w:lang w:eastAsia="fr-FR"/>
              </w:rPr>
              <w:t>Classes de Vertébrés</w:t>
            </w:r>
          </w:p>
        </w:tc>
        <w:tc>
          <w:tcPr>
            <w:tcW w:w="3741" w:type="dxa"/>
            <w:tcBorders>
              <w:top w:val="single" w:sz="4" w:space="0" w:color="auto"/>
              <w:left w:val="nil"/>
              <w:bottom w:val="single" w:sz="4" w:space="0" w:color="auto"/>
              <w:right w:val="single" w:sz="4" w:space="0" w:color="auto"/>
            </w:tcBorders>
            <w:shd w:val="clear" w:color="auto" w:fill="auto"/>
            <w:noWrap/>
            <w:vAlign w:val="bottom"/>
            <w:hideMark/>
          </w:tcPr>
          <w:p w14:paraId="25B75D4E" w14:textId="77777777" w:rsidR="003D4DBF" w:rsidRPr="000F5B36" w:rsidRDefault="003D4DBF" w:rsidP="00B0200A">
            <w:pPr>
              <w:spacing w:after="0"/>
              <w:ind w:left="57"/>
              <w:jc w:val="center"/>
              <w:rPr>
                <w:rFonts w:ascii="Arial" w:eastAsia="Times New Roman" w:hAnsi="Arial" w:cs="Arial"/>
                <w:b/>
                <w:bCs/>
                <w:color w:val="000000"/>
                <w:sz w:val="24"/>
                <w:szCs w:val="24"/>
                <w:lang w:eastAsia="fr-FR"/>
              </w:rPr>
            </w:pPr>
            <w:r w:rsidRPr="000F5B36">
              <w:rPr>
                <w:rFonts w:ascii="Arial" w:eastAsia="Times New Roman" w:hAnsi="Arial" w:cs="Arial"/>
                <w:b/>
                <w:bCs/>
                <w:color w:val="000000"/>
                <w:sz w:val="24"/>
                <w:szCs w:val="24"/>
                <w:lang w:eastAsia="fr-FR"/>
              </w:rPr>
              <w:t>Nombre d'espèces de la Liste rouge pour le Togo (%)*</w:t>
            </w:r>
          </w:p>
        </w:tc>
        <w:tc>
          <w:tcPr>
            <w:tcW w:w="2976" w:type="dxa"/>
            <w:tcBorders>
              <w:top w:val="single" w:sz="4" w:space="0" w:color="auto"/>
              <w:left w:val="nil"/>
              <w:bottom w:val="single" w:sz="4" w:space="0" w:color="auto"/>
              <w:right w:val="single" w:sz="4" w:space="0" w:color="auto"/>
            </w:tcBorders>
          </w:tcPr>
          <w:p w14:paraId="06833369" w14:textId="77777777" w:rsidR="003D4DBF" w:rsidRPr="005E603D" w:rsidRDefault="003D4DBF" w:rsidP="00B0200A">
            <w:pPr>
              <w:spacing w:after="0"/>
              <w:ind w:left="57"/>
              <w:jc w:val="center"/>
              <w:rPr>
                <w:rFonts w:ascii="Arial" w:eastAsia="Times New Roman" w:hAnsi="Arial" w:cs="Arial"/>
                <w:b/>
                <w:bCs/>
                <w:color w:val="000000"/>
                <w:sz w:val="24"/>
                <w:szCs w:val="24"/>
                <w:highlight w:val="yellow"/>
                <w:lang w:eastAsia="fr-FR"/>
              </w:rPr>
            </w:pPr>
            <w:r w:rsidRPr="005E603D">
              <w:rPr>
                <w:rFonts w:ascii="Arial" w:eastAsia="Times New Roman" w:hAnsi="Arial" w:cs="Arial"/>
                <w:b/>
                <w:bCs/>
                <w:color w:val="000000"/>
                <w:sz w:val="24"/>
                <w:szCs w:val="24"/>
                <w:highlight w:val="yellow"/>
                <w:lang w:eastAsia="fr-FR"/>
              </w:rPr>
              <w:t>Nombre total d’espèces du Togo</w:t>
            </w:r>
          </w:p>
        </w:tc>
      </w:tr>
      <w:tr w:rsidR="003D4DBF" w:rsidRPr="000F5B36" w14:paraId="50829B39" w14:textId="77777777" w:rsidTr="00B0200A">
        <w:trPr>
          <w:trHeight w:val="315"/>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324CB291" w14:textId="77777777" w:rsidR="003D4DBF" w:rsidRPr="000F5B36" w:rsidRDefault="003D4DBF" w:rsidP="00B0200A">
            <w:pPr>
              <w:spacing w:after="0"/>
              <w:ind w:left="57"/>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Poissons</w:t>
            </w:r>
          </w:p>
        </w:tc>
        <w:tc>
          <w:tcPr>
            <w:tcW w:w="3741" w:type="dxa"/>
            <w:tcBorders>
              <w:top w:val="nil"/>
              <w:left w:val="nil"/>
              <w:bottom w:val="single" w:sz="4" w:space="0" w:color="auto"/>
              <w:right w:val="single" w:sz="4" w:space="0" w:color="auto"/>
            </w:tcBorders>
            <w:shd w:val="clear" w:color="auto" w:fill="auto"/>
            <w:noWrap/>
            <w:vAlign w:val="bottom"/>
            <w:hideMark/>
          </w:tcPr>
          <w:p w14:paraId="436B2D95" w14:textId="77777777" w:rsidR="003D4DBF" w:rsidRPr="000F5B36" w:rsidRDefault="003D4DBF" w:rsidP="00B0200A">
            <w:pPr>
              <w:spacing w:after="0"/>
              <w:ind w:left="57"/>
              <w:jc w:val="center"/>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6 (1)</w:t>
            </w:r>
          </w:p>
        </w:tc>
        <w:tc>
          <w:tcPr>
            <w:tcW w:w="2976" w:type="dxa"/>
            <w:tcBorders>
              <w:top w:val="nil"/>
              <w:left w:val="nil"/>
              <w:bottom w:val="single" w:sz="4" w:space="0" w:color="auto"/>
              <w:right w:val="single" w:sz="4" w:space="0" w:color="auto"/>
            </w:tcBorders>
          </w:tcPr>
          <w:p w14:paraId="01C07CDB" w14:textId="77777777" w:rsidR="003D4DBF" w:rsidRPr="005E603D" w:rsidRDefault="003D4DBF" w:rsidP="00B0200A">
            <w:pPr>
              <w:spacing w:after="0"/>
              <w:ind w:left="57"/>
              <w:jc w:val="center"/>
              <w:rPr>
                <w:rFonts w:ascii="Arial" w:eastAsia="Times New Roman" w:hAnsi="Arial" w:cs="Arial"/>
                <w:color w:val="000000"/>
                <w:sz w:val="24"/>
                <w:szCs w:val="24"/>
                <w:highlight w:val="yellow"/>
                <w:lang w:eastAsia="fr-FR"/>
              </w:rPr>
            </w:pPr>
            <w:r w:rsidRPr="005E603D">
              <w:rPr>
                <w:rFonts w:ascii="Arial" w:eastAsia="Times New Roman" w:hAnsi="Arial" w:cs="Arial"/>
                <w:color w:val="000000"/>
                <w:sz w:val="24"/>
                <w:szCs w:val="24"/>
                <w:highlight w:val="yellow"/>
                <w:lang w:eastAsia="fr-FR"/>
              </w:rPr>
              <w:t>615</w:t>
            </w:r>
          </w:p>
        </w:tc>
      </w:tr>
      <w:tr w:rsidR="003D4DBF" w:rsidRPr="000F5B36" w14:paraId="24CABCAA" w14:textId="77777777" w:rsidTr="00B0200A">
        <w:trPr>
          <w:trHeight w:val="315"/>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3D89C65B" w14:textId="77777777" w:rsidR="003D4DBF" w:rsidRPr="000F5B36" w:rsidRDefault="003D4DBF" w:rsidP="00B0200A">
            <w:pPr>
              <w:spacing w:after="0"/>
              <w:ind w:left="57"/>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Amphibiens</w:t>
            </w:r>
          </w:p>
        </w:tc>
        <w:tc>
          <w:tcPr>
            <w:tcW w:w="3741" w:type="dxa"/>
            <w:tcBorders>
              <w:top w:val="nil"/>
              <w:left w:val="nil"/>
              <w:bottom w:val="single" w:sz="4" w:space="0" w:color="auto"/>
              <w:right w:val="single" w:sz="4" w:space="0" w:color="auto"/>
            </w:tcBorders>
            <w:shd w:val="clear" w:color="auto" w:fill="auto"/>
            <w:noWrap/>
            <w:vAlign w:val="bottom"/>
            <w:hideMark/>
          </w:tcPr>
          <w:p w14:paraId="698B6A12" w14:textId="77777777" w:rsidR="003D4DBF" w:rsidRPr="000F5B36" w:rsidRDefault="003D4DBF" w:rsidP="00B0200A">
            <w:pPr>
              <w:spacing w:after="0"/>
              <w:ind w:left="57"/>
              <w:jc w:val="center"/>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6 (10)</w:t>
            </w:r>
          </w:p>
        </w:tc>
        <w:tc>
          <w:tcPr>
            <w:tcW w:w="2976" w:type="dxa"/>
            <w:tcBorders>
              <w:top w:val="nil"/>
              <w:left w:val="nil"/>
              <w:bottom w:val="single" w:sz="4" w:space="0" w:color="auto"/>
              <w:right w:val="single" w:sz="4" w:space="0" w:color="auto"/>
            </w:tcBorders>
          </w:tcPr>
          <w:p w14:paraId="24712CA7" w14:textId="77777777" w:rsidR="003D4DBF" w:rsidRPr="005E603D" w:rsidRDefault="003D4DBF" w:rsidP="00B0200A">
            <w:pPr>
              <w:spacing w:after="0"/>
              <w:ind w:left="57"/>
              <w:jc w:val="center"/>
              <w:rPr>
                <w:rFonts w:ascii="Arial" w:eastAsia="Times New Roman" w:hAnsi="Arial" w:cs="Arial"/>
                <w:color w:val="000000"/>
                <w:sz w:val="24"/>
                <w:szCs w:val="24"/>
                <w:highlight w:val="yellow"/>
                <w:lang w:eastAsia="fr-FR"/>
              </w:rPr>
            </w:pPr>
            <w:r w:rsidRPr="005E603D">
              <w:rPr>
                <w:rFonts w:ascii="Arial" w:eastAsia="Times New Roman" w:hAnsi="Arial" w:cs="Arial"/>
                <w:color w:val="000000"/>
                <w:sz w:val="24"/>
                <w:szCs w:val="24"/>
                <w:highlight w:val="yellow"/>
                <w:lang w:eastAsia="fr-FR"/>
              </w:rPr>
              <w:t>60</w:t>
            </w:r>
          </w:p>
        </w:tc>
      </w:tr>
      <w:tr w:rsidR="003D4DBF" w:rsidRPr="000F5B36" w14:paraId="48E51715" w14:textId="77777777" w:rsidTr="00B0200A">
        <w:trPr>
          <w:trHeight w:val="315"/>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10B48FDD" w14:textId="77777777" w:rsidR="003D4DBF" w:rsidRPr="000F5B36" w:rsidRDefault="003D4DBF" w:rsidP="00B0200A">
            <w:pPr>
              <w:spacing w:after="0"/>
              <w:ind w:left="57"/>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Reptiles</w:t>
            </w:r>
          </w:p>
        </w:tc>
        <w:tc>
          <w:tcPr>
            <w:tcW w:w="3741" w:type="dxa"/>
            <w:tcBorders>
              <w:top w:val="nil"/>
              <w:left w:val="nil"/>
              <w:bottom w:val="single" w:sz="4" w:space="0" w:color="auto"/>
              <w:right w:val="single" w:sz="4" w:space="0" w:color="auto"/>
            </w:tcBorders>
            <w:shd w:val="clear" w:color="auto" w:fill="auto"/>
            <w:noWrap/>
            <w:vAlign w:val="bottom"/>
            <w:hideMark/>
          </w:tcPr>
          <w:p w14:paraId="79FFDD69" w14:textId="77777777" w:rsidR="003D4DBF" w:rsidRPr="000F5B36" w:rsidRDefault="003D4DBF" w:rsidP="00B0200A">
            <w:pPr>
              <w:spacing w:after="0"/>
              <w:ind w:left="57"/>
              <w:jc w:val="center"/>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13 (8,02)</w:t>
            </w:r>
          </w:p>
        </w:tc>
        <w:tc>
          <w:tcPr>
            <w:tcW w:w="2976" w:type="dxa"/>
            <w:tcBorders>
              <w:top w:val="nil"/>
              <w:left w:val="nil"/>
              <w:bottom w:val="single" w:sz="4" w:space="0" w:color="auto"/>
              <w:right w:val="single" w:sz="4" w:space="0" w:color="auto"/>
            </w:tcBorders>
          </w:tcPr>
          <w:p w14:paraId="67DDF3F6" w14:textId="77777777" w:rsidR="003D4DBF" w:rsidRPr="005E603D" w:rsidRDefault="003D4DBF" w:rsidP="00B0200A">
            <w:pPr>
              <w:spacing w:after="0"/>
              <w:ind w:left="57"/>
              <w:jc w:val="center"/>
              <w:rPr>
                <w:rFonts w:ascii="Arial" w:eastAsia="Times New Roman" w:hAnsi="Arial" w:cs="Arial"/>
                <w:color w:val="000000"/>
                <w:sz w:val="24"/>
                <w:szCs w:val="24"/>
                <w:highlight w:val="yellow"/>
                <w:lang w:eastAsia="fr-FR"/>
              </w:rPr>
            </w:pPr>
            <w:r w:rsidRPr="005E603D">
              <w:rPr>
                <w:rFonts w:ascii="Arial" w:eastAsia="Times New Roman" w:hAnsi="Arial" w:cs="Arial"/>
                <w:color w:val="000000"/>
                <w:sz w:val="24"/>
                <w:szCs w:val="24"/>
                <w:highlight w:val="yellow"/>
                <w:lang w:eastAsia="fr-FR"/>
              </w:rPr>
              <w:t>162</w:t>
            </w:r>
          </w:p>
        </w:tc>
      </w:tr>
      <w:tr w:rsidR="003D4DBF" w:rsidRPr="000F5B36" w14:paraId="3746797A" w14:textId="77777777" w:rsidTr="00B0200A">
        <w:trPr>
          <w:trHeight w:val="315"/>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17B35DFE" w14:textId="77777777" w:rsidR="003D4DBF" w:rsidRPr="000F5B36" w:rsidRDefault="003D4DBF" w:rsidP="00B0200A">
            <w:pPr>
              <w:spacing w:after="0"/>
              <w:ind w:left="57"/>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Oiseaux</w:t>
            </w:r>
          </w:p>
        </w:tc>
        <w:tc>
          <w:tcPr>
            <w:tcW w:w="3741" w:type="dxa"/>
            <w:tcBorders>
              <w:top w:val="nil"/>
              <w:left w:val="nil"/>
              <w:bottom w:val="single" w:sz="4" w:space="0" w:color="auto"/>
              <w:right w:val="single" w:sz="4" w:space="0" w:color="auto"/>
            </w:tcBorders>
            <w:shd w:val="clear" w:color="auto" w:fill="auto"/>
            <w:noWrap/>
            <w:vAlign w:val="bottom"/>
            <w:hideMark/>
          </w:tcPr>
          <w:p w14:paraId="57299930" w14:textId="77777777" w:rsidR="003D4DBF" w:rsidRPr="000F5B36" w:rsidRDefault="003D4DBF" w:rsidP="00B0200A">
            <w:pPr>
              <w:spacing w:after="0"/>
              <w:ind w:left="57"/>
              <w:jc w:val="center"/>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12 (1,7)</w:t>
            </w:r>
          </w:p>
        </w:tc>
        <w:tc>
          <w:tcPr>
            <w:tcW w:w="2976" w:type="dxa"/>
            <w:tcBorders>
              <w:top w:val="nil"/>
              <w:left w:val="nil"/>
              <w:bottom w:val="single" w:sz="4" w:space="0" w:color="auto"/>
              <w:right w:val="single" w:sz="4" w:space="0" w:color="auto"/>
            </w:tcBorders>
          </w:tcPr>
          <w:p w14:paraId="71E69DF3" w14:textId="77777777" w:rsidR="003D4DBF" w:rsidRPr="005E603D" w:rsidRDefault="003D4DBF" w:rsidP="00B0200A">
            <w:pPr>
              <w:spacing w:after="0"/>
              <w:ind w:left="57"/>
              <w:jc w:val="center"/>
              <w:rPr>
                <w:rFonts w:ascii="Arial" w:eastAsia="Times New Roman" w:hAnsi="Arial" w:cs="Arial"/>
                <w:color w:val="000000"/>
                <w:sz w:val="24"/>
                <w:szCs w:val="24"/>
                <w:highlight w:val="yellow"/>
                <w:lang w:eastAsia="fr-FR"/>
              </w:rPr>
            </w:pPr>
            <w:r w:rsidRPr="005E603D">
              <w:rPr>
                <w:rFonts w:ascii="Arial" w:eastAsia="Times New Roman" w:hAnsi="Arial" w:cs="Arial"/>
                <w:color w:val="000000"/>
                <w:sz w:val="24"/>
                <w:szCs w:val="24"/>
                <w:highlight w:val="yellow"/>
                <w:lang w:eastAsia="fr-FR"/>
              </w:rPr>
              <w:t>708</w:t>
            </w:r>
          </w:p>
        </w:tc>
      </w:tr>
      <w:tr w:rsidR="003D4DBF" w:rsidRPr="000F5B36" w14:paraId="63BEB0D6" w14:textId="77777777" w:rsidTr="00B0200A">
        <w:trPr>
          <w:trHeight w:val="315"/>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25AEFD16" w14:textId="77777777" w:rsidR="003D4DBF" w:rsidRPr="000F5B36" w:rsidRDefault="003D4DBF" w:rsidP="00B0200A">
            <w:pPr>
              <w:spacing w:after="0"/>
              <w:ind w:left="57"/>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Mammifères</w:t>
            </w:r>
          </w:p>
        </w:tc>
        <w:tc>
          <w:tcPr>
            <w:tcW w:w="3741" w:type="dxa"/>
            <w:tcBorders>
              <w:top w:val="nil"/>
              <w:left w:val="nil"/>
              <w:bottom w:val="single" w:sz="4" w:space="0" w:color="auto"/>
              <w:right w:val="single" w:sz="4" w:space="0" w:color="auto"/>
            </w:tcBorders>
            <w:shd w:val="clear" w:color="auto" w:fill="auto"/>
            <w:noWrap/>
            <w:vAlign w:val="bottom"/>
            <w:hideMark/>
          </w:tcPr>
          <w:p w14:paraId="452FFE92" w14:textId="77777777" w:rsidR="003D4DBF" w:rsidRPr="000F5B36" w:rsidRDefault="003D4DBF" w:rsidP="00B0200A">
            <w:pPr>
              <w:spacing w:after="0"/>
              <w:ind w:left="57"/>
              <w:jc w:val="center"/>
              <w:rPr>
                <w:rFonts w:ascii="Arial" w:eastAsia="Times New Roman" w:hAnsi="Arial" w:cs="Arial"/>
                <w:color w:val="000000"/>
                <w:sz w:val="24"/>
                <w:szCs w:val="24"/>
                <w:lang w:eastAsia="fr-FR"/>
              </w:rPr>
            </w:pPr>
            <w:r w:rsidRPr="000F5B36">
              <w:rPr>
                <w:rFonts w:ascii="Arial" w:eastAsia="Times New Roman" w:hAnsi="Arial" w:cs="Arial"/>
                <w:color w:val="000000"/>
                <w:sz w:val="24"/>
                <w:szCs w:val="24"/>
                <w:lang w:eastAsia="fr-FR"/>
              </w:rPr>
              <w:t>11 (5)</w:t>
            </w:r>
          </w:p>
        </w:tc>
        <w:tc>
          <w:tcPr>
            <w:tcW w:w="2976" w:type="dxa"/>
            <w:tcBorders>
              <w:top w:val="nil"/>
              <w:left w:val="nil"/>
              <w:bottom w:val="single" w:sz="4" w:space="0" w:color="auto"/>
              <w:right w:val="single" w:sz="4" w:space="0" w:color="auto"/>
            </w:tcBorders>
          </w:tcPr>
          <w:p w14:paraId="5D460F1D" w14:textId="77777777" w:rsidR="003D4DBF" w:rsidRPr="005E603D" w:rsidRDefault="003D4DBF" w:rsidP="00B0200A">
            <w:pPr>
              <w:spacing w:after="0"/>
              <w:ind w:left="57"/>
              <w:jc w:val="center"/>
              <w:rPr>
                <w:rFonts w:ascii="Arial" w:eastAsia="Times New Roman" w:hAnsi="Arial" w:cs="Arial"/>
                <w:color w:val="000000"/>
                <w:sz w:val="24"/>
                <w:szCs w:val="24"/>
                <w:highlight w:val="yellow"/>
                <w:lang w:eastAsia="fr-FR"/>
              </w:rPr>
            </w:pPr>
            <w:r w:rsidRPr="005E603D">
              <w:rPr>
                <w:rFonts w:ascii="Arial" w:eastAsia="Times New Roman" w:hAnsi="Arial" w:cs="Arial"/>
                <w:color w:val="000000"/>
                <w:sz w:val="24"/>
                <w:szCs w:val="24"/>
                <w:highlight w:val="yellow"/>
                <w:lang w:eastAsia="fr-FR"/>
              </w:rPr>
              <w:t>220</w:t>
            </w:r>
          </w:p>
        </w:tc>
      </w:tr>
      <w:tr w:rsidR="003D4DBF" w:rsidRPr="000F5B36" w14:paraId="15A3A988" w14:textId="77777777" w:rsidTr="00B0200A">
        <w:trPr>
          <w:trHeight w:val="315"/>
        </w:trPr>
        <w:tc>
          <w:tcPr>
            <w:tcW w:w="2360" w:type="dxa"/>
            <w:tcBorders>
              <w:top w:val="nil"/>
              <w:left w:val="single" w:sz="4" w:space="0" w:color="auto"/>
              <w:bottom w:val="single" w:sz="4" w:space="0" w:color="auto"/>
              <w:right w:val="single" w:sz="4" w:space="0" w:color="auto"/>
            </w:tcBorders>
            <w:shd w:val="clear" w:color="auto" w:fill="auto"/>
            <w:noWrap/>
            <w:vAlign w:val="bottom"/>
            <w:hideMark/>
          </w:tcPr>
          <w:p w14:paraId="2592F1C3" w14:textId="77777777" w:rsidR="003D4DBF" w:rsidRPr="000F5B36" w:rsidRDefault="003D4DBF" w:rsidP="00B0200A">
            <w:pPr>
              <w:spacing w:after="0"/>
              <w:ind w:left="57"/>
              <w:rPr>
                <w:rFonts w:ascii="Arial" w:eastAsia="Times New Roman" w:hAnsi="Arial" w:cs="Arial"/>
                <w:b/>
                <w:color w:val="000000"/>
                <w:sz w:val="24"/>
                <w:szCs w:val="24"/>
                <w:lang w:eastAsia="fr-FR"/>
              </w:rPr>
            </w:pPr>
            <w:r w:rsidRPr="000F5B36">
              <w:rPr>
                <w:rFonts w:ascii="Arial" w:eastAsia="Times New Roman" w:hAnsi="Arial" w:cs="Arial"/>
                <w:b/>
                <w:color w:val="000000"/>
                <w:sz w:val="24"/>
                <w:szCs w:val="24"/>
                <w:lang w:eastAsia="fr-FR"/>
              </w:rPr>
              <w:t xml:space="preserve">Total </w:t>
            </w:r>
          </w:p>
        </w:tc>
        <w:tc>
          <w:tcPr>
            <w:tcW w:w="3741" w:type="dxa"/>
            <w:tcBorders>
              <w:top w:val="nil"/>
              <w:left w:val="nil"/>
              <w:bottom w:val="single" w:sz="4" w:space="0" w:color="auto"/>
              <w:right w:val="single" w:sz="4" w:space="0" w:color="auto"/>
            </w:tcBorders>
            <w:shd w:val="clear" w:color="auto" w:fill="auto"/>
            <w:noWrap/>
            <w:vAlign w:val="bottom"/>
            <w:hideMark/>
          </w:tcPr>
          <w:p w14:paraId="11518E86" w14:textId="77777777" w:rsidR="003D4DBF" w:rsidRPr="000F5B36" w:rsidRDefault="003D4DBF" w:rsidP="00B0200A">
            <w:pPr>
              <w:spacing w:after="0"/>
              <w:ind w:left="57"/>
              <w:jc w:val="center"/>
              <w:rPr>
                <w:rFonts w:ascii="Arial" w:eastAsia="Times New Roman" w:hAnsi="Arial" w:cs="Arial"/>
                <w:b/>
                <w:color w:val="000000"/>
                <w:sz w:val="24"/>
                <w:szCs w:val="24"/>
                <w:lang w:eastAsia="fr-FR"/>
              </w:rPr>
            </w:pPr>
            <w:r w:rsidRPr="000F5B36">
              <w:rPr>
                <w:rFonts w:ascii="Arial" w:eastAsia="Times New Roman" w:hAnsi="Arial" w:cs="Arial"/>
                <w:b/>
                <w:color w:val="000000"/>
                <w:sz w:val="24"/>
                <w:szCs w:val="24"/>
                <w:lang w:eastAsia="fr-FR"/>
              </w:rPr>
              <w:t>48 (2,72)</w:t>
            </w:r>
          </w:p>
        </w:tc>
        <w:tc>
          <w:tcPr>
            <w:tcW w:w="2976" w:type="dxa"/>
            <w:tcBorders>
              <w:top w:val="nil"/>
              <w:left w:val="nil"/>
              <w:bottom w:val="single" w:sz="4" w:space="0" w:color="auto"/>
              <w:right w:val="single" w:sz="4" w:space="0" w:color="auto"/>
            </w:tcBorders>
          </w:tcPr>
          <w:p w14:paraId="00D56581" w14:textId="77777777" w:rsidR="003D4DBF" w:rsidRPr="005E603D" w:rsidRDefault="003D4DBF" w:rsidP="00B0200A">
            <w:pPr>
              <w:spacing w:after="0"/>
              <w:ind w:left="57"/>
              <w:jc w:val="center"/>
              <w:rPr>
                <w:rFonts w:ascii="Arial" w:eastAsia="Times New Roman" w:hAnsi="Arial" w:cs="Arial"/>
                <w:b/>
                <w:color w:val="000000"/>
                <w:sz w:val="24"/>
                <w:szCs w:val="24"/>
                <w:highlight w:val="yellow"/>
                <w:lang w:eastAsia="fr-FR"/>
              </w:rPr>
            </w:pPr>
            <w:r w:rsidRPr="005E603D">
              <w:rPr>
                <w:rFonts w:ascii="Arial" w:eastAsia="Times New Roman" w:hAnsi="Arial" w:cs="Arial"/>
                <w:b/>
                <w:color w:val="000000"/>
                <w:sz w:val="24"/>
                <w:szCs w:val="24"/>
                <w:highlight w:val="yellow"/>
                <w:lang w:eastAsia="fr-FR"/>
              </w:rPr>
              <w:t>1765</w:t>
            </w:r>
          </w:p>
        </w:tc>
      </w:tr>
    </w:tbl>
    <w:p w14:paraId="42AB8B91" w14:textId="77777777" w:rsidR="003D4DBF" w:rsidRPr="000F5B36" w:rsidRDefault="003D4DBF" w:rsidP="003D4DBF">
      <w:pPr>
        <w:spacing w:after="0"/>
        <w:ind w:left="57"/>
        <w:jc w:val="center"/>
        <w:rPr>
          <w:rFonts w:ascii="Arial" w:hAnsi="Arial" w:cs="Arial"/>
          <w:sz w:val="24"/>
          <w:szCs w:val="24"/>
        </w:rPr>
      </w:pPr>
      <w:r w:rsidRPr="00A34AC4">
        <w:rPr>
          <w:rFonts w:ascii="Arial" w:hAnsi="Arial" w:cs="Arial"/>
          <w:sz w:val="24"/>
          <w:szCs w:val="24"/>
        </w:rPr>
        <w:t>* Statut IUCN (2013)</w:t>
      </w:r>
    </w:p>
    <w:p w14:paraId="4A1611C1" w14:textId="77777777" w:rsidR="003D4DBF" w:rsidRPr="008063D4" w:rsidRDefault="003D4DBF" w:rsidP="003D4DBF">
      <w:pPr>
        <w:autoSpaceDE w:val="0"/>
        <w:autoSpaceDN w:val="0"/>
        <w:adjustRightInd w:val="0"/>
        <w:spacing w:after="0" w:line="240" w:lineRule="auto"/>
        <w:jc w:val="both"/>
        <w:rPr>
          <w:rFonts w:ascii="Times New Roman" w:hAnsi="Times New Roman" w:cs="Times New Roman"/>
          <w:b/>
          <w:color w:val="000000"/>
          <w:sz w:val="24"/>
          <w:szCs w:val="24"/>
        </w:rPr>
      </w:pPr>
    </w:p>
    <w:p w14:paraId="4BB3F3A0" w14:textId="77777777" w:rsidR="003D4DBF" w:rsidRPr="008063D4" w:rsidRDefault="003D4DBF" w:rsidP="003D4DBF">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Parmi les espèces de Vertébrés de la Liste rouge, les espèces vulnérables (au nombre de 26) sont les plus importantes et s’observent parmi les Poissons, les Reptiles, les Ois</w:t>
      </w:r>
      <w:r>
        <w:rPr>
          <w:rFonts w:ascii="Times New Roman" w:hAnsi="Times New Roman" w:cs="Times New Roman"/>
          <w:sz w:val="24"/>
          <w:szCs w:val="24"/>
        </w:rPr>
        <w:t>eaux et les Mammifères (Figure 2</w:t>
      </w:r>
      <w:r w:rsidRPr="008063D4">
        <w:rPr>
          <w:rFonts w:ascii="Times New Roman" w:hAnsi="Times New Roman" w:cs="Times New Roman"/>
          <w:sz w:val="24"/>
          <w:szCs w:val="24"/>
        </w:rPr>
        <w:t>).</w:t>
      </w:r>
    </w:p>
    <w:p w14:paraId="51962B26" w14:textId="77777777" w:rsidR="003D4DBF" w:rsidRPr="008063D4" w:rsidRDefault="003D4DBF" w:rsidP="003D4DBF">
      <w:pPr>
        <w:autoSpaceDE w:val="0"/>
        <w:autoSpaceDN w:val="0"/>
        <w:adjustRightInd w:val="0"/>
        <w:spacing w:after="0" w:line="240" w:lineRule="auto"/>
        <w:jc w:val="both"/>
        <w:rPr>
          <w:rFonts w:ascii="Times New Roman" w:hAnsi="Times New Roman" w:cs="Times New Roman"/>
          <w:b/>
          <w:noProof/>
          <w:color w:val="000000"/>
          <w:sz w:val="24"/>
          <w:szCs w:val="24"/>
          <w:lang w:eastAsia="fr-FR"/>
        </w:rPr>
      </w:pPr>
    </w:p>
    <w:p w14:paraId="09022B79" w14:textId="77777777" w:rsidR="003D4DBF" w:rsidRDefault="003D4DBF" w:rsidP="003D4DBF">
      <w:pPr>
        <w:autoSpaceDE w:val="0"/>
        <w:autoSpaceDN w:val="0"/>
        <w:adjustRightInd w:val="0"/>
        <w:spacing w:after="0" w:line="240" w:lineRule="auto"/>
        <w:jc w:val="center"/>
        <w:rPr>
          <w:rFonts w:ascii="Times New Roman" w:hAnsi="Times New Roman" w:cs="Times New Roman"/>
          <w:b/>
          <w:noProof/>
          <w:color w:val="000000"/>
          <w:sz w:val="24"/>
          <w:szCs w:val="24"/>
          <w:lang w:eastAsia="fr-FR"/>
        </w:rPr>
      </w:pPr>
      <w:r>
        <w:rPr>
          <w:rFonts w:ascii="Arial" w:hAnsi="Arial" w:cs="Arial"/>
          <w:noProof/>
          <w:sz w:val="24"/>
          <w:szCs w:val="24"/>
          <w:lang w:eastAsia="fr-FR"/>
        </w:rPr>
        <w:drawing>
          <wp:inline distT="0" distB="0" distL="0" distR="0" wp14:anchorId="0FD98BE5" wp14:editId="27D884CB">
            <wp:extent cx="4455160" cy="2722245"/>
            <wp:effectExtent l="19050" t="19050" r="21590" b="20955"/>
            <wp:docPr id="15" name="Graphiqu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61"/>
                    <pic:cNvPicPr>
                      <a:picLocks noChangeArrowheads="1"/>
                    </pic:cNvPicPr>
                  </pic:nvPicPr>
                  <pic:blipFill>
                    <a:blip r:embed="rId15"/>
                    <a:srcRect l="4181" t="4233" r="3310" b="4233"/>
                    <a:stretch>
                      <a:fillRect/>
                    </a:stretch>
                  </pic:blipFill>
                  <pic:spPr bwMode="auto">
                    <a:xfrm>
                      <a:off x="0" y="0"/>
                      <a:ext cx="4455160" cy="2722245"/>
                    </a:xfrm>
                    <a:prstGeom prst="rect">
                      <a:avLst/>
                    </a:prstGeom>
                    <a:noFill/>
                    <a:ln w="12700" cmpd="sng">
                      <a:solidFill>
                        <a:srgbClr val="000000"/>
                      </a:solidFill>
                      <a:miter lim="800000"/>
                      <a:headEnd/>
                      <a:tailEnd/>
                    </a:ln>
                    <a:effectLst/>
                  </pic:spPr>
                </pic:pic>
              </a:graphicData>
            </a:graphic>
          </wp:inline>
        </w:drawing>
      </w:r>
    </w:p>
    <w:p w14:paraId="334A6C31" w14:textId="77777777" w:rsidR="003D4DBF" w:rsidRPr="008063D4" w:rsidRDefault="003D4DBF" w:rsidP="003D4DBF">
      <w:pPr>
        <w:autoSpaceDE w:val="0"/>
        <w:autoSpaceDN w:val="0"/>
        <w:adjustRightInd w:val="0"/>
        <w:spacing w:after="0" w:line="240" w:lineRule="auto"/>
        <w:jc w:val="center"/>
        <w:rPr>
          <w:rFonts w:ascii="Times New Roman" w:hAnsi="Times New Roman" w:cs="Times New Roman"/>
          <w:b/>
          <w:noProof/>
          <w:color w:val="000000"/>
          <w:sz w:val="24"/>
          <w:szCs w:val="24"/>
          <w:lang w:eastAsia="fr-FR"/>
        </w:rPr>
      </w:pPr>
    </w:p>
    <w:p w14:paraId="49256639" w14:textId="66E42DF7" w:rsidR="003D4DBF" w:rsidRPr="00F00DB1" w:rsidRDefault="003D4DBF" w:rsidP="003D4DBF">
      <w:pPr>
        <w:pStyle w:val="Lgende"/>
        <w:rPr>
          <w:rFonts w:ascii="Times New Roman" w:hAnsi="Times New Roman"/>
          <w:b w:val="0"/>
          <w:noProof/>
          <w:color w:val="000000"/>
          <w:sz w:val="24"/>
          <w:szCs w:val="24"/>
          <w:lang w:eastAsia="fr-FR"/>
        </w:rPr>
      </w:pPr>
      <w:bookmarkStart w:id="7" w:name="_Toc533413490"/>
      <w:r w:rsidRPr="00F00DB1">
        <w:rPr>
          <w:rFonts w:ascii="Times New Roman" w:hAnsi="Times New Roman"/>
          <w:sz w:val="24"/>
          <w:szCs w:val="24"/>
        </w:rPr>
        <w:t xml:space="preserve">Figure </w:t>
      </w:r>
      <w:r w:rsidRPr="00F00DB1">
        <w:rPr>
          <w:rFonts w:ascii="Times New Roman" w:hAnsi="Times New Roman"/>
          <w:sz w:val="24"/>
          <w:szCs w:val="24"/>
        </w:rPr>
        <w:fldChar w:fldCharType="begin"/>
      </w:r>
      <w:r w:rsidRPr="00F00DB1">
        <w:rPr>
          <w:rFonts w:ascii="Times New Roman" w:hAnsi="Times New Roman"/>
          <w:sz w:val="24"/>
          <w:szCs w:val="24"/>
        </w:rPr>
        <w:instrText xml:space="preserve"> SEQ Figure \* ARABIC </w:instrText>
      </w:r>
      <w:r w:rsidRPr="00F00DB1">
        <w:rPr>
          <w:rFonts w:ascii="Times New Roman" w:hAnsi="Times New Roman"/>
          <w:sz w:val="24"/>
          <w:szCs w:val="24"/>
        </w:rPr>
        <w:fldChar w:fldCharType="separate"/>
      </w:r>
      <w:r w:rsidR="00C47BFF">
        <w:rPr>
          <w:rFonts w:ascii="Times New Roman" w:hAnsi="Times New Roman"/>
          <w:noProof/>
          <w:sz w:val="24"/>
          <w:szCs w:val="24"/>
        </w:rPr>
        <w:t>2</w:t>
      </w:r>
      <w:r w:rsidRPr="00F00DB1">
        <w:rPr>
          <w:rFonts w:ascii="Times New Roman" w:hAnsi="Times New Roman"/>
          <w:sz w:val="24"/>
          <w:szCs w:val="24"/>
        </w:rPr>
        <w:fldChar w:fldCharType="end"/>
      </w:r>
      <w:r w:rsidRPr="00F00DB1">
        <w:rPr>
          <w:rFonts w:ascii="Times New Roman" w:hAnsi="Times New Roman"/>
          <w:sz w:val="24"/>
          <w:szCs w:val="24"/>
        </w:rPr>
        <w:t>: Variations du nombre d’espèces de Vertébrés de la Liste rouge en fonction de leur statut IUCN au Togo</w:t>
      </w:r>
      <w:bookmarkEnd w:id="7"/>
    </w:p>
    <w:p w14:paraId="424AC377" w14:textId="77777777" w:rsidR="003D4DBF" w:rsidRPr="008063D4" w:rsidRDefault="003D4DBF" w:rsidP="003D4DBF">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Les espèces en danger (au nombre de 10) s’observent parmi les Amphibiens, les Reptiles, les Oiseaux et les Mammifères alors que celles en danger critique se recrutent parmi les Amphibiens et les Mammifères. Par ailleurs, il n’existe pas un mécanisme de suivi pour les espèces de faune notamment les trois espèces endémiques signalées au Togo, parmi lesquelles l’escargot géant (</w:t>
      </w:r>
      <w:r w:rsidRPr="008063D4">
        <w:rPr>
          <w:rFonts w:ascii="Times New Roman" w:hAnsi="Times New Roman" w:cs="Times New Roman"/>
          <w:i/>
          <w:iCs/>
          <w:sz w:val="24"/>
          <w:szCs w:val="24"/>
        </w:rPr>
        <w:t xml:space="preserve">Achatina togoensis, </w:t>
      </w:r>
      <w:r w:rsidRPr="008063D4">
        <w:rPr>
          <w:rFonts w:ascii="Times New Roman" w:hAnsi="Times New Roman" w:cs="Times New Roman"/>
          <w:sz w:val="24"/>
          <w:szCs w:val="24"/>
        </w:rPr>
        <w:t xml:space="preserve">Mollusque) dans le massif d’Adélé et 3 Amphibiens </w:t>
      </w:r>
      <w:r w:rsidRPr="008063D4">
        <w:rPr>
          <w:rFonts w:ascii="Times New Roman" w:hAnsi="Times New Roman" w:cs="Times New Roman"/>
          <w:i/>
          <w:iCs/>
          <w:sz w:val="24"/>
          <w:szCs w:val="24"/>
        </w:rPr>
        <w:t xml:space="preserve">Conraua derooi </w:t>
      </w:r>
      <w:r w:rsidRPr="008063D4">
        <w:rPr>
          <w:rFonts w:ascii="Times New Roman" w:hAnsi="Times New Roman" w:cs="Times New Roman"/>
          <w:sz w:val="24"/>
          <w:szCs w:val="24"/>
        </w:rPr>
        <w:t xml:space="preserve">dans les forêts semi-décidues du Kloto (Région des Plateaux). </w:t>
      </w:r>
      <w:r w:rsidRPr="008063D4">
        <w:rPr>
          <w:rFonts w:ascii="Times New Roman" w:hAnsi="Times New Roman" w:cs="Times New Roman"/>
          <w:i/>
          <w:iCs/>
          <w:sz w:val="24"/>
          <w:szCs w:val="24"/>
        </w:rPr>
        <w:t xml:space="preserve">Bufo togoensis </w:t>
      </w:r>
      <w:r w:rsidRPr="008063D4">
        <w:rPr>
          <w:rFonts w:ascii="Times New Roman" w:hAnsi="Times New Roman" w:cs="Times New Roman"/>
          <w:sz w:val="24"/>
          <w:szCs w:val="24"/>
        </w:rPr>
        <w:t xml:space="preserve">dans le Massif d’Adélé (Région Centrale). C’est de même pour les espèces endémiques à la sous-région (Ghana, Togo, Bénin et Nigeria) notamment: </w:t>
      </w:r>
      <w:r w:rsidRPr="008063D4">
        <w:rPr>
          <w:rFonts w:ascii="Times New Roman" w:hAnsi="Times New Roman" w:cs="Times New Roman"/>
          <w:i/>
          <w:iCs/>
          <w:sz w:val="24"/>
          <w:szCs w:val="24"/>
        </w:rPr>
        <w:t xml:space="preserve">Aubria subsubgillata </w:t>
      </w:r>
      <w:r w:rsidRPr="008063D4">
        <w:rPr>
          <w:rFonts w:ascii="Times New Roman" w:hAnsi="Times New Roman" w:cs="Times New Roman"/>
          <w:sz w:val="24"/>
          <w:szCs w:val="24"/>
        </w:rPr>
        <w:t>(Amphibiens) et des espèces de poisson (</w:t>
      </w:r>
      <w:r w:rsidRPr="008063D4">
        <w:rPr>
          <w:rFonts w:ascii="Times New Roman" w:hAnsi="Times New Roman" w:cs="Times New Roman"/>
          <w:i/>
          <w:iCs/>
          <w:sz w:val="24"/>
          <w:szCs w:val="24"/>
        </w:rPr>
        <w:t>Marcusenius brucii (</w:t>
      </w:r>
      <w:r w:rsidRPr="008063D4">
        <w:rPr>
          <w:rFonts w:ascii="Times New Roman" w:hAnsi="Times New Roman" w:cs="Times New Roman"/>
          <w:sz w:val="24"/>
          <w:szCs w:val="24"/>
        </w:rPr>
        <w:t>Mono et Ogun au Nigeria</w:t>
      </w:r>
      <w:r w:rsidRPr="008063D4">
        <w:rPr>
          <w:rFonts w:ascii="Times New Roman" w:hAnsi="Times New Roman" w:cs="Times New Roman"/>
          <w:i/>
          <w:iCs/>
          <w:sz w:val="24"/>
          <w:szCs w:val="24"/>
        </w:rPr>
        <w:t xml:space="preserve">), Foerschichthys flavipinnis </w:t>
      </w:r>
      <w:r w:rsidRPr="008063D4">
        <w:rPr>
          <w:rFonts w:ascii="Times New Roman" w:hAnsi="Times New Roman" w:cs="Times New Roman"/>
          <w:sz w:val="24"/>
          <w:szCs w:val="24"/>
        </w:rPr>
        <w:t xml:space="preserve">(Ghana, Togo, Benin et Nigeria), </w:t>
      </w:r>
      <w:r w:rsidRPr="008063D4">
        <w:rPr>
          <w:rFonts w:ascii="Times New Roman" w:hAnsi="Times New Roman" w:cs="Times New Roman"/>
          <w:i/>
          <w:iCs/>
          <w:sz w:val="24"/>
          <w:szCs w:val="24"/>
        </w:rPr>
        <w:t xml:space="preserve">Epiplatys sexfasciatus togolensis </w:t>
      </w:r>
      <w:r w:rsidRPr="008063D4">
        <w:rPr>
          <w:rFonts w:ascii="Times New Roman" w:hAnsi="Times New Roman" w:cs="Times New Roman"/>
          <w:sz w:val="24"/>
          <w:szCs w:val="24"/>
        </w:rPr>
        <w:t xml:space="preserve">(Sud-Est Ghana, Mono, Sud Bénin et Sud Nigeria), </w:t>
      </w:r>
      <w:r w:rsidRPr="008063D4">
        <w:rPr>
          <w:rFonts w:ascii="Times New Roman" w:hAnsi="Times New Roman" w:cs="Times New Roman"/>
          <w:i/>
          <w:iCs/>
          <w:sz w:val="24"/>
          <w:szCs w:val="24"/>
        </w:rPr>
        <w:t xml:space="preserve">Aphyosemion bitaeniatum </w:t>
      </w:r>
      <w:r w:rsidRPr="008063D4">
        <w:rPr>
          <w:rFonts w:ascii="Times New Roman" w:hAnsi="Times New Roman" w:cs="Times New Roman"/>
          <w:sz w:val="24"/>
          <w:szCs w:val="24"/>
        </w:rPr>
        <w:t>(Mono, Sud Bénin et Sud Nigeria) (Paugy et al., 2003).</w:t>
      </w:r>
    </w:p>
    <w:p w14:paraId="49397BBB" w14:textId="77777777" w:rsidR="003D4DBF" w:rsidRPr="008063D4" w:rsidRDefault="003D4DBF" w:rsidP="003D4DBF">
      <w:pPr>
        <w:spacing w:after="0" w:line="240" w:lineRule="auto"/>
        <w:jc w:val="both"/>
        <w:rPr>
          <w:rFonts w:ascii="Times New Roman" w:hAnsi="Times New Roman" w:cs="Times New Roman"/>
          <w:sz w:val="24"/>
          <w:szCs w:val="24"/>
        </w:rPr>
      </w:pPr>
    </w:p>
    <w:p w14:paraId="3D4C840F" w14:textId="77777777" w:rsidR="003D4DBF" w:rsidRPr="008063D4" w:rsidRDefault="003D4DBF" w:rsidP="00E50666">
      <w:pPr>
        <w:pStyle w:val="Paragraphedeliste"/>
        <w:numPr>
          <w:ilvl w:val="0"/>
          <w:numId w:val="7"/>
        </w:numPr>
        <w:spacing w:after="0" w:line="240" w:lineRule="auto"/>
        <w:jc w:val="both"/>
        <w:rPr>
          <w:rFonts w:ascii="Times New Roman" w:hAnsi="Times New Roman" w:cs="Times New Roman"/>
          <w:b/>
          <w:sz w:val="24"/>
          <w:szCs w:val="24"/>
        </w:rPr>
      </w:pPr>
      <w:r w:rsidRPr="008063D4">
        <w:rPr>
          <w:rFonts w:ascii="Times New Roman" w:hAnsi="Times New Roman" w:cs="Times New Roman"/>
          <w:b/>
          <w:sz w:val="24"/>
          <w:szCs w:val="24"/>
        </w:rPr>
        <w:t>Changements climatiques</w:t>
      </w:r>
    </w:p>
    <w:p w14:paraId="3B730619" w14:textId="77777777" w:rsidR="003D4DBF" w:rsidRPr="00BC689A" w:rsidRDefault="003D4DBF" w:rsidP="003D4DBF">
      <w:pPr>
        <w:spacing w:after="0" w:line="240" w:lineRule="auto"/>
        <w:jc w:val="both"/>
        <w:rPr>
          <w:rFonts w:ascii="Times New Roman" w:hAnsi="Times New Roman" w:cs="Times New Roman"/>
          <w:sz w:val="24"/>
          <w:szCs w:val="24"/>
          <w:shd w:val="clear" w:color="auto" w:fill="F8F8F8"/>
        </w:rPr>
      </w:pPr>
    </w:p>
    <w:p w14:paraId="46BDADF8" w14:textId="7A8840E6" w:rsidR="003D4DBF" w:rsidRPr="009A27C1" w:rsidRDefault="003D4DBF" w:rsidP="003D4DBF">
      <w:pPr>
        <w:spacing w:after="0" w:line="240" w:lineRule="auto"/>
        <w:jc w:val="both"/>
        <w:rPr>
          <w:rFonts w:ascii="Times New Roman" w:hAnsi="Times New Roman" w:cs="Times New Roman"/>
          <w:sz w:val="24"/>
          <w:szCs w:val="24"/>
        </w:rPr>
      </w:pPr>
      <w:r w:rsidRPr="009A27C1">
        <w:rPr>
          <w:rFonts w:ascii="Times New Roman" w:hAnsi="Times New Roman" w:cs="Times New Roman"/>
          <w:sz w:val="24"/>
          <w:szCs w:val="24"/>
        </w:rPr>
        <w:t>Les changements climatiques et leurs interactions avec les autres menaces, sont probablement l’un des défis majeurs des prochaines décennies pour la biodiversité. Au Togo, les écosystèmes naturels y compris les aires protégées (hot spot de la biodiversité) sont actuellement affectés par le changement climatique et certaines aires protégées sont plus vulnérables que d’autres à ses impacts (Adjonou, 2011 ; Hounkpè, 2013). L’analyse des paramètres climatiques dans l’une des aires</w:t>
      </w:r>
      <w:r w:rsidR="000B16F2">
        <w:rPr>
          <w:rFonts w:ascii="Times New Roman" w:hAnsi="Times New Roman" w:cs="Times New Roman"/>
          <w:sz w:val="24"/>
          <w:szCs w:val="24"/>
        </w:rPr>
        <w:t xml:space="preserve"> protégées a indiqué</w:t>
      </w:r>
      <w:r w:rsidRPr="009A27C1">
        <w:rPr>
          <w:rFonts w:ascii="Times New Roman" w:hAnsi="Times New Roman" w:cs="Times New Roman"/>
          <w:sz w:val="24"/>
          <w:szCs w:val="24"/>
        </w:rPr>
        <w:t xml:space="preserve"> un déficit pluviométrique très marqué et un réchauffement intense. Ces modifications</w:t>
      </w:r>
      <w:r w:rsidRPr="005E65D7">
        <w:rPr>
          <w:rFonts w:ascii="Times New Roman" w:hAnsi="Times New Roman" w:cs="Times New Roman"/>
          <w:sz w:val="24"/>
          <w:szCs w:val="24"/>
        </w:rPr>
        <w:t xml:space="preserve"> climatiques provoque</w:t>
      </w:r>
      <w:r w:rsidRPr="009A27C1">
        <w:rPr>
          <w:rFonts w:ascii="Times New Roman" w:hAnsi="Times New Roman" w:cs="Times New Roman"/>
          <w:sz w:val="24"/>
          <w:szCs w:val="24"/>
        </w:rPr>
        <w:t>raient l’assèchement du climat et réduirait la disponibilité en eau et en nutriments, limitant le fonctionnement physiologique des arbres surtout ceux de petit diamètre (MERF, 2014).</w:t>
      </w:r>
    </w:p>
    <w:p w14:paraId="75C7E878" w14:textId="77777777" w:rsidR="003D4DBF" w:rsidRPr="00E46483" w:rsidRDefault="003D4DBF" w:rsidP="003D4DBF">
      <w:pPr>
        <w:spacing w:after="0" w:line="240" w:lineRule="auto"/>
        <w:jc w:val="both"/>
        <w:rPr>
          <w:rFonts w:ascii="Times New Roman" w:hAnsi="Times New Roman" w:cs="Times New Roman"/>
          <w:sz w:val="24"/>
          <w:szCs w:val="24"/>
        </w:rPr>
      </w:pPr>
    </w:p>
    <w:p w14:paraId="112E3A95" w14:textId="77777777" w:rsidR="003D4DBF" w:rsidRPr="009A27C1" w:rsidRDefault="003D4DBF" w:rsidP="003D4DBF">
      <w:pPr>
        <w:spacing w:after="0" w:line="240" w:lineRule="auto"/>
        <w:jc w:val="both"/>
        <w:rPr>
          <w:rFonts w:ascii="Times New Roman" w:hAnsi="Times New Roman" w:cs="Times New Roman"/>
          <w:sz w:val="24"/>
          <w:szCs w:val="24"/>
        </w:rPr>
      </w:pPr>
      <w:r w:rsidRPr="00E46483">
        <w:rPr>
          <w:rFonts w:ascii="Times New Roman" w:hAnsi="Times New Roman" w:cs="Times New Roman"/>
          <w:sz w:val="24"/>
          <w:szCs w:val="24"/>
        </w:rPr>
        <w:t xml:space="preserve">Par rapport aux espèces animales, </w:t>
      </w:r>
      <w:r w:rsidRPr="009A27C1">
        <w:rPr>
          <w:rFonts w:ascii="Times New Roman" w:hAnsi="Times New Roman" w:cs="Times New Roman"/>
          <w:sz w:val="24"/>
          <w:szCs w:val="24"/>
        </w:rPr>
        <w:t>PNUE (2016) montre qu’un nombre significatif d’espèces ouest-africaines (y compris les amphibiens, oiseaux, poissons d’eau douce, mammifères et reptiles) ont été identifiés comme étant vulnérables au changement climatique sur la base de leurs traits biologiques spécifiques.  Parmi ces espèces, celles ayant été évaluées comme étant menacées au niveau mondial devraient être considérées comme des priorités pour la conservation. L’impact des changements climatiques se manifestent également par l’aggravation des risques d’incendie et la sévérité des feux de végétation entraînant le dépérissement voire même la disparition des espèces les plus sensibles (Adjonou et al., 2009).</w:t>
      </w:r>
    </w:p>
    <w:p w14:paraId="358A2AB0" w14:textId="77777777" w:rsidR="003D4DBF" w:rsidRPr="00E056B1" w:rsidRDefault="003D4DBF" w:rsidP="003D4DBF">
      <w:pPr>
        <w:spacing w:after="0" w:line="240" w:lineRule="auto"/>
        <w:jc w:val="both"/>
        <w:rPr>
          <w:rFonts w:ascii="Times New Roman" w:hAnsi="Times New Roman" w:cs="Times New Roman"/>
          <w:bCs/>
          <w:sz w:val="24"/>
          <w:szCs w:val="24"/>
        </w:rPr>
      </w:pPr>
    </w:p>
    <w:p w14:paraId="1094837F" w14:textId="77777777" w:rsidR="003D4DBF" w:rsidRPr="00E056B1" w:rsidRDefault="003D4DBF" w:rsidP="003D4DBF">
      <w:pPr>
        <w:spacing w:after="0" w:line="240" w:lineRule="auto"/>
        <w:outlineLvl w:val="2"/>
        <w:rPr>
          <w:rFonts w:ascii="Times New Roman" w:hAnsi="Times New Roman" w:cs="Times New Roman"/>
          <w:bCs/>
          <w:sz w:val="24"/>
          <w:szCs w:val="24"/>
        </w:rPr>
      </w:pPr>
      <w:bookmarkStart w:id="8" w:name="_Toc533413736"/>
      <w:r w:rsidRPr="00E056B1">
        <w:rPr>
          <w:rFonts w:ascii="Times New Roman" w:hAnsi="Times New Roman" w:cs="Times New Roman"/>
          <w:b/>
          <w:sz w:val="24"/>
          <w:szCs w:val="24"/>
        </w:rPr>
        <w:t>1.2. Processus de développement et d’adoption des objectifs nationaux et parties prenantes</w:t>
      </w:r>
      <w:bookmarkEnd w:id="8"/>
    </w:p>
    <w:p w14:paraId="2C8565A5" w14:textId="77777777" w:rsidR="003D4DBF" w:rsidRPr="00E056B1" w:rsidRDefault="003D4DBF" w:rsidP="003D4DBF">
      <w:pPr>
        <w:spacing w:after="0" w:line="240" w:lineRule="auto"/>
        <w:jc w:val="both"/>
        <w:rPr>
          <w:rFonts w:ascii="Times New Roman" w:hAnsi="Times New Roman" w:cs="Times New Roman"/>
          <w:sz w:val="24"/>
          <w:szCs w:val="24"/>
        </w:rPr>
      </w:pPr>
    </w:p>
    <w:p w14:paraId="149941DC" w14:textId="77777777" w:rsidR="003D4DBF" w:rsidRDefault="003D4DBF" w:rsidP="003D4DBF">
      <w:pPr>
        <w:spacing w:after="0" w:line="240" w:lineRule="auto"/>
        <w:jc w:val="both"/>
        <w:rPr>
          <w:rFonts w:ascii="Times New Roman" w:hAnsi="Times New Roman" w:cs="Times New Roman"/>
          <w:bCs/>
          <w:sz w:val="24"/>
          <w:szCs w:val="24"/>
        </w:rPr>
      </w:pPr>
      <w:r w:rsidRPr="00E056B1">
        <w:rPr>
          <w:rFonts w:ascii="Times New Roman" w:hAnsi="Times New Roman" w:cs="Times New Roman"/>
          <w:bCs/>
          <w:sz w:val="24"/>
          <w:szCs w:val="24"/>
        </w:rPr>
        <w:t xml:space="preserve">L’ensemble du processus de définition des </w:t>
      </w:r>
      <w:r w:rsidRPr="00E056B1">
        <w:rPr>
          <w:rFonts w:ascii="Times New Roman" w:hAnsi="Times New Roman" w:cs="Times New Roman"/>
          <w:sz w:val="24"/>
          <w:szCs w:val="24"/>
        </w:rPr>
        <w:t xml:space="preserve">objectifs nationaux du Togo </w:t>
      </w:r>
      <w:r w:rsidRPr="00E056B1">
        <w:rPr>
          <w:rFonts w:ascii="Times New Roman" w:hAnsi="Times New Roman" w:cs="Times New Roman"/>
          <w:bCs/>
          <w:sz w:val="24"/>
          <w:szCs w:val="24"/>
        </w:rPr>
        <w:t xml:space="preserve">est coordonné par la Direction de la Faune et de la Chasse (DFC) du ministère de l’environnement et des ressources forestières (MERF) sous la responsabilité du coordonnateur du processus d’actualisation de la </w:t>
      </w:r>
      <w:r w:rsidRPr="00E056B1">
        <w:rPr>
          <w:rFonts w:ascii="Times New Roman" w:hAnsi="Times New Roman" w:cs="Times New Roman"/>
          <w:sz w:val="24"/>
          <w:szCs w:val="24"/>
        </w:rPr>
        <w:t>Stratégie et plan d’action nationaux pour la biodiversité (SPANB). L</w:t>
      </w:r>
      <w:r w:rsidRPr="00E056B1">
        <w:rPr>
          <w:rFonts w:ascii="Times New Roman" w:hAnsi="Times New Roman" w:cs="Times New Roman"/>
          <w:bCs/>
          <w:sz w:val="24"/>
          <w:szCs w:val="24"/>
        </w:rPr>
        <w:t>a démarche adoptée pour cet exercice est basée sur un processus transparent et participatif qui a impliqué toutes les parties prenantes concernées par la problématique de la gestion et de l’exploitation durable de la biodiversité. Elle s’est appuyée, d’une part, sur la collecte des informations secondaires à travers une recherche et une analyse documentaires et d’autre part, sur le recensement des avis et préoccupations des différents acteurs qui interviennent dans l’utilisation et la gestion de la diversité biologique au Togo au moyen des concertations régionales.</w:t>
      </w:r>
    </w:p>
    <w:p w14:paraId="0AC61559" w14:textId="77777777" w:rsidR="0084636E" w:rsidRDefault="0084636E" w:rsidP="003D4DBF">
      <w:pPr>
        <w:spacing w:after="0" w:line="240" w:lineRule="auto"/>
        <w:jc w:val="both"/>
        <w:rPr>
          <w:rFonts w:ascii="Times New Roman" w:hAnsi="Times New Roman" w:cs="Times New Roman"/>
          <w:bCs/>
          <w:sz w:val="24"/>
          <w:szCs w:val="24"/>
        </w:rPr>
      </w:pPr>
    </w:p>
    <w:p w14:paraId="6C2DA243" w14:textId="77777777" w:rsidR="0084636E" w:rsidRPr="00E056B1" w:rsidRDefault="0084636E" w:rsidP="003D4DBF">
      <w:pPr>
        <w:spacing w:after="0" w:line="240" w:lineRule="auto"/>
        <w:jc w:val="both"/>
        <w:rPr>
          <w:rFonts w:ascii="Times New Roman" w:hAnsi="Times New Roman" w:cs="Times New Roman"/>
          <w:bCs/>
          <w:sz w:val="24"/>
          <w:szCs w:val="24"/>
        </w:rPr>
      </w:pPr>
    </w:p>
    <w:p w14:paraId="5680635F" w14:textId="77777777" w:rsidR="003D4DBF" w:rsidRPr="00E056B1" w:rsidRDefault="003D4DBF" w:rsidP="003D4DBF">
      <w:pPr>
        <w:spacing w:after="0" w:line="240" w:lineRule="auto"/>
        <w:jc w:val="both"/>
        <w:rPr>
          <w:rFonts w:ascii="Times New Roman" w:hAnsi="Times New Roman" w:cs="Times New Roman"/>
          <w:sz w:val="24"/>
          <w:szCs w:val="24"/>
        </w:rPr>
      </w:pPr>
    </w:p>
    <w:p w14:paraId="1671142C" w14:textId="77777777" w:rsidR="003D4DBF" w:rsidRPr="00E056B1" w:rsidRDefault="003D4DBF" w:rsidP="003D4DBF">
      <w:pPr>
        <w:spacing w:after="0" w:line="240" w:lineRule="auto"/>
        <w:outlineLvl w:val="2"/>
        <w:rPr>
          <w:rFonts w:ascii="Times New Roman" w:hAnsi="Times New Roman" w:cs="Times New Roman"/>
          <w:b/>
          <w:bCs/>
          <w:sz w:val="24"/>
          <w:szCs w:val="24"/>
        </w:rPr>
      </w:pPr>
      <w:bookmarkStart w:id="9" w:name="_Toc533413737"/>
      <w:r w:rsidRPr="00E056B1">
        <w:rPr>
          <w:rFonts w:ascii="Times New Roman" w:hAnsi="Times New Roman" w:cs="Times New Roman"/>
          <w:b/>
          <w:bCs/>
          <w:sz w:val="24"/>
          <w:szCs w:val="24"/>
        </w:rPr>
        <w:t>1.3. Objectifs à long terme pour la conservation de la diversité biologique</w:t>
      </w:r>
      <w:bookmarkEnd w:id="9"/>
    </w:p>
    <w:p w14:paraId="0B1F9B9A" w14:textId="77777777" w:rsidR="003D4DBF" w:rsidRPr="00E056B1" w:rsidRDefault="003D4DBF" w:rsidP="003D4DBF">
      <w:pPr>
        <w:autoSpaceDE w:val="0"/>
        <w:autoSpaceDN w:val="0"/>
        <w:adjustRightInd w:val="0"/>
        <w:spacing w:after="0" w:line="240" w:lineRule="auto"/>
        <w:rPr>
          <w:rFonts w:ascii="Times New Roman" w:hAnsi="Times New Roman" w:cs="Times New Roman"/>
          <w:sz w:val="24"/>
          <w:szCs w:val="24"/>
        </w:rPr>
      </w:pPr>
    </w:p>
    <w:p w14:paraId="56A11E96"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 xml:space="preserve">La SPANB 2011-2020 du Togo est avant tout une adhésion du pays au cadre </w:t>
      </w:r>
      <w:r w:rsidRPr="00E056B1">
        <w:rPr>
          <w:rStyle w:val="citation"/>
          <w:rFonts w:ascii="Times New Roman" w:hAnsi="Times New Roman" w:cs="Times New Roman"/>
          <w:iCs/>
          <w:sz w:val="24"/>
          <w:szCs w:val="24"/>
        </w:rPr>
        <w:t xml:space="preserve">général mis en place non seulement par les </w:t>
      </w:r>
      <w:r w:rsidRPr="00E056B1">
        <w:rPr>
          <w:rFonts w:ascii="Times New Roman" w:hAnsi="Times New Roman" w:cs="Times New Roman"/>
          <w:iCs/>
          <w:sz w:val="24"/>
          <w:szCs w:val="24"/>
        </w:rPr>
        <w:t>conventions</w:t>
      </w:r>
      <w:r w:rsidRPr="00E056B1">
        <w:rPr>
          <w:rStyle w:val="citation"/>
          <w:rFonts w:ascii="Times New Roman" w:hAnsi="Times New Roman" w:cs="Times New Roman"/>
          <w:iCs/>
          <w:sz w:val="24"/>
          <w:szCs w:val="24"/>
        </w:rPr>
        <w:t xml:space="preserve"> relatives à la biodiversité, mais aussi par le système des </w:t>
      </w:r>
      <w:r w:rsidRPr="00E056B1">
        <w:rPr>
          <w:rFonts w:ascii="Times New Roman" w:hAnsi="Times New Roman" w:cs="Times New Roman"/>
          <w:iCs/>
          <w:sz w:val="24"/>
          <w:szCs w:val="24"/>
        </w:rPr>
        <w:t>Nations Unies</w:t>
      </w:r>
      <w:r w:rsidRPr="00E056B1">
        <w:rPr>
          <w:rStyle w:val="citation"/>
          <w:rFonts w:ascii="Times New Roman" w:hAnsi="Times New Roman" w:cs="Times New Roman"/>
          <w:iCs/>
          <w:sz w:val="24"/>
          <w:szCs w:val="24"/>
        </w:rPr>
        <w:t>. Ce cadre</w:t>
      </w:r>
      <w:r w:rsidRPr="00E056B1">
        <w:rPr>
          <w:rFonts w:ascii="Times New Roman" w:hAnsi="Times New Roman" w:cs="Times New Roman"/>
          <w:sz w:val="24"/>
          <w:szCs w:val="24"/>
        </w:rPr>
        <w:t xml:space="preserve"> vise à "</w:t>
      </w:r>
      <w:r w:rsidRPr="00E056B1">
        <w:rPr>
          <w:rFonts w:ascii="Times New Roman" w:hAnsi="Times New Roman" w:cs="Times New Roman"/>
          <w:i/>
          <w:iCs/>
          <w:sz w:val="24"/>
          <w:szCs w:val="24"/>
        </w:rPr>
        <w:t>Vivre en harmonie avec la nature</w:t>
      </w:r>
      <w:r w:rsidRPr="00E056B1">
        <w:rPr>
          <w:rFonts w:ascii="Times New Roman" w:hAnsi="Times New Roman" w:cs="Times New Roman"/>
          <w:sz w:val="24"/>
          <w:szCs w:val="24"/>
        </w:rPr>
        <w:t xml:space="preserve">", avec comme vision mondiale à horizon 2050 que d'ici là, </w:t>
      </w:r>
      <w:r w:rsidRPr="00E056B1">
        <w:rPr>
          <w:rStyle w:val="citation"/>
          <w:rFonts w:ascii="Times New Roman" w:hAnsi="Times New Roman" w:cs="Times New Roman"/>
          <w:iCs/>
          <w:sz w:val="24"/>
          <w:szCs w:val="24"/>
        </w:rPr>
        <w:t>«</w:t>
      </w:r>
      <w:r w:rsidRPr="00E056B1">
        <w:rPr>
          <w:rStyle w:val="citation"/>
          <w:rFonts w:ascii="Times New Roman" w:hAnsi="Times New Roman" w:cs="Times New Roman"/>
          <w:i/>
          <w:iCs/>
          <w:sz w:val="24"/>
          <w:szCs w:val="24"/>
        </w:rPr>
        <w:t>la diversité biologique est valorisée, conservée, restaurée et utilisée avec sagesse, en assurant le maintien des services fournis par les écosystèmes, en maintenant la planète en bonne santé et en procurant des avantages essentiels à tous les peuples</w:t>
      </w:r>
      <w:r w:rsidRPr="00E056B1">
        <w:rPr>
          <w:rStyle w:val="citation"/>
          <w:rFonts w:ascii="Times New Roman" w:hAnsi="Times New Roman" w:cs="Times New Roman"/>
          <w:iCs/>
          <w:sz w:val="24"/>
          <w:szCs w:val="24"/>
        </w:rPr>
        <w:t>»</w:t>
      </w:r>
      <w:r w:rsidRPr="00E056B1">
        <w:rPr>
          <w:rFonts w:ascii="Times New Roman" w:hAnsi="Times New Roman" w:cs="Times New Roman"/>
          <w:sz w:val="24"/>
          <w:szCs w:val="24"/>
        </w:rPr>
        <w:t>. Sur cette base, les parties se sont notamment entendues pour:</w:t>
      </w:r>
    </w:p>
    <w:p w14:paraId="7E1F50CE" w14:textId="77777777" w:rsidR="003D4DBF" w:rsidRPr="00E056B1" w:rsidRDefault="003D4DBF" w:rsidP="00E50666">
      <w:pPr>
        <w:numPr>
          <w:ilvl w:val="0"/>
          <w:numId w:val="8"/>
        </w:num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réduire au moins de moitié, ou lorsque c’est possible à près de zéro, le taux de perte d’habitats naturels, y compris les forêts;</w:t>
      </w:r>
    </w:p>
    <w:p w14:paraId="126BF9C2" w14:textId="77777777" w:rsidR="003D4DBF" w:rsidRPr="00E056B1" w:rsidRDefault="003D4DBF" w:rsidP="00E50666">
      <w:pPr>
        <w:numPr>
          <w:ilvl w:val="0"/>
          <w:numId w:val="8"/>
        </w:num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fixer un objectif de sauvegarde de la biodiversité pour 17% des zones terrestres et des eaux continentales et pour 10% des zones marines et côtières;</w:t>
      </w:r>
    </w:p>
    <w:p w14:paraId="535931F6" w14:textId="77777777" w:rsidR="003D4DBF" w:rsidRPr="00E056B1" w:rsidRDefault="003D4DBF" w:rsidP="00E50666">
      <w:pPr>
        <w:numPr>
          <w:ilvl w:val="0"/>
          <w:numId w:val="8"/>
        </w:num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restaurer au moins 15% des zones dégradées et faire un effort spécial pour réduire les pressions qui pèsent sur les récifs coralliens.</w:t>
      </w:r>
    </w:p>
    <w:p w14:paraId="1FDE83D5" w14:textId="77777777" w:rsidR="003D4DBF" w:rsidRPr="00E056B1" w:rsidRDefault="003D4DBF" w:rsidP="003D4DBF">
      <w:pPr>
        <w:autoSpaceDE w:val="0"/>
        <w:autoSpaceDN w:val="0"/>
        <w:adjustRightInd w:val="0"/>
        <w:spacing w:after="0" w:line="240" w:lineRule="auto"/>
        <w:rPr>
          <w:rFonts w:ascii="Times New Roman" w:hAnsi="Times New Roman" w:cs="Times New Roman"/>
          <w:sz w:val="24"/>
          <w:szCs w:val="24"/>
        </w:rPr>
      </w:pPr>
    </w:p>
    <w:p w14:paraId="36745793" w14:textId="316CD77F"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Se référant à la vision globale à l’échelle mondiale dans le plan stratégique pour la diversité biologique 2011–2020 et conformément à la politique nationale de l’environnement, qui stipule que: «</w:t>
      </w:r>
      <w:r w:rsidRPr="00E056B1">
        <w:rPr>
          <w:rFonts w:ascii="Times New Roman" w:hAnsi="Times New Roman" w:cs="Times New Roman"/>
          <w:b/>
          <w:sz w:val="24"/>
          <w:szCs w:val="24"/>
        </w:rPr>
        <w:t xml:space="preserve"> En 2025, l’intégration de la dimension environnementale dans les plans, programmes et projets de développement est effective et le cadre de vie des Togolais connaît des améliorations garantissant la protection de la santé publique. La coordination de l’ensemble des actions des divers intervenants en matière de protection de l’environnement et de gestion des ressources naturelles est effective sous la responsabilité du ministère en </w:t>
      </w:r>
      <w:r w:rsidR="000B16F2">
        <w:rPr>
          <w:rFonts w:ascii="Times New Roman" w:hAnsi="Times New Roman" w:cs="Times New Roman"/>
          <w:b/>
          <w:sz w:val="24"/>
          <w:szCs w:val="24"/>
        </w:rPr>
        <w:t>charge de l’environnement au sei</w:t>
      </w:r>
      <w:r w:rsidRPr="00E056B1">
        <w:rPr>
          <w:rFonts w:ascii="Times New Roman" w:hAnsi="Times New Roman" w:cs="Times New Roman"/>
          <w:b/>
          <w:sz w:val="24"/>
          <w:szCs w:val="24"/>
        </w:rPr>
        <w:t>n de la commission nationale du développement durable. Le fonds national de l’environnement est opérationnel et ses ressources régulières financent les engagements prioritaires du gouvernement en matière d’environnement, conformément à sa planification, avec la contribution de ressources externes qu’une stratégie efficace permet de mobiliser régulièrement. Le cadre national de gestion de l’environnement est clair, opérationnel et en phase avec les contextes sous régionaux, régionaux et internationaux relatifs aux accords multilatéraux en matière d’environnement</w:t>
      </w:r>
      <w:r w:rsidRPr="00E056B1">
        <w:rPr>
          <w:rFonts w:ascii="Times New Roman" w:hAnsi="Times New Roman" w:cs="Times New Roman"/>
          <w:sz w:val="24"/>
          <w:szCs w:val="24"/>
        </w:rPr>
        <w:t> » ;</w:t>
      </w:r>
    </w:p>
    <w:p w14:paraId="28506A09" w14:textId="77777777" w:rsidR="003D4DBF" w:rsidRPr="00E056B1" w:rsidRDefault="003D4DBF" w:rsidP="003D4DBF">
      <w:pPr>
        <w:spacing w:after="0" w:line="240" w:lineRule="auto"/>
        <w:jc w:val="both"/>
        <w:rPr>
          <w:rFonts w:ascii="Times New Roman" w:hAnsi="Times New Roman" w:cs="Times New Roman"/>
          <w:sz w:val="24"/>
          <w:szCs w:val="24"/>
        </w:rPr>
      </w:pPr>
    </w:p>
    <w:p w14:paraId="3000A79F"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L’objectif national à long terme pour la conservation de la biodiversité au Togo se décline dans les termes suivants: «</w:t>
      </w:r>
      <w:r w:rsidRPr="00E056B1">
        <w:rPr>
          <w:rFonts w:ascii="Times New Roman" w:hAnsi="Times New Roman" w:cs="Times New Roman"/>
          <w:b/>
          <w:sz w:val="24"/>
          <w:szCs w:val="24"/>
        </w:rPr>
        <w:t>D’ici 2050, la diversité biologique des écosystèmes terrestres et aquatiques du Togo est valorisée, conservée, restaurée, utilisée durablement par les acteurs, et est résiliente à toutes les formes de menaces y compris les effets négatifs des changements climatiques afin d’atteindre un nouvel équilibre entre le développement économique, social et environnemental, au bénéfice des générations actuelles et futures</w:t>
      </w:r>
      <w:r w:rsidRPr="00E056B1">
        <w:rPr>
          <w:rFonts w:ascii="Times New Roman" w:hAnsi="Times New Roman" w:cs="Times New Roman"/>
          <w:sz w:val="24"/>
          <w:szCs w:val="24"/>
        </w:rPr>
        <w:t>».</w:t>
      </w:r>
    </w:p>
    <w:p w14:paraId="242B5C20" w14:textId="77777777" w:rsidR="003D4DBF" w:rsidRPr="00E056B1" w:rsidRDefault="003D4DBF" w:rsidP="003D4DBF">
      <w:pPr>
        <w:spacing w:after="0" w:line="240" w:lineRule="auto"/>
        <w:jc w:val="both"/>
        <w:rPr>
          <w:rFonts w:ascii="Times New Roman" w:hAnsi="Times New Roman" w:cs="Times New Roman"/>
          <w:bCs/>
          <w:sz w:val="24"/>
          <w:szCs w:val="24"/>
        </w:rPr>
      </w:pPr>
    </w:p>
    <w:p w14:paraId="2E79F78A" w14:textId="77777777" w:rsidR="003D4DBF" w:rsidRPr="00BC689A" w:rsidRDefault="003D4DBF" w:rsidP="003D4DBF">
      <w:pPr>
        <w:spacing w:after="0" w:line="240" w:lineRule="auto"/>
        <w:outlineLvl w:val="2"/>
        <w:rPr>
          <w:rFonts w:ascii="Times New Roman" w:hAnsi="Times New Roman" w:cs="Times New Roman"/>
          <w:b/>
          <w:bCs/>
          <w:sz w:val="24"/>
          <w:szCs w:val="24"/>
        </w:rPr>
      </w:pPr>
      <w:bookmarkStart w:id="10" w:name="_Toc533413738"/>
      <w:r>
        <w:rPr>
          <w:rFonts w:ascii="Times New Roman" w:hAnsi="Times New Roman" w:cs="Times New Roman"/>
          <w:b/>
          <w:bCs/>
          <w:sz w:val="24"/>
          <w:szCs w:val="24"/>
        </w:rPr>
        <w:t xml:space="preserve">1.4. </w:t>
      </w:r>
      <w:r w:rsidRPr="00BC689A">
        <w:rPr>
          <w:rFonts w:ascii="Times New Roman" w:hAnsi="Times New Roman" w:cs="Times New Roman"/>
          <w:b/>
          <w:bCs/>
          <w:sz w:val="24"/>
          <w:szCs w:val="24"/>
        </w:rPr>
        <w:t>Objectifs nationaux</w:t>
      </w:r>
      <w:r>
        <w:rPr>
          <w:rFonts w:ascii="Times New Roman" w:hAnsi="Times New Roman" w:cs="Times New Roman"/>
          <w:b/>
          <w:bCs/>
          <w:sz w:val="24"/>
          <w:szCs w:val="24"/>
        </w:rPr>
        <w:t xml:space="preserve"> et leur pertinence avec les Objectifs d’Aïchi pour la Biodiversité</w:t>
      </w:r>
      <w:bookmarkEnd w:id="10"/>
    </w:p>
    <w:p w14:paraId="181A40A7" w14:textId="77777777" w:rsidR="003D4DBF" w:rsidRPr="00E056B1" w:rsidRDefault="003D4DBF" w:rsidP="003D4DBF">
      <w:pPr>
        <w:spacing w:after="0" w:line="240" w:lineRule="auto"/>
        <w:jc w:val="both"/>
        <w:rPr>
          <w:rFonts w:ascii="Times New Roman" w:hAnsi="Times New Roman" w:cs="Times New Roman"/>
          <w:color w:val="000000"/>
          <w:sz w:val="24"/>
          <w:szCs w:val="24"/>
        </w:rPr>
      </w:pPr>
    </w:p>
    <w:p w14:paraId="422F0023"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color w:val="000000"/>
          <w:sz w:val="24"/>
          <w:szCs w:val="24"/>
        </w:rPr>
        <w:t>Tenant compte du contexte agroécologique et socioéconomique, des problèmes de gestion et des principes établis pour la conservation et l’utilisation durable de la biodiversité, 20 objectifs ont été retenus. En 2003, la SPANB du Togo avait mis l’accent sur le r</w:t>
      </w:r>
      <w:r w:rsidRPr="00E056B1">
        <w:rPr>
          <w:rFonts w:ascii="Times New Roman" w:hAnsi="Times New Roman" w:cs="Times New Roman"/>
          <w:sz w:val="24"/>
          <w:szCs w:val="24"/>
        </w:rPr>
        <w:t xml:space="preserve">enforcement des capacités juridiques et institutionnelles, la sécurisation du dispositif national de conservation et le partage équitable des ressources issues de la biodiversité. Avec les objectifs actuels (Tableau </w:t>
      </w:r>
      <w:r>
        <w:rPr>
          <w:rFonts w:ascii="Times New Roman" w:hAnsi="Times New Roman" w:cs="Times New Roman"/>
          <w:sz w:val="24"/>
          <w:szCs w:val="24"/>
        </w:rPr>
        <w:t>2</w:t>
      </w:r>
      <w:r w:rsidRPr="00E056B1">
        <w:rPr>
          <w:rFonts w:ascii="Times New Roman" w:hAnsi="Times New Roman" w:cs="Times New Roman"/>
          <w:sz w:val="24"/>
          <w:szCs w:val="24"/>
        </w:rPr>
        <w:t>), la SPANB actualisée a abordé des questions plus spécifiques à la préservation, la restauration et la valorisation de la diversité biologique afin de maintenir, à long terme, le fonctionnement des écosystèmes et leurs capacités de résilience au changement climatique. La nouvelle stratégie a aussi mis en exergue la menace que représentent aujourd’hui les espèces exotiques envahissantes et les moyens à mettre en œuvre pour les contrôler (Objectifs 9 et 19 d’Aïchi).</w:t>
      </w:r>
    </w:p>
    <w:p w14:paraId="202524C5" w14:textId="77777777" w:rsidR="003D4DBF" w:rsidRPr="00E056B1" w:rsidRDefault="003D4DBF" w:rsidP="003D4DBF">
      <w:pPr>
        <w:spacing w:after="0" w:line="240" w:lineRule="auto"/>
        <w:jc w:val="both"/>
        <w:rPr>
          <w:rFonts w:ascii="Times New Roman" w:hAnsi="Times New Roman" w:cs="Times New Roman"/>
          <w:sz w:val="24"/>
          <w:szCs w:val="24"/>
        </w:rPr>
      </w:pPr>
    </w:p>
    <w:p w14:paraId="4C005C2D"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 xml:space="preserve">En outre, les objectifs retenus demandent un leadership, un fort engagement et une volonté politique de la part de l’Etat. Toutefois, la mise en œuvre des actions proposées n’est plus seulement une affaire de l’Etat mais aussi des collectivités locales, du secteur privé et des différents acteurs de la société civile. Pour ce faire, les objectifs visent le développement d’une culture commune de solidarité écologique à des échelles locale, régionale et nationale. </w:t>
      </w:r>
    </w:p>
    <w:p w14:paraId="44DD168B" w14:textId="77777777" w:rsidR="003D4DBF" w:rsidRPr="00E056B1" w:rsidRDefault="003D4DBF" w:rsidP="003D4DBF">
      <w:pPr>
        <w:spacing w:after="0" w:line="240" w:lineRule="auto"/>
        <w:jc w:val="both"/>
        <w:rPr>
          <w:rFonts w:ascii="Times New Roman" w:hAnsi="Times New Roman" w:cs="Times New Roman"/>
          <w:sz w:val="24"/>
          <w:szCs w:val="24"/>
        </w:rPr>
      </w:pPr>
    </w:p>
    <w:p w14:paraId="70B6B76C"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Par ailleurs, les objectifs retenus s’appuient sur les instruments internationaux de gestion durable de la biodiversité (REDD+, Protocole de Nagoya) pour en faire un usage durable et équitable. La stratégie qui en est découlée s’inscrit dans un «processus collaboratif» et citoyen, et dans un «projet de société» visant à changer le rapport à la nature de tous les togolais où qu’ils se trouvent, pour un «mieux-être des générations présentes et futures».</w:t>
      </w:r>
    </w:p>
    <w:p w14:paraId="2CA79DC6" w14:textId="77777777" w:rsidR="003D4DBF" w:rsidRPr="00E056B1" w:rsidRDefault="003D4DBF" w:rsidP="003D4DBF">
      <w:pPr>
        <w:spacing w:after="0" w:line="240" w:lineRule="auto"/>
        <w:rPr>
          <w:rFonts w:ascii="Times New Roman" w:hAnsi="Times New Roman" w:cs="Times New Roman"/>
          <w:sz w:val="24"/>
          <w:szCs w:val="24"/>
        </w:rPr>
      </w:pPr>
    </w:p>
    <w:p w14:paraId="355C925E" w14:textId="77777777" w:rsidR="003D4DBF" w:rsidRPr="00E056B1" w:rsidRDefault="003D4DBF" w:rsidP="003D4DBF">
      <w:pPr>
        <w:spacing w:after="0" w:line="240" w:lineRule="auto"/>
        <w:jc w:val="both"/>
        <w:rPr>
          <w:rFonts w:ascii="Times New Roman" w:hAnsi="Times New Roman" w:cs="Times New Roman"/>
          <w:sz w:val="24"/>
          <w:szCs w:val="24"/>
          <w:lang w:val="fr-CA"/>
        </w:rPr>
      </w:pPr>
      <w:r>
        <w:rPr>
          <w:rFonts w:ascii="Times New Roman" w:hAnsi="Times New Roman" w:cs="Times New Roman"/>
          <w:sz w:val="24"/>
          <w:szCs w:val="24"/>
        </w:rPr>
        <w:t xml:space="preserve">Vingt (20) </w:t>
      </w:r>
      <w:r w:rsidRPr="00E056B1">
        <w:rPr>
          <w:rFonts w:ascii="Times New Roman" w:hAnsi="Times New Roman" w:cs="Times New Roman"/>
          <w:sz w:val="24"/>
          <w:szCs w:val="24"/>
        </w:rPr>
        <w:t>objectifs nationaux pour la biodiversité</w:t>
      </w:r>
      <w:r>
        <w:rPr>
          <w:rFonts w:ascii="Times New Roman" w:hAnsi="Times New Roman" w:cs="Times New Roman"/>
          <w:sz w:val="24"/>
          <w:szCs w:val="24"/>
        </w:rPr>
        <w:t xml:space="preserve"> ont été définis. A la suite de leur adoption,</w:t>
      </w:r>
      <w:r w:rsidRPr="00E056B1">
        <w:rPr>
          <w:rFonts w:ascii="Times New Roman" w:hAnsi="Times New Roman" w:cs="Times New Roman"/>
          <w:sz w:val="24"/>
          <w:szCs w:val="24"/>
          <w:lang w:val="fr-CA"/>
        </w:rPr>
        <w:t xml:space="preserve"> plusieurs Objectifs d’Aichi en sont totalement ou partiellement lié</w:t>
      </w:r>
      <w:r>
        <w:rPr>
          <w:rFonts w:ascii="Times New Roman" w:hAnsi="Times New Roman" w:cs="Times New Roman"/>
          <w:sz w:val="24"/>
          <w:szCs w:val="24"/>
          <w:lang w:val="fr-CA"/>
        </w:rPr>
        <w:t>s</w:t>
      </w:r>
      <w:r w:rsidRPr="00E056B1">
        <w:rPr>
          <w:rFonts w:ascii="Times New Roman" w:hAnsi="Times New Roman" w:cs="Times New Roman"/>
          <w:sz w:val="24"/>
          <w:szCs w:val="24"/>
          <w:lang w:val="fr-CA"/>
        </w:rPr>
        <w:t xml:space="preserve"> (Tableau </w:t>
      </w:r>
      <w:r>
        <w:rPr>
          <w:rFonts w:ascii="Times New Roman" w:hAnsi="Times New Roman" w:cs="Times New Roman"/>
          <w:sz w:val="24"/>
          <w:szCs w:val="24"/>
          <w:lang w:val="fr-CA"/>
        </w:rPr>
        <w:t>2</w:t>
      </w:r>
      <w:r w:rsidRPr="00E056B1">
        <w:rPr>
          <w:rFonts w:ascii="Times New Roman" w:hAnsi="Times New Roman" w:cs="Times New Roman"/>
          <w:sz w:val="24"/>
          <w:szCs w:val="24"/>
          <w:lang w:val="fr-CA"/>
        </w:rPr>
        <w:t>).</w:t>
      </w:r>
    </w:p>
    <w:p w14:paraId="3B67E708" w14:textId="77777777" w:rsidR="003D4DBF" w:rsidRPr="00E056B1" w:rsidRDefault="003D4DBF" w:rsidP="003D4DBF">
      <w:pPr>
        <w:spacing w:after="0" w:line="240" w:lineRule="auto"/>
        <w:jc w:val="both"/>
        <w:rPr>
          <w:rFonts w:ascii="Times New Roman" w:hAnsi="Times New Roman" w:cs="Times New Roman"/>
          <w:sz w:val="24"/>
          <w:szCs w:val="24"/>
          <w:lang w:val="fr-CA"/>
        </w:rPr>
      </w:pPr>
    </w:p>
    <w:p w14:paraId="1C16F14E" w14:textId="77777777" w:rsidR="003D4DBF" w:rsidRDefault="003D4DBF" w:rsidP="003D4DBF">
      <w:pPr>
        <w:pStyle w:val="Lgende"/>
        <w:rPr>
          <w:rFonts w:ascii="Times New Roman" w:hAnsi="Times New Roman"/>
          <w:sz w:val="24"/>
          <w:szCs w:val="24"/>
        </w:rPr>
        <w:sectPr w:rsidR="003D4DBF" w:rsidSect="00497C9F">
          <w:pgSz w:w="11906" w:h="16838"/>
          <w:pgMar w:top="1418" w:right="1418" w:bottom="1418" w:left="1418" w:header="709" w:footer="709" w:gutter="0"/>
          <w:cols w:space="708"/>
          <w:docGrid w:linePitch="360"/>
        </w:sectPr>
      </w:pPr>
    </w:p>
    <w:p w14:paraId="3733F72E" w14:textId="2696295E" w:rsidR="003D4DBF" w:rsidRPr="00E077DE" w:rsidRDefault="003D4DBF" w:rsidP="003D4DBF">
      <w:pPr>
        <w:pStyle w:val="Lgende"/>
        <w:jc w:val="center"/>
        <w:rPr>
          <w:rFonts w:ascii="Times New Roman" w:hAnsi="Times New Roman"/>
          <w:sz w:val="24"/>
          <w:szCs w:val="24"/>
        </w:rPr>
      </w:pPr>
      <w:bookmarkStart w:id="11" w:name="_Toc533413473"/>
      <w:r w:rsidRPr="00E077DE">
        <w:rPr>
          <w:rFonts w:ascii="Times New Roman" w:hAnsi="Times New Roman"/>
          <w:sz w:val="24"/>
          <w:szCs w:val="24"/>
        </w:rPr>
        <w:t xml:space="preserve">Tableau </w:t>
      </w:r>
      <w:r w:rsidRPr="00E077DE">
        <w:rPr>
          <w:rFonts w:ascii="Times New Roman" w:hAnsi="Times New Roman"/>
          <w:sz w:val="24"/>
          <w:szCs w:val="24"/>
        </w:rPr>
        <w:fldChar w:fldCharType="begin"/>
      </w:r>
      <w:r w:rsidRPr="00E077DE">
        <w:rPr>
          <w:rFonts w:ascii="Times New Roman" w:hAnsi="Times New Roman"/>
          <w:sz w:val="24"/>
          <w:szCs w:val="24"/>
        </w:rPr>
        <w:instrText xml:space="preserve"> SEQ Tableau \* ARABIC </w:instrText>
      </w:r>
      <w:r w:rsidRPr="00E077DE">
        <w:rPr>
          <w:rFonts w:ascii="Times New Roman" w:hAnsi="Times New Roman"/>
          <w:sz w:val="24"/>
          <w:szCs w:val="24"/>
        </w:rPr>
        <w:fldChar w:fldCharType="separate"/>
      </w:r>
      <w:r w:rsidR="00C47BFF">
        <w:rPr>
          <w:rFonts w:ascii="Times New Roman" w:hAnsi="Times New Roman"/>
          <w:noProof/>
          <w:sz w:val="24"/>
          <w:szCs w:val="24"/>
        </w:rPr>
        <w:t>2</w:t>
      </w:r>
      <w:r w:rsidRPr="00E077DE">
        <w:rPr>
          <w:rFonts w:ascii="Times New Roman" w:hAnsi="Times New Roman"/>
          <w:sz w:val="24"/>
          <w:szCs w:val="24"/>
        </w:rPr>
        <w:fldChar w:fldCharType="end"/>
      </w:r>
      <w:r w:rsidRPr="00E077DE">
        <w:rPr>
          <w:rFonts w:ascii="Times New Roman" w:hAnsi="Times New Roman"/>
          <w:sz w:val="24"/>
          <w:szCs w:val="24"/>
        </w:rPr>
        <w:t>: Lien entre les Objectifs d’Aichi et les objectifs nationaux pour la biodiversité</w:t>
      </w:r>
      <w:bookmarkEnd w:id="11"/>
    </w:p>
    <w:tbl>
      <w:tblPr>
        <w:tblStyle w:val="Grilledutableau"/>
        <w:tblW w:w="14885" w:type="dxa"/>
        <w:tblInd w:w="-289" w:type="dxa"/>
        <w:tblLook w:val="04A0" w:firstRow="1" w:lastRow="0" w:firstColumn="1" w:lastColumn="0" w:noHBand="0" w:noVBand="1"/>
      </w:tblPr>
      <w:tblGrid>
        <w:gridCol w:w="3686"/>
        <w:gridCol w:w="3261"/>
        <w:gridCol w:w="2976"/>
        <w:gridCol w:w="2694"/>
        <w:gridCol w:w="2268"/>
      </w:tblGrid>
      <w:tr w:rsidR="003D4DBF" w:rsidRPr="00E056B1" w14:paraId="521A10E6" w14:textId="77777777" w:rsidTr="00B0200A">
        <w:trPr>
          <w:tblHeader/>
        </w:trPr>
        <w:tc>
          <w:tcPr>
            <w:tcW w:w="3686" w:type="dxa"/>
            <w:vAlign w:val="center"/>
          </w:tcPr>
          <w:p w14:paraId="5F9E823D" w14:textId="77777777" w:rsidR="003D4DBF" w:rsidRPr="00E056B1" w:rsidRDefault="003D4DBF" w:rsidP="00B0200A">
            <w:pPr>
              <w:jc w:val="both"/>
              <w:rPr>
                <w:rFonts w:ascii="Times New Roman" w:hAnsi="Times New Roman" w:cs="Times New Roman"/>
                <w:b/>
                <w:bCs/>
                <w:color w:val="000000"/>
                <w:sz w:val="24"/>
                <w:szCs w:val="24"/>
              </w:rPr>
            </w:pPr>
            <w:r w:rsidRPr="00E056B1">
              <w:rPr>
                <w:rFonts w:ascii="Times New Roman" w:hAnsi="Times New Roman" w:cs="Times New Roman"/>
                <w:b/>
                <w:sz w:val="24"/>
                <w:szCs w:val="24"/>
                <w:lang w:val="fr-CA"/>
              </w:rPr>
              <w:t>Principaux Objectifs d’Aichi pour la biodiversité</w:t>
            </w:r>
          </w:p>
        </w:tc>
        <w:tc>
          <w:tcPr>
            <w:tcW w:w="11199" w:type="dxa"/>
            <w:gridSpan w:val="4"/>
            <w:vAlign w:val="center"/>
          </w:tcPr>
          <w:p w14:paraId="5EF758E4" w14:textId="77777777" w:rsidR="003D4DBF" w:rsidRPr="00E056B1" w:rsidRDefault="003D4DBF" w:rsidP="00B0200A">
            <w:pPr>
              <w:jc w:val="both"/>
              <w:rPr>
                <w:rFonts w:ascii="Times New Roman" w:hAnsi="Times New Roman" w:cs="Times New Roman"/>
                <w:b/>
                <w:sz w:val="24"/>
                <w:szCs w:val="24"/>
              </w:rPr>
            </w:pPr>
            <w:r w:rsidRPr="00E056B1">
              <w:rPr>
                <w:rFonts w:ascii="Times New Roman" w:hAnsi="Times New Roman" w:cs="Times New Roman"/>
                <w:b/>
                <w:sz w:val="24"/>
                <w:szCs w:val="24"/>
              </w:rPr>
              <w:t>Objectifs nationaux correspondants</w:t>
            </w:r>
          </w:p>
        </w:tc>
      </w:tr>
      <w:tr w:rsidR="003D4DBF" w:rsidRPr="00E056B1" w14:paraId="249EDC9E" w14:textId="77777777" w:rsidTr="00B0200A">
        <w:tc>
          <w:tcPr>
            <w:tcW w:w="14885" w:type="dxa"/>
            <w:gridSpan w:val="5"/>
            <w:vAlign w:val="center"/>
          </w:tcPr>
          <w:p w14:paraId="4D071AE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i/>
                <w:iCs/>
                <w:color w:val="186342"/>
                <w:sz w:val="24"/>
                <w:szCs w:val="24"/>
              </w:rPr>
              <w:t xml:space="preserve">But stratégique A: </w:t>
            </w:r>
            <w:r w:rsidRPr="00E056B1">
              <w:rPr>
                <w:rFonts w:ascii="Times New Roman" w:hAnsi="Times New Roman" w:cs="Times New Roman"/>
                <w:b/>
                <w:i/>
                <w:iCs/>
                <w:color w:val="000000"/>
                <w:sz w:val="24"/>
                <w:szCs w:val="24"/>
              </w:rPr>
              <w:t>Gérer les causes sous-jacentes de l’appauvrissement de la diversité biologique en intégrant la diversité biologique dans l’ensemble du gouvernement de la société</w:t>
            </w:r>
          </w:p>
        </w:tc>
      </w:tr>
      <w:tr w:rsidR="003D4DBF" w:rsidRPr="00E056B1" w14:paraId="3F4CA196" w14:textId="77777777" w:rsidTr="00B0200A">
        <w:tc>
          <w:tcPr>
            <w:tcW w:w="3686" w:type="dxa"/>
            <w:vAlign w:val="center"/>
          </w:tcPr>
          <w:p w14:paraId="7D8259AF" w14:textId="3FD35D3B"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 </w:t>
            </w:r>
            <w:r w:rsidRPr="00E056B1">
              <w:rPr>
                <w:rFonts w:ascii="Times New Roman" w:hAnsi="Times New Roman" w:cs="Times New Roman"/>
                <w:color w:val="000000"/>
                <w:sz w:val="24"/>
                <w:szCs w:val="24"/>
              </w:rPr>
              <w:t>D’ici à 2020 au plus tard, les individus sont conscients de la</w:t>
            </w:r>
            <w:r w:rsidR="000B16F2">
              <w:rPr>
                <w:rFonts w:ascii="Times New Roman" w:hAnsi="Times New Roman" w:cs="Times New Roman"/>
                <w:color w:val="000000"/>
                <w:sz w:val="24"/>
                <w:szCs w:val="24"/>
              </w:rPr>
              <w:t xml:space="preserve"> </w:t>
            </w:r>
            <w:r w:rsidRPr="00E056B1">
              <w:rPr>
                <w:rFonts w:ascii="Times New Roman" w:hAnsi="Times New Roman" w:cs="Times New Roman"/>
                <w:color w:val="000000"/>
                <w:sz w:val="24"/>
                <w:szCs w:val="24"/>
              </w:rPr>
              <w:t>valeur de la diversité biologique et des mesures qu’ils peuvent prendre</w:t>
            </w:r>
            <w:r w:rsidR="000B16F2">
              <w:rPr>
                <w:rFonts w:ascii="Times New Roman" w:hAnsi="Times New Roman" w:cs="Times New Roman"/>
                <w:color w:val="000000"/>
                <w:sz w:val="24"/>
                <w:szCs w:val="24"/>
              </w:rPr>
              <w:t xml:space="preserve"> </w:t>
            </w:r>
            <w:r w:rsidRPr="00E056B1">
              <w:rPr>
                <w:rFonts w:ascii="Times New Roman" w:hAnsi="Times New Roman" w:cs="Times New Roman"/>
                <w:color w:val="000000"/>
                <w:sz w:val="24"/>
                <w:szCs w:val="24"/>
              </w:rPr>
              <w:t>pour la conserver et l’utiliser de manière durable</w:t>
            </w:r>
          </w:p>
        </w:tc>
        <w:tc>
          <w:tcPr>
            <w:tcW w:w="3261" w:type="dxa"/>
            <w:vAlign w:val="center"/>
          </w:tcPr>
          <w:p w14:paraId="0CB788F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w:t>
            </w:r>
            <w:r w:rsidRPr="00E056B1">
              <w:rPr>
                <w:rFonts w:ascii="Times New Roman" w:hAnsi="Times New Roman" w:cs="Times New Roman"/>
                <w:sz w:val="24"/>
                <w:szCs w:val="24"/>
              </w:rPr>
              <w:t>. Développer une approche intégrée de sensibilisation pour que d’ici à 2020, 50 % de la population togolaise soient mobilisées pour la conservation et l’utilisation durable de la biodiversité</w:t>
            </w:r>
          </w:p>
        </w:tc>
        <w:tc>
          <w:tcPr>
            <w:tcW w:w="2976" w:type="dxa"/>
            <w:vAlign w:val="center"/>
          </w:tcPr>
          <w:p w14:paraId="780D042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694" w:type="dxa"/>
            <w:vAlign w:val="center"/>
          </w:tcPr>
          <w:p w14:paraId="26642E85"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4. </w:t>
            </w:r>
            <w:r w:rsidRPr="00E056B1">
              <w:rPr>
                <w:rFonts w:ascii="Times New Roman" w:hAnsi="Times New Roman" w:cs="Times New Roman"/>
                <w:sz w:val="24"/>
                <w:szCs w:val="24"/>
              </w:rPr>
              <w:t>Renforcer les cadres juridique, institutionnel et la gouvernance d’ici 2018 afin de créer un environnement favorable à la lutte effective contre l’érosion de la biodiversité</w:t>
            </w:r>
          </w:p>
        </w:tc>
        <w:tc>
          <w:tcPr>
            <w:tcW w:w="2268" w:type="dxa"/>
            <w:vAlign w:val="center"/>
          </w:tcPr>
          <w:p w14:paraId="6C59778F" w14:textId="77777777" w:rsidR="003D4DBF" w:rsidRPr="00E056B1" w:rsidRDefault="003D4DBF" w:rsidP="00B0200A">
            <w:pPr>
              <w:jc w:val="both"/>
              <w:rPr>
                <w:rFonts w:ascii="Times New Roman" w:hAnsi="Times New Roman" w:cs="Times New Roman"/>
                <w:sz w:val="24"/>
                <w:szCs w:val="24"/>
              </w:rPr>
            </w:pPr>
          </w:p>
        </w:tc>
      </w:tr>
      <w:tr w:rsidR="003D4DBF" w:rsidRPr="00E056B1" w14:paraId="213793C0" w14:textId="77777777" w:rsidTr="00B0200A">
        <w:tc>
          <w:tcPr>
            <w:tcW w:w="3686" w:type="dxa"/>
            <w:vAlign w:val="center"/>
          </w:tcPr>
          <w:p w14:paraId="79DFBC0C"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2: </w:t>
            </w:r>
            <w:r w:rsidRPr="00E056B1">
              <w:rPr>
                <w:rFonts w:ascii="Times New Roman" w:hAnsi="Times New Roman" w:cs="Times New Roman"/>
                <w:color w:val="000000"/>
                <w:sz w:val="24"/>
                <w:szCs w:val="24"/>
              </w:rPr>
              <w:t>D’ici à 2020 au plus tard, les valeurs de la diversité biologique ont été intégrées dans les stratégies et les processus de planification nationaux et locaux de développement et de réduction de la pauvreté, et incorporées dans les comptes nationaux, selon que de besoin, et dans les systèmes de notification</w:t>
            </w:r>
          </w:p>
        </w:tc>
        <w:tc>
          <w:tcPr>
            <w:tcW w:w="3261" w:type="dxa"/>
            <w:vAlign w:val="center"/>
          </w:tcPr>
          <w:p w14:paraId="173E2048"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976" w:type="dxa"/>
            <w:vAlign w:val="center"/>
          </w:tcPr>
          <w:p w14:paraId="456930D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3.</w:t>
            </w:r>
            <w:r w:rsidRPr="00E056B1">
              <w:rPr>
                <w:rFonts w:ascii="Times New Roman" w:hAnsi="Times New Roman" w:cs="Times New Roman"/>
                <w:sz w:val="24"/>
                <w:szCs w:val="24"/>
              </w:rPr>
              <w:t xml:space="preserve"> Elaborer d’</w:t>
            </w:r>
            <w:r w:rsidRPr="00E056B1">
              <w:rPr>
                <w:rFonts w:ascii="Times New Roman" w:hAnsi="Times New Roman" w:cs="Times New Roman"/>
                <w:iCs/>
                <w:sz w:val="24"/>
                <w:szCs w:val="24"/>
              </w:rPr>
              <w:t>ici à 2017 un schéma national d’aménagement du territoire, précisant les zones consacrées à l’agriculture, l’aquaculture, la sylviculture et la conservation de la diversité biologique, etc.</w:t>
            </w:r>
          </w:p>
        </w:tc>
        <w:tc>
          <w:tcPr>
            <w:tcW w:w="2694" w:type="dxa"/>
            <w:vAlign w:val="center"/>
          </w:tcPr>
          <w:p w14:paraId="6F82806A"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16.</w:t>
            </w:r>
            <w:r w:rsidRPr="00E056B1">
              <w:rPr>
                <w:rFonts w:ascii="Times New Roman" w:hAnsi="Times New Roman" w:cs="Times New Roman"/>
                <w:sz w:val="24"/>
                <w:szCs w:val="24"/>
              </w:rPr>
              <w:t xml:space="preserve"> Mettre en place d’ici à 2018 un système de référence MRV (Mesure, Rapportage et Vérification) </w:t>
            </w:r>
            <w:r w:rsidRPr="00E056B1">
              <w:rPr>
                <w:rFonts w:ascii="Times New Roman" w:hAnsi="Times New Roman" w:cs="Times New Roman"/>
                <w:iCs/>
                <w:sz w:val="24"/>
                <w:szCs w:val="24"/>
              </w:rPr>
              <w:t>afin de renforcer la résilience des écosystèmes et de la biodiversité contre les changements climatiques</w:t>
            </w:r>
          </w:p>
        </w:tc>
        <w:tc>
          <w:tcPr>
            <w:tcW w:w="2268" w:type="dxa"/>
            <w:vAlign w:val="center"/>
          </w:tcPr>
          <w:p w14:paraId="7C854F13" w14:textId="77777777" w:rsidR="003D4DBF" w:rsidRPr="00E056B1" w:rsidRDefault="003D4DBF" w:rsidP="00B0200A">
            <w:pPr>
              <w:jc w:val="both"/>
              <w:rPr>
                <w:rFonts w:ascii="Times New Roman" w:hAnsi="Times New Roman" w:cs="Times New Roman"/>
                <w:sz w:val="24"/>
                <w:szCs w:val="24"/>
              </w:rPr>
            </w:pPr>
          </w:p>
        </w:tc>
      </w:tr>
      <w:tr w:rsidR="003D4DBF" w:rsidRPr="00E056B1" w14:paraId="1B0DE370" w14:textId="77777777" w:rsidTr="00B0200A">
        <w:tc>
          <w:tcPr>
            <w:tcW w:w="3686" w:type="dxa"/>
            <w:vAlign w:val="center"/>
          </w:tcPr>
          <w:p w14:paraId="6C2BEC5D"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3: </w:t>
            </w:r>
            <w:r w:rsidRPr="00E056B1">
              <w:rPr>
                <w:rFonts w:ascii="Times New Roman" w:hAnsi="Times New Roman" w:cs="Times New Roman"/>
                <w:color w:val="000000"/>
                <w:sz w:val="24"/>
                <w:szCs w:val="24"/>
              </w:rPr>
              <w:t>D’ici à 2020 au plus tard, les incitations, y compris les subventions néfastes pour la diversité biologique, sont éliminées, réduites progressivement ou réformées, afin de réduire au minimum ou d’éviter les impacts défavorables, et des incitations positives en faveur de la conservation et de l’utilisation durable de la diversité biologique sont élaborées et appliquées, d’une manière compatible et en harmonie avec les dispositions de la Convention et les obligations internationales en vigueur, en tenant compte des conditions socioéconomiques nationales</w:t>
            </w:r>
          </w:p>
        </w:tc>
        <w:tc>
          <w:tcPr>
            <w:tcW w:w="3261" w:type="dxa"/>
            <w:vAlign w:val="center"/>
          </w:tcPr>
          <w:p w14:paraId="6C178DCA"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w:t>
            </w:r>
            <w:r w:rsidRPr="00E056B1">
              <w:rPr>
                <w:rFonts w:ascii="Times New Roman" w:hAnsi="Times New Roman" w:cs="Times New Roman"/>
                <w:sz w:val="24"/>
                <w:szCs w:val="24"/>
              </w:rPr>
              <w:t>. Développer une approche intégrée de sensibilisation pour que d’ici à 2020, 50 % de la population togolaise soient mobilisées pour la conservation et l’utilisation durable de la biodiversité</w:t>
            </w:r>
          </w:p>
        </w:tc>
        <w:tc>
          <w:tcPr>
            <w:tcW w:w="2976" w:type="dxa"/>
            <w:vAlign w:val="center"/>
          </w:tcPr>
          <w:p w14:paraId="5EA76EB3"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694" w:type="dxa"/>
            <w:vAlign w:val="center"/>
          </w:tcPr>
          <w:p w14:paraId="584EADA8"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12. </w:t>
            </w:r>
            <w:r w:rsidRPr="00E056B1">
              <w:rPr>
                <w:rFonts w:ascii="Times New Roman" w:hAnsi="Times New Roman" w:cs="Times New Roman"/>
                <w:iCs/>
                <w:sz w:val="24"/>
                <w:szCs w:val="24"/>
              </w:rPr>
              <w:t>Réduire significativement d’ici à 2018 l’érosion génétique de la diversité génétique des plantes cultivées, des animaux d’élevage et des parents sauvages, des espèces à valeur socio-économique ou culturelle</w:t>
            </w:r>
          </w:p>
        </w:tc>
        <w:tc>
          <w:tcPr>
            <w:tcW w:w="2268" w:type="dxa"/>
            <w:vAlign w:val="center"/>
          </w:tcPr>
          <w:p w14:paraId="5D68DDB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17.</w:t>
            </w:r>
            <w:r w:rsidRPr="00E056B1">
              <w:rPr>
                <w:rFonts w:ascii="Times New Roman" w:hAnsi="Times New Roman" w:cs="Times New Roman"/>
                <w:sz w:val="24"/>
                <w:szCs w:val="24"/>
              </w:rPr>
              <w:t xml:space="preserve"> Initier des mécanismes de partage équitable des avantages issus de l’utilisation de la biodiversité à toutes les échelles après la ratification </w:t>
            </w:r>
            <w:r w:rsidRPr="00E056B1">
              <w:rPr>
                <w:rFonts w:ascii="Times New Roman" w:hAnsi="Times New Roman" w:cs="Times New Roman"/>
                <w:iCs/>
                <w:sz w:val="24"/>
                <w:szCs w:val="24"/>
              </w:rPr>
              <w:t>d’ici à 2015 du Protocole de Nagoya</w:t>
            </w:r>
          </w:p>
        </w:tc>
      </w:tr>
      <w:tr w:rsidR="003D4DBF" w:rsidRPr="00E056B1" w14:paraId="09A61536" w14:textId="77777777" w:rsidTr="00B0200A">
        <w:tc>
          <w:tcPr>
            <w:tcW w:w="3686" w:type="dxa"/>
            <w:vAlign w:val="center"/>
          </w:tcPr>
          <w:p w14:paraId="7EDAF72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4: </w:t>
            </w:r>
            <w:r w:rsidRPr="00E056B1">
              <w:rPr>
                <w:rFonts w:ascii="Times New Roman" w:hAnsi="Times New Roman" w:cs="Times New Roman"/>
                <w:color w:val="000000"/>
                <w:sz w:val="24"/>
                <w:szCs w:val="24"/>
              </w:rPr>
              <w:t>D’ici à 2020 au plus tard, les gouvernements, les entreprises et les parties prenantes, à tous les niveaux, ont pris des mesures ou ont appliqué des plans pour assurer une production et une consommation durables, et ont maintenu les incidences de l’utilisation des ressources naturelles dans des limites écologiques sûres</w:t>
            </w:r>
          </w:p>
        </w:tc>
        <w:tc>
          <w:tcPr>
            <w:tcW w:w="3261" w:type="dxa"/>
            <w:vAlign w:val="center"/>
          </w:tcPr>
          <w:p w14:paraId="3147BD1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w:t>
            </w:r>
            <w:r w:rsidRPr="00E056B1">
              <w:rPr>
                <w:rFonts w:ascii="Times New Roman" w:hAnsi="Times New Roman" w:cs="Times New Roman"/>
                <w:sz w:val="24"/>
                <w:szCs w:val="24"/>
              </w:rPr>
              <w:t>. Développer une approche intégrée de sensibilisation pour que d’ici à 2020, 50 % de la population togolaise soient mobilisées pour la conservation et l’utilisation durable de la biodiversité</w:t>
            </w:r>
          </w:p>
        </w:tc>
        <w:tc>
          <w:tcPr>
            <w:tcW w:w="2976" w:type="dxa"/>
            <w:vAlign w:val="center"/>
          </w:tcPr>
          <w:p w14:paraId="282D672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694" w:type="dxa"/>
            <w:vAlign w:val="center"/>
          </w:tcPr>
          <w:p w14:paraId="70DA4609"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4. </w:t>
            </w:r>
            <w:r w:rsidRPr="00E056B1">
              <w:rPr>
                <w:rFonts w:ascii="Times New Roman" w:hAnsi="Times New Roman" w:cs="Times New Roman"/>
                <w:sz w:val="24"/>
                <w:szCs w:val="24"/>
              </w:rPr>
              <w:t>Renforcer les cadres juridique, institutionnel et la gouvernance d’ici 2018 afin de créer un environnement favorable à la lutte effective contre l’érosion de la biodiversité</w:t>
            </w:r>
          </w:p>
        </w:tc>
        <w:tc>
          <w:tcPr>
            <w:tcW w:w="2268" w:type="dxa"/>
            <w:vAlign w:val="center"/>
          </w:tcPr>
          <w:p w14:paraId="00BDBA7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5. </w:t>
            </w:r>
            <w:r w:rsidRPr="00E056B1">
              <w:rPr>
                <w:rFonts w:ascii="Times New Roman" w:hAnsi="Times New Roman" w:cs="Times New Roman"/>
                <w:iCs/>
                <w:sz w:val="24"/>
                <w:szCs w:val="24"/>
              </w:rPr>
              <w:t>Réduire à l’horizon 2020, le rythme de dégradation et de fragmentation des habitats naturels à 2 %</w:t>
            </w:r>
          </w:p>
        </w:tc>
      </w:tr>
      <w:tr w:rsidR="003D4DBF" w:rsidRPr="00E056B1" w14:paraId="62DB9B13" w14:textId="77777777" w:rsidTr="00B0200A">
        <w:tc>
          <w:tcPr>
            <w:tcW w:w="14885" w:type="dxa"/>
            <w:gridSpan w:val="5"/>
            <w:vAlign w:val="center"/>
          </w:tcPr>
          <w:p w14:paraId="438866C6"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i/>
                <w:iCs/>
                <w:color w:val="00658C"/>
                <w:sz w:val="24"/>
                <w:szCs w:val="24"/>
              </w:rPr>
              <w:t xml:space="preserve">But stratégique B: </w:t>
            </w:r>
            <w:r w:rsidRPr="00E056B1">
              <w:rPr>
                <w:rFonts w:ascii="Times New Roman" w:hAnsi="Times New Roman" w:cs="Times New Roman"/>
                <w:b/>
                <w:i/>
                <w:iCs/>
                <w:color w:val="000000"/>
                <w:sz w:val="24"/>
                <w:szCs w:val="24"/>
              </w:rPr>
              <w:t>Réduire les pressions directes exercées sur la diversité biologique et encourager l’utilisation durable</w:t>
            </w:r>
          </w:p>
        </w:tc>
      </w:tr>
      <w:tr w:rsidR="003D4DBF" w:rsidRPr="00E056B1" w14:paraId="0147D700" w14:textId="77777777" w:rsidTr="00B0200A">
        <w:tc>
          <w:tcPr>
            <w:tcW w:w="3686" w:type="dxa"/>
            <w:vAlign w:val="center"/>
          </w:tcPr>
          <w:p w14:paraId="1DD901A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5: </w:t>
            </w:r>
            <w:r w:rsidRPr="00E056B1">
              <w:rPr>
                <w:rFonts w:ascii="Times New Roman" w:hAnsi="Times New Roman" w:cs="Times New Roman"/>
                <w:color w:val="000000"/>
                <w:sz w:val="24"/>
                <w:szCs w:val="24"/>
              </w:rPr>
              <w:t>D’ici à 2020, le rythme d’appauvrissement de tous les habitats naturels, y compris les forêts, est réduit de moitié au moins et si possible ramené à près de zéro, et la dégradation et la fragmentation des habitats sont sensiblement réduites</w:t>
            </w:r>
          </w:p>
        </w:tc>
        <w:tc>
          <w:tcPr>
            <w:tcW w:w="3261" w:type="dxa"/>
            <w:vAlign w:val="center"/>
          </w:tcPr>
          <w:p w14:paraId="2921C7D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5. </w:t>
            </w:r>
            <w:r w:rsidRPr="00E056B1">
              <w:rPr>
                <w:rFonts w:ascii="Times New Roman" w:hAnsi="Times New Roman" w:cs="Times New Roman"/>
                <w:iCs/>
                <w:sz w:val="24"/>
                <w:szCs w:val="24"/>
              </w:rPr>
              <w:t>Réduire à l’horizon 2020, le rythme de dégradation et de fragmentation des habitats naturels à 2 %</w:t>
            </w:r>
          </w:p>
        </w:tc>
        <w:tc>
          <w:tcPr>
            <w:tcW w:w="2976" w:type="dxa"/>
            <w:vAlign w:val="center"/>
          </w:tcPr>
          <w:p w14:paraId="0FFBC72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7. </w:t>
            </w:r>
            <w:r w:rsidRPr="00E056B1">
              <w:rPr>
                <w:rFonts w:ascii="Times New Roman" w:hAnsi="Times New Roman" w:cs="Times New Roman"/>
                <w:sz w:val="24"/>
                <w:szCs w:val="24"/>
              </w:rPr>
              <w:t>Maîtriser les feux de végétation par la mise en œuvre d’ici 2018, des mesures inscrites dans la stratégie nationale de gestion des feux de végétation de sorte à réduire les superficies brûlées à 10 000 km² chaque année (le tiers de la superficie nationale est actuellement brulé chaque année)</w:t>
            </w:r>
          </w:p>
        </w:tc>
        <w:tc>
          <w:tcPr>
            <w:tcW w:w="2694" w:type="dxa"/>
            <w:vAlign w:val="center"/>
          </w:tcPr>
          <w:p w14:paraId="4914641C"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6. </w:t>
            </w:r>
            <w:r w:rsidRPr="00E056B1">
              <w:rPr>
                <w:rFonts w:ascii="Times New Roman" w:hAnsi="Times New Roman" w:cs="Times New Roman"/>
                <w:sz w:val="24"/>
                <w:szCs w:val="24"/>
              </w:rPr>
              <w:t>Développer des innovations afin que d’ici à 2020, 50% des agriculteurs togolais adoptent des pratiques agricoles durables et respectueuses de l’environnement</w:t>
            </w:r>
          </w:p>
        </w:tc>
        <w:tc>
          <w:tcPr>
            <w:tcW w:w="2268" w:type="dxa"/>
            <w:vAlign w:val="center"/>
          </w:tcPr>
          <w:p w14:paraId="2E515573"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16.</w:t>
            </w:r>
            <w:r w:rsidRPr="00E056B1">
              <w:rPr>
                <w:rFonts w:ascii="Times New Roman" w:hAnsi="Times New Roman" w:cs="Times New Roman"/>
                <w:sz w:val="24"/>
                <w:szCs w:val="24"/>
              </w:rPr>
              <w:t xml:space="preserve"> Mettre en place d’ici à 2018 un système de référence MRV (Mesure, Rapportage et Vérification) </w:t>
            </w:r>
            <w:r w:rsidRPr="00E056B1">
              <w:rPr>
                <w:rFonts w:ascii="Times New Roman" w:hAnsi="Times New Roman" w:cs="Times New Roman"/>
                <w:iCs/>
                <w:sz w:val="24"/>
                <w:szCs w:val="24"/>
              </w:rPr>
              <w:t>afin de renforcer la résilience des écosystèmes et de la biodiversité contre les changements climatiques</w:t>
            </w:r>
          </w:p>
        </w:tc>
      </w:tr>
      <w:tr w:rsidR="003D4DBF" w:rsidRPr="00E056B1" w14:paraId="60B7AB84" w14:textId="77777777" w:rsidTr="00B0200A">
        <w:tc>
          <w:tcPr>
            <w:tcW w:w="3686" w:type="dxa"/>
            <w:vAlign w:val="center"/>
          </w:tcPr>
          <w:p w14:paraId="3C0FD3A5"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6: </w:t>
            </w:r>
            <w:r w:rsidRPr="00E056B1">
              <w:rPr>
                <w:rFonts w:ascii="Times New Roman" w:hAnsi="Times New Roman" w:cs="Times New Roman"/>
                <w:color w:val="000000"/>
                <w:sz w:val="24"/>
                <w:szCs w:val="24"/>
              </w:rPr>
              <w:t>D’ici à 2020, tous les stocks de poissons et d’invertébrés et plantes aquatiques sont gérés et récoltés d’une manière durable, légale et en appliquant des approches fondées sur les écosystèmes, de telle sorte que la surpêche soit évitée, que des plans et des mesures de récupération soient en place pour toutes les espèces épuisées, que les pêcheries n’aient pas d’impacts négatifs marqués sur les espèces menacées et les écosystèmes vulnérables, et que l’impact de la pêche sur les stocks, les espèces et les écosystèmes reste dans des limites écologiques sûres</w:t>
            </w:r>
          </w:p>
        </w:tc>
        <w:tc>
          <w:tcPr>
            <w:tcW w:w="3261" w:type="dxa"/>
            <w:vAlign w:val="center"/>
          </w:tcPr>
          <w:p w14:paraId="4637471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11. </w:t>
            </w:r>
            <w:r w:rsidRPr="00E056B1">
              <w:rPr>
                <w:rFonts w:ascii="Times New Roman" w:hAnsi="Times New Roman" w:cs="Times New Roman"/>
                <w:sz w:val="24"/>
                <w:szCs w:val="24"/>
              </w:rPr>
              <w:t xml:space="preserve">Réaliser l’inventaire </w:t>
            </w:r>
            <w:r w:rsidRPr="00E056B1">
              <w:rPr>
                <w:rFonts w:ascii="Times New Roman" w:hAnsi="Times New Roman" w:cs="Times New Roman"/>
                <w:iCs/>
                <w:sz w:val="24"/>
                <w:szCs w:val="24"/>
              </w:rPr>
              <w:t>des ressources halieutiques comestibles (stocks de poissons et des crustacés) afin que d’ici à 2016 des plans et des mesures de récolte contrôlée soient mis en place</w:t>
            </w:r>
          </w:p>
        </w:tc>
        <w:tc>
          <w:tcPr>
            <w:tcW w:w="2976" w:type="dxa"/>
            <w:vAlign w:val="center"/>
          </w:tcPr>
          <w:p w14:paraId="51AE5295"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iCs/>
                <w:sz w:val="24"/>
                <w:szCs w:val="24"/>
              </w:rPr>
              <w:t>Objectif 14</w:t>
            </w:r>
            <w:r w:rsidRPr="00E056B1">
              <w:rPr>
                <w:rFonts w:ascii="Times New Roman" w:hAnsi="Times New Roman" w:cs="Times New Roman"/>
                <w:iCs/>
                <w:sz w:val="24"/>
                <w:szCs w:val="24"/>
              </w:rPr>
              <w:t xml:space="preserve">. Engager d’ici à 2018 des actions, en vue de la création d’une </w:t>
            </w:r>
            <w:r w:rsidRPr="00E056B1">
              <w:rPr>
                <w:rFonts w:ascii="Times New Roman" w:hAnsi="Times New Roman" w:cs="Times New Roman"/>
                <w:sz w:val="24"/>
                <w:szCs w:val="24"/>
              </w:rPr>
              <w:t>aire marine protégée (AMP) reliant le réseau régional d’aires marines protégées d’Afrique de l’Ouest</w:t>
            </w:r>
          </w:p>
        </w:tc>
        <w:tc>
          <w:tcPr>
            <w:tcW w:w="2694" w:type="dxa"/>
            <w:vAlign w:val="center"/>
          </w:tcPr>
          <w:p w14:paraId="27A2FE3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15. </w:t>
            </w:r>
            <w:r w:rsidRPr="00E056B1">
              <w:rPr>
                <w:rFonts w:ascii="Times New Roman" w:hAnsi="Times New Roman" w:cs="Times New Roman"/>
                <w:sz w:val="24"/>
                <w:szCs w:val="24"/>
              </w:rPr>
              <w:t>Etablir d’ici à 2018, une cartographie de l’ensemble des écosystèmes terrestres, aquatiques et marins importantes pour la conservation de la diversité biologique afin de garantir la durabilité de l’utilisation des ressources biologiques</w:t>
            </w:r>
          </w:p>
        </w:tc>
        <w:tc>
          <w:tcPr>
            <w:tcW w:w="2268" w:type="dxa"/>
            <w:vAlign w:val="center"/>
          </w:tcPr>
          <w:p w14:paraId="32FE4C08" w14:textId="77777777" w:rsidR="003D4DBF" w:rsidRPr="00E056B1" w:rsidRDefault="003D4DBF" w:rsidP="00B0200A">
            <w:pPr>
              <w:jc w:val="both"/>
              <w:rPr>
                <w:rFonts w:ascii="Times New Roman" w:hAnsi="Times New Roman" w:cs="Times New Roman"/>
                <w:sz w:val="24"/>
                <w:szCs w:val="24"/>
              </w:rPr>
            </w:pPr>
          </w:p>
        </w:tc>
      </w:tr>
      <w:tr w:rsidR="003D4DBF" w:rsidRPr="00E056B1" w14:paraId="44BA95AA" w14:textId="77777777" w:rsidTr="00B0200A">
        <w:tc>
          <w:tcPr>
            <w:tcW w:w="3686" w:type="dxa"/>
            <w:vAlign w:val="center"/>
          </w:tcPr>
          <w:p w14:paraId="013BD447"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7: </w:t>
            </w:r>
            <w:r w:rsidRPr="00E056B1">
              <w:rPr>
                <w:rFonts w:ascii="Times New Roman" w:hAnsi="Times New Roman" w:cs="Times New Roman"/>
                <w:color w:val="000000"/>
                <w:sz w:val="24"/>
                <w:szCs w:val="24"/>
              </w:rPr>
              <w:t>D’ici à 2020, les zones consacrées à l’agriculture, l’aquaculture et la sylviculture sont gérées d’une manière durable, afin d’assurer la conservation de la diversité biologique</w:t>
            </w:r>
          </w:p>
        </w:tc>
        <w:tc>
          <w:tcPr>
            <w:tcW w:w="3261" w:type="dxa"/>
            <w:vAlign w:val="center"/>
          </w:tcPr>
          <w:p w14:paraId="6F4B5BCA"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w:t>
            </w:r>
            <w:r w:rsidRPr="00E056B1">
              <w:rPr>
                <w:rFonts w:ascii="Times New Roman" w:hAnsi="Times New Roman" w:cs="Times New Roman"/>
                <w:sz w:val="24"/>
                <w:szCs w:val="24"/>
              </w:rPr>
              <w:t>. Développer une approche intégrée de sensibilisation pour que d’ici à 2020, 50 % de la population togolaise soient mobilisées pour la conservation et l’utilisation durable de la biodiversité</w:t>
            </w:r>
          </w:p>
        </w:tc>
        <w:tc>
          <w:tcPr>
            <w:tcW w:w="2976" w:type="dxa"/>
            <w:vAlign w:val="center"/>
          </w:tcPr>
          <w:p w14:paraId="390D56D6"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694" w:type="dxa"/>
            <w:vAlign w:val="center"/>
          </w:tcPr>
          <w:p w14:paraId="4FC917E6"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3.</w:t>
            </w:r>
            <w:r w:rsidRPr="00E056B1">
              <w:rPr>
                <w:rFonts w:ascii="Times New Roman" w:hAnsi="Times New Roman" w:cs="Times New Roman"/>
                <w:sz w:val="24"/>
                <w:szCs w:val="24"/>
              </w:rPr>
              <w:t xml:space="preserve"> Elaborer d’</w:t>
            </w:r>
            <w:r w:rsidRPr="00E056B1">
              <w:rPr>
                <w:rFonts w:ascii="Times New Roman" w:hAnsi="Times New Roman" w:cs="Times New Roman"/>
                <w:iCs/>
                <w:sz w:val="24"/>
                <w:szCs w:val="24"/>
              </w:rPr>
              <w:t>ici à 2017 un schéma national d’aménagement du territoire, précisant les zones consacrées à l’agriculture, l’aquaculture, la sylviculture et la conservation de la diversité biologique, etc</w:t>
            </w:r>
          </w:p>
        </w:tc>
        <w:tc>
          <w:tcPr>
            <w:tcW w:w="2268" w:type="dxa"/>
            <w:vAlign w:val="center"/>
          </w:tcPr>
          <w:p w14:paraId="70A6A95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11. </w:t>
            </w:r>
            <w:r w:rsidRPr="00E056B1">
              <w:rPr>
                <w:rFonts w:ascii="Times New Roman" w:hAnsi="Times New Roman" w:cs="Times New Roman"/>
                <w:sz w:val="24"/>
                <w:szCs w:val="24"/>
              </w:rPr>
              <w:t xml:space="preserve">Réaliser l’inventaire </w:t>
            </w:r>
            <w:r w:rsidRPr="00E056B1">
              <w:rPr>
                <w:rFonts w:ascii="Times New Roman" w:hAnsi="Times New Roman" w:cs="Times New Roman"/>
                <w:iCs/>
                <w:sz w:val="24"/>
                <w:szCs w:val="24"/>
              </w:rPr>
              <w:t>des ressources halieutiques comestibles (stocks de poissons et des crustacés) afin que d’ici à 2016 des plans et des mesures de récolte contrôlée soient mis en place</w:t>
            </w:r>
          </w:p>
        </w:tc>
      </w:tr>
      <w:tr w:rsidR="003D4DBF" w:rsidRPr="00E056B1" w14:paraId="29330DC0" w14:textId="77777777" w:rsidTr="00B0200A">
        <w:tc>
          <w:tcPr>
            <w:tcW w:w="3686" w:type="dxa"/>
            <w:vAlign w:val="center"/>
          </w:tcPr>
          <w:p w14:paraId="450C83B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8: </w:t>
            </w:r>
            <w:r w:rsidRPr="00E056B1">
              <w:rPr>
                <w:rFonts w:ascii="Times New Roman" w:hAnsi="Times New Roman" w:cs="Times New Roman"/>
                <w:color w:val="000000"/>
                <w:sz w:val="24"/>
                <w:szCs w:val="24"/>
              </w:rPr>
              <w:t>D’ici à 2020, la pollution, notamment celle causée par l’excès d’éléments nutritifs, est ramenée à un niveau qui n’a pas d’effet néfaste sur les fonctions des écosystèmes et la diversité biologique</w:t>
            </w:r>
          </w:p>
        </w:tc>
        <w:tc>
          <w:tcPr>
            <w:tcW w:w="3261" w:type="dxa"/>
            <w:vAlign w:val="center"/>
          </w:tcPr>
          <w:p w14:paraId="0C268922" w14:textId="77777777" w:rsidR="003D4DBF" w:rsidRPr="00E056B1" w:rsidRDefault="003D4DBF" w:rsidP="00B0200A">
            <w:pPr>
              <w:jc w:val="both"/>
              <w:rPr>
                <w:rFonts w:ascii="Times New Roman" w:hAnsi="Times New Roman" w:cs="Times New Roman"/>
                <w:sz w:val="24"/>
                <w:szCs w:val="24"/>
              </w:rPr>
            </w:pPr>
          </w:p>
        </w:tc>
        <w:tc>
          <w:tcPr>
            <w:tcW w:w="2976" w:type="dxa"/>
            <w:vAlign w:val="center"/>
          </w:tcPr>
          <w:p w14:paraId="3D679BEB" w14:textId="77777777" w:rsidR="003D4DBF" w:rsidRPr="00E056B1" w:rsidRDefault="003D4DBF" w:rsidP="00B0200A">
            <w:pPr>
              <w:jc w:val="both"/>
              <w:rPr>
                <w:rFonts w:ascii="Times New Roman" w:hAnsi="Times New Roman" w:cs="Times New Roman"/>
                <w:sz w:val="24"/>
                <w:szCs w:val="24"/>
              </w:rPr>
            </w:pPr>
          </w:p>
        </w:tc>
        <w:tc>
          <w:tcPr>
            <w:tcW w:w="2694" w:type="dxa"/>
            <w:vAlign w:val="center"/>
          </w:tcPr>
          <w:p w14:paraId="4AD5538C" w14:textId="77777777" w:rsidR="003D4DBF" w:rsidRPr="00E056B1" w:rsidRDefault="003D4DBF" w:rsidP="00B0200A">
            <w:pPr>
              <w:jc w:val="both"/>
              <w:rPr>
                <w:rFonts w:ascii="Times New Roman" w:hAnsi="Times New Roman" w:cs="Times New Roman"/>
                <w:sz w:val="24"/>
                <w:szCs w:val="24"/>
              </w:rPr>
            </w:pPr>
          </w:p>
        </w:tc>
        <w:tc>
          <w:tcPr>
            <w:tcW w:w="2268" w:type="dxa"/>
            <w:vAlign w:val="center"/>
          </w:tcPr>
          <w:p w14:paraId="74F2FF24" w14:textId="77777777" w:rsidR="003D4DBF" w:rsidRPr="00E056B1" w:rsidRDefault="003D4DBF" w:rsidP="00B0200A">
            <w:pPr>
              <w:jc w:val="both"/>
              <w:rPr>
                <w:rFonts w:ascii="Times New Roman" w:hAnsi="Times New Roman" w:cs="Times New Roman"/>
                <w:sz w:val="24"/>
                <w:szCs w:val="24"/>
              </w:rPr>
            </w:pPr>
          </w:p>
        </w:tc>
      </w:tr>
      <w:tr w:rsidR="003D4DBF" w:rsidRPr="00E056B1" w14:paraId="6EDC228D" w14:textId="77777777" w:rsidTr="00B0200A">
        <w:tc>
          <w:tcPr>
            <w:tcW w:w="3686" w:type="dxa"/>
            <w:vAlign w:val="center"/>
          </w:tcPr>
          <w:p w14:paraId="26A35A6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9: </w:t>
            </w:r>
            <w:r w:rsidRPr="00E056B1">
              <w:rPr>
                <w:rFonts w:ascii="Times New Roman" w:hAnsi="Times New Roman" w:cs="Times New Roman"/>
                <w:color w:val="000000"/>
                <w:sz w:val="24"/>
                <w:szCs w:val="24"/>
              </w:rPr>
              <w:t>D’ici à 2020, les espèces exotiques envahissantes et les voies d’introduction sont identifiées et classées en ordre de priorité, les espèces prioritaires sont contrôlées ou éradiquées et des mesures sont en place pour gérer les voies de pénétration, afin d’empêcher l’introduction et l’établissement de ces espèces</w:t>
            </w:r>
          </w:p>
        </w:tc>
        <w:tc>
          <w:tcPr>
            <w:tcW w:w="3261" w:type="dxa"/>
            <w:vAlign w:val="center"/>
          </w:tcPr>
          <w:p w14:paraId="63CF676C"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9. </w:t>
            </w:r>
            <w:r w:rsidRPr="00E056B1">
              <w:rPr>
                <w:rFonts w:ascii="Times New Roman" w:hAnsi="Times New Roman" w:cs="Times New Roman"/>
                <w:sz w:val="24"/>
                <w:szCs w:val="24"/>
              </w:rPr>
              <w:t xml:space="preserve">Développer </w:t>
            </w:r>
            <w:r w:rsidRPr="00E056B1">
              <w:rPr>
                <w:rFonts w:ascii="Times New Roman" w:hAnsi="Times New Roman" w:cs="Times New Roman"/>
                <w:iCs/>
                <w:sz w:val="24"/>
                <w:szCs w:val="24"/>
              </w:rPr>
              <w:t>d’ici à 2018, les connaissances suffisantes sur les espèces exotiques envahissantes en vue de mettre au point des technologies appropriées pour les contrôler</w:t>
            </w:r>
          </w:p>
        </w:tc>
        <w:tc>
          <w:tcPr>
            <w:tcW w:w="2976" w:type="dxa"/>
            <w:vAlign w:val="center"/>
          </w:tcPr>
          <w:p w14:paraId="26BF83CF" w14:textId="77777777" w:rsidR="003D4DBF" w:rsidRPr="00E056B1" w:rsidRDefault="003D4DBF" w:rsidP="00B0200A">
            <w:pPr>
              <w:jc w:val="both"/>
              <w:rPr>
                <w:rFonts w:ascii="Times New Roman" w:hAnsi="Times New Roman" w:cs="Times New Roman"/>
                <w:sz w:val="24"/>
                <w:szCs w:val="24"/>
              </w:rPr>
            </w:pPr>
          </w:p>
        </w:tc>
        <w:tc>
          <w:tcPr>
            <w:tcW w:w="2694" w:type="dxa"/>
            <w:vAlign w:val="center"/>
          </w:tcPr>
          <w:p w14:paraId="1C30736B" w14:textId="77777777" w:rsidR="003D4DBF" w:rsidRPr="00E056B1" w:rsidRDefault="003D4DBF" w:rsidP="00B0200A">
            <w:pPr>
              <w:jc w:val="both"/>
              <w:rPr>
                <w:rFonts w:ascii="Times New Roman" w:hAnsi="Times New Roman" w:cs="Times New Roman"/>
                <w:sz w:val="24"/>
                <w:szCs w:val="24"/>
              </w:rPr>
            </w:pPr>
          </w:p>
        </w:tc>
        <w:tc>
          <w:tcPr>
            <w:tcW w:w="2268" w:type="dxa"/>
            <w:vAlign w:val="center"/>
          </w:tcPr>
          <w:p w14:paraId="09C893D6" w14:textId="77777777" w:rsidR="003D4DBF" w:rsidRPr="00E056B1" w:rsidRDefault="003D4DBF" w:rsidP="00B0200A">
            <w:pPr>
              <w:jc w:val="both"/>
              <w:rPr>
                <w:rFonts w:ascii="Times New Roman" w:hAnsi="Times New Roman" w:cs="Times New Roman"/>
                <w:sz w:val="24"/>
                <w:szCs w:val="24"/>
              </w:rPr>
            </w:pPr>
          </w:p>
        </w:tc>
      </w:tr>
      <w:tr w:rsidR="003D4DBF" w:rsidRPr="00E056B1" w14:paraId="7D87BD07" w14:textId="77777777" w:rsidTr="00B0200A">
        <w:tc>
          <w:tcPr>
            <w:tcW w:w="3686" w:type="dxa"/>
            <w:vAlign w:val="center"/>
          </w:tcPr>
          <w:p w14:paraId="0E2662B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10: </w:t>
            </w:r>
            <w:r w:rsidRPr="00E056B1">
              <w:rPr>
                <w:rFonts w:ascii="Times New Roman" w:hAnsi="Times New Roman" w:cs="Times New Roman"/>
                <w:color w:val="000000"/>
                <w:sz w:val="24"/>
                <w:szCs w:val="24"/>
              </w:rPr>
              <w:t>D’ici à 2015, les nombreuses pressions anthropiques exercées sur les récifs coralliens et les autres écosystèmes vulnérables marins et côtiers affectés par les changements climatiques ou l’acidification des océans sont réduites au minimum, afin de préserver leur intégrité et leur fonctionnement</w:t>
            </w:r>
          </w:p>
        </w:tc>
        <w:tc>
          <w:tcPr>
            <w:tcW w:w="3261" w:type="dxa"/>
            <w:vAlign w:val="center"/>
          </w:tcPr>
          <w:p w14:paraId="71A54105"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11. </w:t>
            </w:r>
            <w:r w:rsidRPr="00E056B1">
              <w:rPr>
                <w:rFonts w:ascii="Times New Roman" w:hAnsi="Times New Roman" w:cs="Times New Roman"/>
                <w:sz w:val="24"/>
                <w:szCs w:val="24"/>
              </w:rPr>
              <w:t xml:space="preserve">Réaliser l’inventaire </w:t>
            </w:r>
            <w:r w:rsidRPr="00E056B1">
              <w:rPr>
                <w:rFonts w:ascii="Times New Roman" w:hAnsi="Times New Roman" w:cs="Times New Roman"/>
                <w:iCs/>
                <w:sz w:val="24"/>
                <w:szCs w:val="24"/>
              </w:rPr>
              <w:t>des ressources halieutiques comestibles (stocks de poissons et des crustacés) afin que d’ici à 2016 des plans et des mesures de récolte contrôlée soient mis en place</w:t>
            </w:r>
          </w:p>
        </w:tc>
        <w:tc>
          <w:tcPr>
            <w:tcW w:w="2976" w:type="dxa"/>
            <w:vAlign w:val="center"/>
          </w:tcPr>
          <w:p w14:paraId="6BBC4E68"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iCs/>
                <w:sz w:val="24"/>
                <w:szCs w:val="24"/>
              </w:rPr>
              <w:t>Objectif 14</w:t>
            </w:r>
            <w:r w:rsidRPr="00E056B1">
              <w:rPr>
                <w:rFonts w:ascii="Times New Roman" w:hAnsi="Times New Roman" w:cs="Times New Roman"/>
                <w:iCs/>
                <w:sz w:val="24"/>
                <w:szCs w:val="24"/>
              </w:rPr>
              <w:t xml:space="preserve">. Engager d’ici à 2018 des actions, en vue de la création d’une </w:t>
            </w:r>
            <w:r w:rsidRPr="00E056B1">
              <w:rPr>
                <w:rFonts w:ascii="Times New Roman" w:hAnsi="Times New Roman" w:cs="Times New Roman"/>
                <w:sz w:val="24"/>
                <w:szCs w:val="24"/>
              </w:rPr>
              <w:t>aire marine protégée (AMP) reliant le réseau régional d’aires marines protégées d’Afrique de l’Ouest</w:t>
            </w:r>
          </w:p>
        </w:tc>
        <w:tc>
          <w:tcPr>
            <w:tcW w:w="2694" w:type="dxa"/>
            <w:vAlign w:val="center"/>
          </w:tcPr>
          <w:p w14:paraId="3218D3B5"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15. </w:t>
            </w:r>
            <w:r w:rsidRPr="00E056B1">
              <w:rPr>
                <w:rFonts w:ascii="Times New Roman" w:hAnsi="Times New Roman" w:cs="Times New Roman"/>
                <w:sz w:val="24"/>
                <w:szCs w:val="24"/>
              </w:rPr>
              <w:t>Etablir d’ici à 2018, une cartographie de l’ensemble des écosystèmes terrestres, aquatiques et marins importantes pour la conservation de la diversité biologique afin de garantir la durabilité de l’utilisation des ressources biologiques</w:t>
            </w:r>
          </w:p>
        </w:tc>
        <w:tc>
          <w:tcPr>
            <w:tcW w:w="2268" w:type="dxa"/>
            <w:vAlign w:val="center"/>
          </w:tcPr>
          <w:p w14:paraId="7D7E9E31" w14:textId="77777777" w:rsidR="003D4DBF" w:rsidRPr="00E056B1" w:rsidRDefault="003D4DBF" w:rsidP="00B0200A">
            <w:pPr>
              <w:jc w:val="both"/>
              <w:rPr>
                <w:rFonts w:ascii="Times New Roman" w:hAnsi="Times New Roman" w:cs="Times New Roman"/>
                <w:sz w:val="24"/>
                <w:szCs w:val="24"/>
              </w:rPr>
            </w:pPr>
          </w:p>
        </w:tc>
      </w:tr>
      <w:tr w:rsidR="003D4DBF" w:rsidRPr="00E056B1" w14:paraId="4AE0D7E5" w14:textId="77777777" w:rsidTr="00B0200A">
        <w:tc>
          <w:tcPr>
            <w:tcW w:w="14885" w:type="dxa"/>
            <w:gridSpan w:val="5"/>
            <w:vAlign w:val="center"/>
          </w:tcPr>
          <w:p w14:paraId="5B6B9FDD"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i/>
                <w:iCs/>
                <w:color w:val="7C1717"/>
                <w:sz w:val="24"/>
                <w:szCs w:val="24"/>
              </w:rPr>
              <w:t xml:space="preserve">But stratégique C: </w:t>
            </w:r>
            <w:r w:rsidRPr="00E056B1">
              <w:rPr>
                <w:rFonts w:ascii="Times New Roman" w:hAnsi="Times New Roman" w:cs="Times New Roman"/>
                <w:b/>
                <w:i/>
                <w:iCs/>
                <w:color w:val="000000"/>
                <w:sz w:val="24"/>
                <w:szCs w:val="24"/>
              </w:rPr>
              <w:t>Améliorer l’état de la diversité biologique en sauvegardant les écosystèmes, les espèces et la diversité génétique</w:t>
            </w:r>
          </w:p>
        </w:tc>
      </w:tr>
      <w:tr w:rsidR="003D4DBF" w:rsidRPr="00E056B1" w14:paraId="6A8F89AE" w14:textId="77777777" w:rsidTr="00B0200A">
        <w:tc>
          <w:tcPr>
            <w:tcW w:w="3686" w:type="dxa"/>
            <w:vAlign w:val="center"/>
          </w:tcPr>
          <w:p w14:paraId="2EC75AA3"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11: </w:t>
            </w:r>
            <w:r w:rsidRPr="00E056B1">
              <w:rPr>
                <w:rFonts w:ascii="Times New Roman" w:hAnsi="Times New Roman" w:cs="Times New Roman"/>
                <w:color w:val="000000"/>
                <w:sz w:val="24"/>
                <w:szCs w:val="24"/>
              </w:rPr>
              <w:t>D’ici à 2020, au moins 17% des zones terrestres et d’eaux intérieures et 10% des zones marines et côtières, y compris les zones qui sont particulièrement importantes pour la diversité biologique et les services fournis par les écosystèmes, sont conservées au moyen de réseaux écologiquement représentatifs et bien reliés d’aires protégées gérées efficacement et équitablement et d’autres mesures de conservation efficaces par zone, et intégrées dans l’ensemble du paysage terrestre et marin</w:t>
            </w:r>
          </w:p>
        </w:tc>
        <w:tc>
          <w:tcPr>
            <w:tcW w:w="3261" w:type="dxa"/>
            <w:vAlign w:val="center"/>
          </w:tcPr>
          <w:p w14:paraId="30ECEF0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8. </w:t>
            </w:r>
            <w:r w:rsidRPr="00E056B1">
              <w:rPr>
                <w:rFonts w:ascii="Times New Roman" w:hAnsi="Times New Roman" w:cs="Times New Roman"/>
                <w:iCs/>
                <w:sz w:val="24"/>
                <w:szCs w:val="24"/>
              </w:rPr>
              <w:t>D’ici à 2020, 50 % des 13 aires protégées prioritaires sont dotés des plans d’aménagement qui présentent d’importants intérêts pour la conservation de la biodiversité</w:t>
            </w:r>
          </w:p>
        </w:tc>
        <w:tc>
          <w:tcPr>
            <w:tcW w:w="2976" w:type="dxa"/>
            <w:vAlign w:val="center"/>
          </w:tcPr>
          <w:p w14:paraId="0C9A3117"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11. </w:t>
            </w:r>
            <w:r w:rsidRPr="00E056B1">
              <w:rPr>
                <w:rFonts w:ascii="Times New Roman" w:hAnsi="Times New Roman" w:cs="Times New Roman"/>
                <w:sz w:val="24"/>
                <w:szCs w:val="24"/>
              </w:rPr>
              <w:t xml:space="preserve">Réaliser l’inventaire </w:t>
            </w:r>
            <w:r w:rsidRPr="00E056B1">
              <w:rPr>
                <w:rFonts w:ascii="Times New Roman" w:hAnsi="Times New Roman" w:cs="Times New Roman"/>
                <w:iCs/>
                <w:sz w:val="24"/>
                <w:szCs w:val="24"/>
              </w:rPr>
              <w:t>des ressources halieutiques comestibles (stocks de poissons et des crustacés) afin que d’ici à 2016 des plans et des mesures de récolte contrôlée soient mis en place</w:t>
            </w:r>
          </w:p>
        </w:tc>
        <w:tc>
          <w:tcPr>
            <w:tcW w:w="2694" w:type="dxa"/>
            <w:vAlign w:val="center"/>
          </w:tcPr>
          <w:p w14:paraId="125A0185"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iCs/>
                <w:sz w:val="24"/>
                <w:szCs w:val="24"/>
              </w:rPr>
              <w:t>Objectif 14</w:t>
            </w:r>
            <w:r w:rsidRPr="00E056B1">
              <w:rPr>
                <w:rFonts w:ascii="Times New Roman" w:hAnsi="Times New Roman" w:cs="Times New Roman"/>
                <w:iCs/>
                <w:sz w:val="24"/>
                <w:szCs w:val="24"/>
              </w:rPr>
              <w:t xml:space="preserve">. Engager d’ici à 2018 des actions, en vue de la création d’une </w:t>
            </w:r>
            <w:r w:rsidRPr="00E056B1">
              <w:rPr>
                <w:rFonts w:ascii="Times New Roman" w:hAnsi="Times New Roman" w:cs="Times New Roman"/>
                <w:sz w:val="24"/>
                <w:szCs w:val="24"/>
              </w:rPr>
              <w:t>aire marine protégée (AMP) reliant le réseau régional d’aires marines protégées d’Afrique de l’Ouest</w:t>
            </w:r>
          </w:p>
        </w:tc>
        <w:tc>
          <w:tcPr>
            <w:tcW w:w="2268" w:type="dxa"/>
            <w:vAlign w:val="center"/>
          </w:tcPr>
          <w:p w14:paraId="21F90DB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15. </w:t>
            </w:r>
            <w:r w:rsidRPr="00E056B1">
              <w:rPr>
                <w:rFonts w:ascii="Times New Roman" w:hAnsi="Times New Roman" w:cs="Times New Roman"/>
                <w:sz w:val="24"/>
                <w:szCs w:val="24"/>
              </w:rPr>
              <w:t>Etablir d’ici à 2018, une cartographie de l’ensemble des écosystèmes terrestres, aquatiques et marins importantes pour la conservation de la diversité biologique afin de garantir la durabilité de l’utilisation des ressources biologiques</w:t>
            </w:r>
          </w:p>
        </w:tc>
      </w:tr>
      <w:tr w:rsidR="003D4DBF" w:rsidRPr="00E056B1" w14:paraId="3BB004A1" w14:textId="77777777" w:rsidTr="00B0200A">
        <w:tc>
          <w:tcPr>
            <w:tcW w:w="3686" w:type="dxa"/>
            <w:vAlign w:val="center"/>
          </w:tcPr>
          <w:p w14:paraId="1FA1C981"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12: </w:t>
            </w:r>
            <w:r w:rsidRPr="00E056B1">
              <w:rPr>
                <w:rFonts w:ascii="Times New Roman" w:hAnsi="Times New Roman" w:cs="Times New Roman"/>
                <w:color w:val="000000"/>
                <w:sz w:val="24"/>
                <w:szCs w:val="24"/>
              </w:rPr>
              <w:t>D’ici à 2020, l’extinction d’espèces menacées connues est évitée et leur état de conservation, en particulier de celles qui tombent le plus en déclin, est amélioré et maintenu</w:t>
            </w:r>
          </w:p>
        </w:tc>
        <w:tc>
          <w:tcPr>
            <w:tcW w:w="3261" w:type="dxa"/>
            <w:vAlign w:val="center"/>
          </w:tcPr>
          <w:p w14:paraId="1CBC25E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w:t>
            </w:r>
            <w:r w:rsidRPr="00E056B1">
              <w:rPr>
                <w:rFonts w:ascii="Times New Roman" w:hAnsi="Times New Roman" w:cs="Times New Roman"/>
                <w:sz w:val="24"/>
                <w:szCs w:val="24"/>
              </w:rPr>
              <w:t>. Développer une approche intégrée de sensibilisation pour que d’ici à 2020, 50 % de la population togolaise soient mobilisées pour la conservation et l’utilisation durable de la biodiversité</w:t>
            </w:r>
          </w:p>
        </w:tc>
        <w:tc>
          <w:tcPr>
            <w:tcW w:w="2976" w:type="dxa"/>
            <w:vAlign w:val="center"/>
          </w:tcPr>
          <w:p w14:paraId="790769D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694" w:type="dxa"/>
            <w:vAlign w:val="center"/>
          </w:tcPr>
          <w:p w14:paraId="2C74ED5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8. </w:t>
            </w:r>
            <w:r w:rsidRPr="00E056B1">
              <w:rPr>
                <w:rFonts w:ascii="Times New Roman" w:hAnsi="Times New Roman" w:cs="Times New Roman"/>
                <w:iCs/>
                <w:sz w:val="24"/>
                <w:szCs w:val="24"/>
              </w:rPr>
              <w:t>D’ici à 2020, 50 % des 13 aires protégées prioritaires sont dotés des plans d’aménagement qui présentent d’importants intérêts pour la conservation de la biodiversité</w:t>
            </w:r>
          </w:p>
        </w:tc>
        <w:tc>
          <w:tcPr>
            <w:tcW w:w="2268" w:type="dxa"/>
            <w:vAlign w:val="center"/>
          </w:tcPr>
          <w:p w14:paraId="1CC138E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19.</w:t>
            </w:r>
            <w:r w:rsidRPr="00E056B1">
              <w:rPr>
                <w:rFonts w:ascii="Times New Roman" w:hAnsi="Times New Roman" w:cs="Times New Roman"/>
                <w:sz w:val="24"/>
                <w:szCs w:val="24"/>
              </w:rPr>
              <w:t xml:space="preserve"> Développer d’ici à 2020 la prise en compte des enjeux de biodiversité dans toutes les formations scolaires et universitaires</w:t>
            </w:r>
          </w:p>
        </w:tc>
      </w:tr>
      <w:tr w:rsidR="003D4DBF" w:rsidRPr="00E056B1" w14:paraId="47F00F75" w14:textId="77777777" w:rsidTr="00B0200A">
        <w:tc>
          <w:tcPr>
            <w:tcW w:w="3686" w:type="dxa"/>
            <w:vAlign w:val="center"/>
          </w:tcPr>
          <w:p w14:paraId="6AAE55C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13: </w:t>
            </w:r>
            <w:r w:rsidRPr="00E056B1">
              <w:rPr>
                <w:rFonts w:ascii="Times New Roman" w:hAnsi="Times New Roman" w:cs="Times New Roman"/>
                <w:color w:val="000000"/>
                <w:sz w:val="24"/>
                <w:szCs w:val="24"/>
              </w:rPr>
              <w:t>D’ici à 2020, la diversité génétique des plantes cultivées, des animaux d’élevage et domestiques et des parents pauvres, y compris celle d’autres espèces qui ont une valeur socio-économique ou culturelle, est préservée, et des stratégies sont élaborées et mises en œuvre pour réduire au minimum l’érosion génétique et sauvegarder leur diversité génétique</w:t>
            </w:r>
          </w:p>
        </w:tc>
        <w:tc>
          <w:tcPr>
            <w:tcW w:w="3261" w:type="dxa"/>
            <w:vAlign w:val="center"/>
          </w:tcPr>
          <w:p w14:paraId="3D1C889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10. </w:t>
            </w:r>
            <w:r w:rsidRPr="00E056B1">
              <w:rPr>
                <w:rFonts w:ascii="Times New Roman" w:hAnsi="Times New Roman" w:cs="Times New Roman"/>
                <w:sz w:val="24"/>
                <w:szCs w:val="24"/>
              </w:rPr>
              <w:t>Développer d’ici à 2016 la recherche afin d’améliorer, partager et diffuser les connaissances sur la biodiversité</w:t>
            </w:r>
          </w:p>
        </w:tc>
        <w:tc>
          <w:tcPr>
            <w:tcW w:w="2976" w:type="dxa"/>
            <w:vAlign w:val="center"/>
          </w:tcPr>
          <w:p w14:paraId="0AB184B1"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12. </w:t>
            </w:r>
            <w:r w:rsidRPr="00E056B1">
              <w:rPr>
                <w:rFonts w:ascii="Times New Roman" w:hAnsi="Times New Roman" w:cs="Times New Roman"/>
                <w:iCs/>
                <w:sz w:val="24"/>
                <w:szCs w:val="24"/>
              </w:rPr>
              <w:t>Réduire significativement d’ici à 2018 l’érosion génétique de la diversité génétique des plantes cultivées, des animaux d’élevage et des parents sauvages, des espèces à valeur socio-économique ou culturelle</w:t>
            </w:r>
          </w:p>
        </w:tc>
        <w:tc>
          <w:tcPr>
            <w:tcW w:w="2694" w:type="dxa"/>
            <w:vAlign w:val="center"/>
          </w:tcPr>
          <w:p w14:paraId="573C40B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13. </w:t>
            </w:r>
            <w:r w:rsidRPr="00E056B1">
              <w:rPr>
                <w:rFonts w:ascii="Times New Roman" w:hAnsi="Times New Roman" w:cs="Times New Roman"/>
                <w:sz w:val="24"/>
                <w:szCs w:val="24"/>
              </w:rPr>
              <w:t>Etablir</w:t>
            </w:r>
            <w:r w:rsidRPr="00E056B1">
              <w:rPr>
                <w:rFonts w:ascii="Times New Roman" w:hAnsi="Times New Roman" w:cs="Times New Roman"/>
                <w:iCs/>
                <w:sz w:val="24"/>
                <w:szCs w:val="24"/>
              </w:rPr>
              <w:t xml:space="preserve"> d’ici à 2018, le statut de conservation des espèces de faune et de flore terrestres, aquatiques et semi-aquatiques afin d’élaborer des plans d’utilisation durable et de conservation spécifique</w:t>
            </w:r>
          </w:p>
        </w:tc>
        <w:tc>
          <w:tcPr>
            <w:tcW w:w="2268" w:type="dxa"/>
            <w:vAlign w:val="center"/>
          </w:tcPr>
          <w:p w14:paraId="3D8C3C3F"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17.</w:t>
            </w:r>
            <w:r w:rsidRPr="00E056B1">
              <w:rPr>
                <w:rFonts w:ascii="Times New Roman" w:hAnsi="Times New Roman" w:cs="Times New Roman"/>
                <w:sz w:val="24"/>
                <w:szCs w:val="24"/>
              </w:rPr>
              <w:t xml:space="preserve"> Initier des mécanismes de partage équitable des avantages issus de l’utilisation de la biodiversité à toutes les échelles après la ratification </w:t>
            </w:r>
            <w:r w:rsidRPr="00E056B1">
              <w:rPr>
                <w:rFonts w:ascii="Times New Roman" w:hAnsi="Times New Roman" w:cs="Times New Roman"/>
                <w:iCs/>
                <w:sz w:val="24"/>
                <w:szCs w:val="24"/>
              </w:rPr>
              <w:t>d’ici à 2015 du Protocole de Nagoya</w:t>
            </w:r>
          </w:p>
        </w:tc>
      </w:tr>
      <w:tr w:rsidR="003D4DBF" w:rsidRPr="00E056B1" w14:paraId="60359784" w14:textId="77777777" w:rsidTr="00B0200A">
        <w:tc>
          <w:tcPr>
            <w:tcW w:w="14885" w:type="dxa"/>
            <w:gridSpan w:val="5"/>
            <w:vAlign w:val="center"/>
          </w:tcPr>
          <w:p w14:paraId="5F8DDBC9"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i/>
                <w:iCs/>
                <w:color w:val="5C3462"/>
                <w:sz w:val="24"/>
                <w:szCs w:val="24"/>
              </w:rPr>
              <w:t xml:space="preserve">But stratégique D: </w:t>
            </w:r>
            <w:r w:rsidRPr="00E056B1">
              <w:rPr>
                <w:rFonts w:ascii="Times New Roman" w:hAnsi="Times New Roman" w:cs="Times New Roman"/>
                <w:b/>
                <w:i/>
                <w:iCs/>
                <w:color w:val="000000"/>
                <w:sz w:val="24"/>
                <w:szCs w:val="24"/>
              </w:rPr>
              <w:t>Renforcer les avantages retirés pour tous de la diversité biologique et des services fournis par les écosystèmes</w:t>
            </w:r>
          </w:p>
        </w:tc>
      </w:tr>
      <w:tr w:rsidR="003D4DBF" w:rsidRPr="00E056B1" w14:paraId="2F1DE972" w14:textId="77777777" w:rsidTr="00B0200A">
        <w:tc>
          <w:tcPr>
            <w:tcW w:w="3686" w:type="dxa"/>
            <w:vAlign w:val="center"/>
          </w:tcPr>
          <w:p w14:paraId="0302999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14: </w:t>
            </w:r>
            <w:r w:rsidRPr="00E056B1">
              <w:rPr>
                <w:rFonts w:ascii="Times New Roman" w:hAnsi="Times New Roman" w:cs="Times New Roman"/>
                <w:color w:val="000000"/>
                <w:sz w:val="24"/>
                <w:szCs w:val="24"/>
              </w:rPr>
              <w:t>D’ici à 2020, les écosystèmes qui fournissent des services essentiels, en particulier l’eau et contribuent à la santé, aux moyens de subsistance et au bien-être, sont restaurés et sauvegardés, compte tenu des besoins des femmes, des communautés autochtones et locales, et des populations pauvres et vulnérables</w:t>
            </w:r>
          </w:p>
        </w:tc>
        <w:tc>
          <w:tcPr>
            <w:tcW w:w="3261" w:type="dxa"/>
            <w:vAlign w:val="center"/>
          </w:tcPr>
          <w:p w14:paraId="15CA17C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3.</w:t>
            </w:r>
            <w:r w:rsidRPr="00E056B1">
              <w:rPr>
                <w:rFonts w:ascii="Times New Roman" w:hAnsi="Times New Roman" w:cs="Times New Roman"/>
                <w:sz w:val="24"/>
                <w:szCs w:val="24"/>
              </w:rPr>
              <w:t xml:space="preserve"> Elaborer d’</w:t>
            </w:r>
            <w:r w:rsidRPr="00E056B1">
              <w:rPr>
                <w:rFonts w:ascii="Times New Roman" w:hAnsi="Times New Roman" w:cs="Times New Roman"/>
                <w:iCs/>
                <w:sz w:val="24"/>
                <w:szCs w:val="24"/>
              </w:rPr>
              <w:t>ici à 2017 un schéma national d’aménagement du territoire, précisant les zones consacrées à l’agriculture, l’aquaculture, la sylviculture et la conservation de la diversité biologique, etc.</w:t>
            </w:r>
          </w:p>
        </w:tc>
        <w:tc>
          <w:tcPr>
            <w:tcW w:w="2976" w:type="dxa"/>
            <w:vAlign w:val="center"/>
          </w:tcPr>
          <w:p w14:paraId="04FE3D48"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12. </w:t>
            </w:r>
            <w:r w:rsidRPr="00E056B1">
              <w:rPr>
                <w:rFonts w:ascii="Times New Roman" w:hAnsi="Times New Roman" w:cs="Times New Roman"/>
                <w:iCs/>
                <w:sz w:val="24"/>
                <w:szCs w:val="24"/>
              </w:rPr>
              <w:t>Réduire significativement d’ici à 2018 l’érosion génétique de la diversité génétique des plantes cultivées, des animaux d’élevage et des parents sauvages, des espèces à valeur socio-économique ou culturelle</w:t>
            </w:r>
          </w:p>
        </w:tc>
        <w:tc>
          <w:tcPr>
            <w:tcW w:w="2694" w:type="dxa"/>
            <w:vAlign w:val="center"/>
          </w:tcPr>
          <w:p w14:paraId="2881A86F"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17.</w:t>
            </w:r>
            <w:r w:rsidRPr="00E056B1">
              <w:rPr>
                <w:rFonts w:ascii="Times New Roman" w:hAnsi="Times New Roman" w:cs="Times New Roman"/>
                <w:sz w:val="24"/>
                <w:szCs w:val="24"/>
              </w:rPr>
              <w:t xml:space="preserve"> Initier des mécanismes de partage équitable des avantages issus de l’utilisation de la biodiversité à toutes les échelles après la ratification </w:t>
            </w:r>
            <w:r w:rsidRPr="00E056B1">
              <w:rPr>
                <w:rFonts w:ascii="Times New Roman" w:hAnsi="Times New Roman" w:cs="Times New Roman"/>
                <w:iCs/>
                <w:sz w:val="24"/>
                <w:szCs w:val="24"/>
              </w:rPr>
              <w:t>d’ici à 2015 du Protocole de Nagoya</w:t>
            </w:r>
          </w:p>
        </w:tc>
        <w:tc>
          <w:tcPr>
            <w:tcW w:w="2268" w:type="dxa"/>
            <w:vAlign w:val="center"/>
          </w:tcPr>
          <w:p w14:paraId="1127636C" w14:textId="77777777" w:rsidR="003D4DBF" w:rsidRPr="00E056B1" w:rsidRDefault="003D4DBF" w:rsidP="00B0200A">
            <w:pPr>
              <w:jc w:val="both"/>
              <w:rPr>
                <w:rFonts w:ascii="Times New Roman" w:hAnsi="Times New Roman" w:cs="Times New Roman"/>
                <w:sz w:val="24"/>
                <w:szCs w:val="24"/>
              </w:rPr>
            </w:pPr>
          </w:p>
        </w:tc>
      </w:tr>
      <w:tr w:rsidR="003D4DBF" w:rsidRPr="00E056B1" w14:paraId="2134CB75" w14:textId="77777777" w:rsidTr="00B0200A">
        <w:tc>
          <w:tcPr>
            <w:tcW w:w="3686" w:type="dxa"/>
            <w:vAlign w:val="center"/>
          </w:tcPr>
          <w:p w14:paraId="299191A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15: </w:t>
            </w:r>
            <w:r w:rsidRPr="00E056B1">
              <w:rPr>
                <w:rFonts w:ascii="Times New Roman" w:hAnsi="Times New Roman" w:cs="Times New Roman"/>
                <w:color w:val="000000"/>
                <w:sz w:val="24"/>
                <w:szCs w:val="24"/>
              </w:rPr>
              <w:t>D’ici à 2020, la résilience des écosystèmes et la contribution de la diversité biologique aux stocks de carbone sont améliorées, grâce aux mesures de conservation et restauration, y compris la restauration d’au moins 15% des écosystèmes dégradés, contribuant ainsi à l’atténuation des changements climatiques et l’adaptation à ceux-ci, ainsi qu’à la lutte contre la désertification</w:t>
            </w:r>
          </w:p>
        </w:tc>
        <w:tc>
          <w:tcPr>
            <w:tcW w:w="3261" w:type="dxa"/>
            <w:vAlign w:val="center"/>
          </w:tcPr>
          <w:p w14:paraId="508CB7D0"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16.</w:t>
            </w:r>
            <w:r w:rsidRPr="00E056B1">
              <w:rPr>
                <w:rFonts w:ascii="Times New Roman" w:hAnsi="Times New Roman" w:cs="Times New Roman"/>
                <w:sz w:val="24"/>
                <w:szCs w:val="24"/>
              </w:rPr>
              <w:t xml:space="preserve"> Mettre en place d’ici à 2018 un système de référence MRV (Mesure, Rapportage et Vérification) </w:t>
            </w:r>
            <w:r w:rsidRPr="00E056B1">
              <w:rPr>
                <w:rFonts w:ascii="Times New Roman" w:hAnsi="Times New Roman" w:cs="Times New Roman"/>
                <w:iCs/>
                <w:sz w:val="24"/>
                <w:szCs w:val="24"/>
              </w:rPr>
              <w:t>afin de renforcer la résilience des écosystèmes et de la biodiversité contre les changements climatiques</w:t>
            </w:r>
          </w:p>
        </w:tc>
        <w:tc>
          <w:tcPr>
            <w:tcW w:w="2976" w:type="dxa"/>
            <w:vAlign w:val="center"/>
          </w:tcPr>
          <w:p w14:paraId="417476BC"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17.</w:t>
            </w:r>
            <w:r w:rsidRPr="00E056B1">
              <w:rPr>
                <w:rFonts w:ascii="Times New Roman" w:hAnsi="Times New Roman" w:cs="Times New Roman"/>
                <w:sz w:val="24"/>
                <w:szCs w:val="24"/>
              </w:rPr>
              <w:t xml:space="preserve"> Initier des mécanismes de partage équitable des avantages issus de l’utilisation de la biodiversité à toutes les échelles après la ratification </w:t>
            </w:r>
            <w:r w:rsidRPr="00E056B1">
              <w:rPr>
                <w:rFonts w:ascii="Times New Roman" w:hAnsi="Times New Roman" w:cs="Times New Roman"/>
                <w:iCs/>
                <w:sz w:val="24"/>
                <w:szCs w:val="24"/>
              </w:rPr>
              <w:t>d’ici à 2015 du Protocole de Nagoya</w:t>
            </w:r>
          </w:p>
        </w:tc>
        <w:tc>
          <w:tcPr>
            <w:tcW w:w="2694" w:type="dxa"/>
            <w:vAlign w:val="center"/>
          </w:tcPr>
          <w:p w14:paraId="2BFBF1C6" w14:textId="77777777" w:rsidR="003D4DBF" w:rsidRPr="00E056B1" w:rsidRDefault="003D4DBF" w:rsidP="00B0200A">
            <w:pPr>
              <w:jc w:val="both"/>
              <w:rPr>
                <w:rFonts w:ascii="Times New Roman" w:hAnsi="Times New Roman" w:cs="Times New Roman"/>
                <w:sz w:val="24"/>
                <w:szCs w:val="24"/>
              </w:rPr>
            </w:pPr>
          </w:p>
        </w:tc>
        <w:tc>
          <w:tcPr>
            <w:tcW w:w="2268" w:type="dxa"/>
            <w:vAlign w:val="center"/>
          </w:tcPr>
          <w:p w14:paraId="7B770CD9" w14:textId="77777777" w:rsidR="003D4DBF" w:rsidRPr="00E056B1" w:rsidRDefault="003D4DBF" w:rsidP="00B0200A">
            <w:pPr>
              <w:jc w:val="both"/>
              <w:rPr>
                <w:rFonts w:ascii="Times New Roman" w:hAnsi="Times New Roman" w:cs="Times New Roman"/>
                <w:sz w:val="24"/>
                <w:szCs w:val="24"/>
              </w:rPr>
            </w:pPr>
          </w:p>
        </w:tc>
      </w:tr>
      <w:tr w:rsidR="003D4DBF" w:rsidRPr="00E056B1" w14:paraId="0C346579" w14:textId="77777777" w:rsidTr="00B0200A">
        <w:tc>
          <w:tcPr>
            <w:tcW w:w="3686" w:type="dxa"/>
            <w:vAlign w:val="center"/>
          </w:tcPr>
          <w:p w14:paraId="016E0D44"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16: </w:t>
            </w:r>
            <w:r w:rsidRPr="00E056B1">
              <w:rPr>
                <w:rFonts w:ascii="Times New Roman" w:hAnsi="Times New Roman" w:cs="Times New Roman"/>
                <w:color w:val="000000"/>
                <w:sz w:val="24"/>
                <w:szCs w:val="24"/>
              </w:rPr>
              <w:t>D’ici à 2015, le Protocole de Nagoya sur l’accès aux ressources génétiques et le partage juste et équitable des avantages découlant de leur utilisation est en vigueur et opérationnel, conformément à la législation nationale</w:t>
            </w:r>
          </w:p>
        </w:tc>
        <w:tc>
          <w:tcPr>
            <w:tcW w:w="3261" w:type="dxa"/>
            <w:vAlign w:val="center"/>
          </w:tcPr>
          <w:p w14:paraId="75FFA14C"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17.</w:t>
            </w:r>
            <w:r w:rsidRPr="00E056B1">
              <w:rPr>
                <w:rFonts w:ascii="Times New Roman" w:hAnsi="Times New Roman" w:cs="Times New Roman"/>
                <w:sz w:val="24"/>
                <w:szCs w:val="24"/>
              </w:rPr>
              <w:t xml:space="preserve"> Initier des mécanismes de partage équitable des avantages issus de l’utilisation de la biodiversité à toutes les échelles après la ratification </w:t>
            </w:r>
            <w:r w:rsidRPr="00E056B1">
              <w:rPr>
                <w:rFonts w:ascii="Times New Roman" w:hAnsi="Times New Roman" w:cs="Times New Roman"/>
                <w:iCs/>
                <w:sz w:val="24"/>
                <w:szCs w:val="24"/>
              </w:rPr>
              <w:t>d’ici à 2015 du Protocole de Nagoya</w:t>
            </w:r>
          </w:p>
        </w:tc>
        <w:tc>
          <w:tcPr>
            <w:tcW w:w="2976" w:type="dxa"/>
            <w:vAlign w:val="center"/>
          </w:tcPr>
          <w:p w14:paraId="6ADBD845" w14:textId="77777777" w:rsidR="003D4DBF" w:rsidRPr="00E056B1" w:rsidRDefault="003D4DBF" w:rsidP="00B0200A">
            <w:pPr>
              <w:jc w:val="both"/>
              <w:rPr>
                <w:rFonts w:ascii="Times New Roman" w:hAnsi="Times New Roman" w:cs="Times New Roman"/>
                <w:sz w:val="24"/>
                <w:szCs w:val="24"/>
              </w:rPr>
            </w:pPr>
          </w:p>
        </w:tc>
        <w:tc>
          <w:tcPr>
            <w:tcW w:w="2694" w:type="dxa"/>
            <w:vAlign w:val="center"/>
          </w:tcPr>
          <w:p w14:paraId="0F04B798" w14:textId="77777777" w:rsidR="003D4DBF" w:rsidRPr="00E056B1" w:rsidRDefault="003D4DBF" w:rsidP="00B0200A">
            <w:pPr>
              <w:jc w:val="both"/>
              <w:rPr>
                <w:rFonts w:ascii="Times New Roman" w:hAnsi="Times New Roman" w:cs="Times New Roman"/>
                <w:sz w:val="24"/>
                <w:szCs w:val="24"/>
              </w:rPr>
            </w:pPr>
          </w:p>
        </w:tc>
        <w:tc>
          <w:tcPr>
            <w:tcW w:w="2268" w:type="dxa"/>
            <w:vAlign w:val="center"/>
          </w:tcPr>
          <w:p w14:paraId="430404AE" w14:textId="77777777" w:rsidR="003D4DBF" w:rsidRPr="00E056B1" w:rsidRDefault="003D4DBF" w:rsidP="00B0200A">
            <w:pPr>
              <w:jc w:val="both"/>
              <w:rPr>
                <w:rFonts w:ascii="Times New Roman" w:hAnsi="Times New Roman" w:cs="Times New Roman"/>
                <w:sz w:val="24"/>
                <w:szCs w:val="24"/>
              </w:rPr>
            </w:pPr>
          </w:p>
        </w:tc>
      </w:tr>
      <w:tr w:rsidR="003D4DBF" w:rsidRPr="00E056B1" w14:paraId="2A88C0A2" w14:textId="77777777" w:rsidTr="00B0200A">
        <w:tc>
          <w:tcPr>
            <w:tcW w:w="14885" w:type="dxa"/>
            <w:gridSpan w:val="5"/>
            <w:vAlign w:val="center"/>
          </w:tcPr>
          <w:p w14:paraId="512599C3"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i/>
                <w:iCs/>
                <w:color w:val="B45F12"/>
                <w:sz w:val="24"/>
                <w:szCs w:val="24"/>
              </w:rPr>
              <w:t xml:space="preserve">But stratégique E: </w:t>
            </w:r>
            <w:r w:rsidRPr="00E056B1">
              <w:rPr>
                <w:rFonts w:ascii="Times New Roman" w:hAnsi="Times New Roman" w:cs="Times New Roman"/>
                <w:b/>
                <w:i/>
                <w:iCs/>
                <w:color w:val="000000"/>
                <w:sz w:val="24"/>
                <w:szCs w:val="24"/>
              </w:rPr>
              <w:t>Renforcer la mise en œuvre au moyen d’une planification participative, de la gestion des connaissances et du renforcement des capacités</w:t>
            </w:r>
          </w:p>
        </w:tc>
      </w:tr>
      <w:tr w:rsidR="003D4DBF" w:rsidRPr="00E056B1" w14:paraId="3ACCBBAC" w14:textId="77777777" w:rsidTr="00B0200A">
        <w:tc>
          <w:tcPr>
            <w:tcW w:w="3686" w:type="dxa"/>
            <w:vAlign w:val="center"/>
          </w:tcPr>
          <w:p w14:paraId="5B52C4D1"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17: </w:t>
            </w:r>
            <w:r w:rsidRPr="00E056B1">
              <w:rPr>
                <w:rFonts w:ascii="Times New Roman" w:hAnsi="Times New Roman" w:cs="Times New Roman"/>
                <w:color w:val="000000"/>
                <w:sz w:val="24"/>
                <w:szCs w:val="24"/>
              </w:rPr>
              <w:t>D’ici à 2015, toutes les Parties ont élaboré et adopté en tant qu’instrument de politique générale, et commencé à mettre en œuvre une stratégie et un plan d’action nationaux efficaces, participatifs et actualisés pour la diversité biologique</w:t>
            </w:r>
          </w:p>
        </w:tc>
        <w:tc>
          <w:tcPr>
            <w:tcW w:w="3261" w:type="dxa"/>
            <w:vAlign w:val="center"/>
          </w:tcPr>
          <w:p w14:paraId="11556816"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976" w:type="dxa"/>
            <w:vAlign w:val="center"/>
          </w:tcPr>
          <w:p w14:paraId="1486C586"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3.</w:t>
            </w:r>
            <w:r w:rsidRPr="00E056B1">
              <w:rPr>
                <w:rFonts w:ascii="Times New Roman" w:hAnsi="Times New Roman" w:cs="Times New Roman"/>
                <w:sz w:val="24"/>
                <w:szCs w:val="24"/>
              </w:rPr>
              <w:t xml:space="preserve"> Elaborer d’</w:t>
            </w:r>
            <w:r w:rsidRPr="00E056B1">
              <w:rPr>
                <w:rFonts w:ascii="Times New Roman" w:hAnsi="Times New Roman" w:cs="Times New Roman"/>
                <w:iCs/>
                <w:sz w:val="24"/>
                <w:szCs w:val="24"/>
              </w:rPr>
              <w:t>ici à 2017 un schéma national d’aménagement du territoire, précisant les zones consacrées à l’agriculture, l’aquaculture, la sylviculture et la conservation de la diversité biologique, etc</w:t>
            </w:r>
          </w:p>
        </w:tc>
        <w:tc>
          <w:tcPr>
            <w:tcW w:w="2694" w:type="dxa"/>
            <w:vAlign w:val="center"/>
          </w:tcPr>
          <w:p w14:paraId="11545BA2"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19.</w:t>
            </w:r>
            <w:r w:rsidRPr="00E056B1">
              <w:rPr>
                <w:rFonts w:ascii="Times New Roman" w:hAnsi="Times New Roman" w:cs="Times New Roman"/>
                <w:sz w:val="24"/>
                <w:szCs w:val="24"/>
              </w:rPr>
              <w:t xml:space="preserve"> Développer d’ici à 2020 la prise en compte des enjeux de biodiversité dans toutes les formations scolaires et universitaires</w:t>
            </w:r>
          </w:p>
        </w:tc>
        <w:tc>
          <w:tcPr>
            <w:tcW w:w="2268" w:type="dxa"/>
            <w:vAlign w:val="center"/>
          </w:tcPr>
          <w:p w14:paraId="6C4C00EF"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20.</w:t>
            </w:r>
            <w:r w:rsidRPr="00E056B1">
              <w:rPr>
                <w:rFonts w:ascii="Times New Roman" w:hAnsi="Times New Roman" w:cs="Times New Roman"/>
                <w:sz w:val="24"/>
                <w:szCs w:val="24"/>
              </w:rPr>
              <w:t xml:space="preserve"> Rendre opérationnel d</w:t>
            </w:r>
            <w:r w:rsidRPr="00E056B1">
              <w:rPr>
                <w:rFonts w:ascii="Times New Roman" w:hAnsi="Times New Roman" w:cs="Times New Roman"/>
                <w:iCs/>
                <w:sz w:val="24"/>
                <w:szCs w:val="24"/>
              </w:rPr>
              <w:t>’ici à 2015, un comité national de biodiversité regroupant les principaux acteurs intervenant dans l’utilisation et la gestion de la biodiversité</w:t>
            </w:r>
          </w:p>
        </w:tc>
      </w:tr>
      <w:tr w:rsidR="003D4DBF" w:rsidRPr="00E056B1" w14:paraId="0AFEBBCD" w14:textId="77777777" w:rsidTr="00B0200A">
        <w:tc>
          <w:tcPr>
            <w:tcW w:w="3686" w:type="dxa"/>
            <w:vAlign w:val="center"/>
          </w:tcPr>
          <w:p w14:paraId="5B489039"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18: </w:t>
            </w:r>
            <w:r w:rsidRPr="00E056B1">
              <w:rPr>
                <w:rFonts w:ascii="Times New Roman" w:hAnsi="Times New Roman" w:cs="Times New Roman"/>
                <w:color w:val="000000"/>
                <w:sz w:val="24"/>
                <w:szCs w:val="24"/>
              </w:rPr>
              <w:t>D’ici à 2020, les connaissances, innovations et pratiques traditionnelles des communautés autochtones et locales qui présentent un intérêt pour la conservation et l’utilisation durable de la diversité biologique, ainsi que leur utilisation coutumière durable, sont respectées, sous réserve des dispositions de la législation nationale et des obligations internationales en vigueur, et sont pleinement intégrées et prises en compte dans le cadre de l’application de la Convention, avec la participation entière et effective des communautés autochtones et locales, à tous les niveaux pertinents</w:t>
            </w:r>
          </w:p>
        </w:tc>
        <w:tc>
          <w:tcPr>
            <w:tcW w:w="3261" w:type="dxa"/>
            <w:vAlign w:val="center"/>
          </w:tcPr>
          <w:p w14:paraId="09D1B347"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6. </w:t>
            </w:r>
            <w:r w:rsidRPr="00E056B1">
              <w:rPr>
                <w:rFonts w:ascii="Times New Roman" w:hAnsi="Times New Roman" w:cs="Times New Roman"/>
                <w:sz w:val="24"/>
                <w:szCs w:val="24"/>
              </w:rPr>
              <w:t>Développer des innovations afin que d’ici à 2020, 50% des agriculteurs togolais adoptent des pratiques agricoles durables et respectueuses de l’environnement</w:t>
            </w:r>
          </w:p>
        </w:tc>
        <w:tc>
          <w:tcPr>
            <w:tcW w:w="2976" w:type="dxa"/>
            <w:vAlign w:val="center"/>
          </w:tcPr>
          <w:p w14:paraId="4CD752BB"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10. </w:t>
            </w:r>
            <w:r w:rsidRPr="00E056B1">
              <w:rPr>
                <w:rFonts w:ascii="Times New Roman" w:hAnsi="Times New Roman" w:cs="Times New Roman"/>
                <w:sz w:val="24"/>
                <w:szCs w:val="24"/>
              </w:rPr>
              <w:t>Développer d’ici à 2016 la recherche afin d’améliorer, partager et diffuser les connaissances sur la biodiversité</w:t>
            </w:r>
          </w:p>
        </w:tc>
        <w:tc>
          <w:tcPr>
            <w:tcW w:w="2694" w:type="dxa"/>
            <w:vAlign w:val="center"/>
          </w:tcPr>
          <w:p w14:paraId="7B8DA2A7"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18. </w:t>
            </w:r>
            <w:r w:rsidRPr="00E056B1">
              <w:rPr>
                <w:rFonts w:ascii="Times New Roman" w:hAnsi="Times New Roman" w:cs="Times New Roman"/>
                <w:sz w:val="24"/>
                <w:szCs w:val="24"/>
              </w:rPr>
              <w:t>Accroitre l’expertise nationale d’ici 2020, y compris la prise en compte des pratiques traditionnelles</w:t>
            </w:r>
          </w:p>
        </w:tc>
        <w:tc>
          <w:tcPr>
            <w:tcW w:w="2268" w:type="dxa"/>
            <w:vAlign w:val="center"/>
          </w:tcPr>
          <w:p w14:paraId="03A5CEE4" w14:textId="77777777" w:rsidR="003D4DBF" w:rsidRPr="00E056B1" w:rsidRDefault="003D4DBF" w:rsidP="00B0200A">
            <w:pPr>
              <w:jc w:val="both"/>
              <w:rPr>
                <w:rFonts w:ascii="Times New Roman" w:hAnsi="Times New Roman" w:cs="Times New Roman"/>
                <w:sz w:val="24"/>
                <w:szCs w:val="24"/>
              </w:rPr>
            </w:pPr>
          </w:p>
        </w:tc>
      </w:tr>
      <w:tr w:rsidR="003D4DBF" w:rsidRPr="00E056B1" w14:paraId="19D31350" w14:textId="77777777" w:rsidTr="00B0200A">
        <w:tc>
          <w:tcPr>
            <w:tcW w:w="3686" w:type="dxa"/>
            <w:vAlign w:val="center"/>
          </w:tcPr>
          <w:p w14:paraId="69775913"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19: </w:t>
            </w:r>
            <w:r w:rsidRPr="00E056B1">
              <w:rPr>
                <w:rFonts w:ascii="Times New Roman" w:hAnsi="Times New Roman" w:cs="Times New Roman"/>
                <w:color w:val="000000"/>
                <w:sz w:val="24"/>
                <w:szCs w:val="24"/>
              </w:rPr>
              <w:t>D’ici à 2020, les connaissances, la base scientifique et les technologies associées à la diversité biologique, ses valeurs, son fonctionnement, son état et ses tendances, et les conséquences de son appauvrissement, sont améliorées, largement partagées et transférées, et appliquées</w:t>
            </w:r>
          </w:p>
        </w:tc>
        <w:tc>
          <w:tcPr>
            <w:tcW w:w="3261" w:type="dxa"/>
            <w:vAlign w:val="center"/>
          </w:tcPr>
          <w:p w14:paraId="22A1112F"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w:t>
            </w:r>
            <w:r w:rsidRPr="00E056B1">
              <w:rPr>
                <w:rFonts w:ascii="Times New Roman" w:hAnsi="Times New Roman" w:cs="Times New Roman"/>
                <w:sz w:val="24"/>
                <w:szCs w:val="24"/>
              </w:rPr>
              <w:t>. Développer une approche intégrée de sensibilisation pour que d’ici à 2020, 50 % de la population togolaise soient mobilisées pour la conservation et l’utilisation durable de la biodiversité</w:t>
            </w:r>
          </w:p>
        </w:tc>
        <w:tc>
          <w:tcPr>
            <w:tcW w:w="2976" w:type="dxa"/>
            <w:vAlign w:val="center"/>
          </w:tcPr>
          <w:p w14:paraId="181D0567"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6. </w:t>
            </w:r>
            <w:r w:rsidRPr="00E056B1">
              <w:rPr>
                <w:rFonts w:ascii="Times New Roman" w:hAnsi="Times New Roman" w:cs="Times New Roman"/>
                <w:sz w:val="24"/>
                <w:szCs w:val="24"/>
              </w:rPr>
              <w:t>Développer des innovations afin que d’ici à 2020, 50% des agriculteurs togolais adoptent des pratiques agricoles durables et respectueuses de l’environnement</w:t>
            </w:r>
          </w:p>
        </w:tc>
        <w:tc>
          <w:tcPr>
            <w:tcW w:w="2694" w:type="dxa"/>
            <w:vAlign w:val="center"/>
          </w:tcPr>
          <w:p w14:paraId="2C650547"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18. </w:t>
            </w:r>
            <w:r w:rsidRPr="00E056B1">
              <w:rPr>
                <w:rFonts w:ascii="Times New Roman" w:hAnsi="Times New Roman" w:cs="Times New Roman"/>
                <w:sz w:val="24"/>
                <w:szCs w:val="24"/>
              </w:rPr>
              <w:t>Accroitre l’expertise nationale d’ici 2020, y compris la prise en compte des pratiques traditionnelles</w:t>
            </w:r>
          </w:p>
        </w:tc>
        <w:tc>
          <w:tcPr>
            <w:tcW w:w="2268" w:type="dxa"/>
            <w:vAlign w:val="center"/>
          </w:tcPr>
          <w:p w14:paraId="3A884BDC"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19.</w:t>
            </w:r>
            <w:r w:rsidRPr="00E056B1">
              <w:rPr>
                <w:rFonts w:ascii="Times New Roman" w:hAnsi="Times New Roman" w:cs="Times New Roman"/>
                <w:sz w:val="24"/>
                <w:szCs w:val="24"/>
              </w:rPr>
              <w:t xml:space="preserve"> Développer d’ici à 2020 la prise en compte des enjeux de biodiversité dans toutes les formations scolaires et universitaires</w:t>
            </w:r>
          </w:p>
        </w:tc>
      </w:tr>
      <w:tr w:rsidR="003D4DBF" w:rsidRPr="00E056B1" w14:paraId="211EA08B" w14:textId="77777777" w:rsidTr="00B0200A">
        <w:tc>
          <w:tcPr>
            <w:tcW w:w="3686" w:type="dxa"/>
            <w:vAlign w:val="center"/>
          </w:tcPr>
          <w:p w14:paraId="5198961D"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bCs/>
                <w:color w:val="000000"/>
                <w:sz w:val="24"/>
                <w:szCs w:val="24"/>
              </w:rPr>
              <w:t xml:space="preserve">Objectif 20: </w:t>
            </w:r>
            <w:r w:rsidRPr="00E056B1">
              <w:rPr>
                <w:rFonts w:ascii="Times New Roman" w:hAnsi="Times New Roman" w:cs="Times New Roman"/>
                <w:color w:val="000000"/>
                <w:sz w:val="24"/>
                <w:szCs w:val="24"/>
              </w:rPr>
              <w:t>D’ici à 2020 au plus tard, la mobilisation des ressources financières nécessaires à la mise en œuvre effective du Plan stratégique 2011-2020 pour la diversité biologique de toutes les sources et conformément au mécanisme consolidé et convenu de la Stratégie de mobilisation des ressources, aura augmenté considérablement par rapport aux niveaux actuels. Cet objectif fera l’objet de modifications en fonction des évaluations des besoins de ressources que les Parties doivent effectuer et notifier</w:t>
            </w:r>
          </w:p>
        </w:tc>
        <w:tc>
          <w:tcPr>
            <w:tcW w:w="3261" w:type="dxa"/>
            <w:vAlign w:val="center"/>
          </w:tcPr>
          <w:p w14:paraId="65C3BD43"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w:t>
            </w:r>
            <w:r w:rsidRPr="00E056B1">
              <w:rPr>
                <w:rFonts w:ascii="Times New Roman" w:hAnsi="Times New Roman" w:cs="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2976" w:type="dxa"/>
            <w:vAlign w:val="center"/>
          </w:tcPr>
          <w:p w14:paraId="21408E4E"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 xml:space="preserve">Objectif 4. </w:t>
            </w:r>
            <w:r w:rsidRPr="00E056B1">
              <w:rPr>
                <w:rFonts w:ascii="Times New Roman" w:hAnsi="Times New Roman" w:cs="Times New Roman"/>
                <w:sz w:val="24"/>
                <w:szCs w:val="24"/>
              </w:rPr>
              <w:t>Renforcer les cadres juridique, institutionnel et la gouvernance d’ici 2018 afin de créer un environnement favorable à la lutte effective contre l’érosion de la biodiversité</w:t>
            </w:r>
          </w:p>
        </w:tc>
        <w:tc>
          <w:tcPr>
            <w:tcW w:w="2694" w:type="dxa"/>
            <w:vAlign w:val="center"/>
          </w:tcPr>
          <w:p w14:paraId="44A00D71"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17.</w:t>
            </w:r>
            <w:r w:rsidRPr="00E056B1">
              <w:rPr>
                <w:rFonts w:ascii="Times New Roman" w:hAnsi="Times New Roman" w:cs="Times New Roman"/>
                <w:sz w:val="24"/>
                <w:szCs w:val="24"/>
              </w:rPr>
              <w:t xml:space="preserve"> Initier des mécanismes de partage équitable des avantages issus de l’utilisation de la biodiversité à toutes les échelles après la ratification </w:t>
            </w:r>
            <w:r w:rsidRPr="00E056B1">
              <w:rPr>
                <w:rFonts w:ascii="Times New Roman" w:hAnsi="Times New Roman" w:cs="Times New Roman"/>
                <w:iCs/>
                <w:sz w:val="24"/>
                <w:szCs w:val="24"/>
              </w:rPr>
              <w:t>d’ici à 2015 du Protocole de Nagoya</w:t>
            </w:r>
          </w:p>
        </w:tc>
        <w:tc>
          <w:tcPr>
            <w:tcW w:w="2268" w:type="dxa"/>
            <w:vAlign w:val="center"/>
          </w:tcPr>
          <w:p w14:paraId="4B30905A" w14:textId="77777777" w:rsidR="003D4DBF" w:rsidRPr="00E056B1" w:rsidRDefault="003D4DBF" w:rsidP="00B0200A">
            <w:pPr>
              <w:jc w:val="both"/>
              <w:rPr>
                <w:rFonts w:ascii="Times New Roman" w:hAnsi="Times New Roman" w:cs="Times New Roman"/>
                <w:sz w:val="24"/>
                <w:szCs w:val="24"/>
              </w:rPr>
            </w:pPr>
            <w:r w:rsidRPr="00E056B1">
              <w:rPr>
                <w:rFonts w:ascii="Times New Roman" w:hAnsi="Times New Roman" w:cs="Times New Roman"/>
                <w:b/>
                <w:sz w:val="24"/>
                <w:szCs w:val="24"/>
              </w:rPr>
              <w:t>Objectif 20.</w:t>
            </w:r>
            <w:r w:rsidRPr="00E056B1">
              <w:rPr>
                <w:rFonts w:ascii="Times New Roman" w:hAnsi="Times New Roman" w:cs="Times New Roman"/>
                <w:sz w:val="24"/>
                <w:szCs w:val="24"/>
              </w:rPr>
              <w:t xml:space="preserve"> Rendre opérationnel d</w:t>
            </w:r>
            <w:r w:rsidRPr="00E056B1">
              <w:rPr>
                <w:rFonts w:ascii="Times New Roman" w:hAnsi="Times New Roman" w:cs="Times New Roman"/>
                <w:iCs/>
                <w:sz w:val="24"/>
                <w:szCs w:val="24"/>
              </w:rPr>
              <w:t>’ici à 2015, un comité national de biodiversité regroupant les principaux acteurs intervenant dans l’utilisation et la gestion de la biodiversité</w:t>
            </w:r>
          </w:p>
        </w:tc>
      </w:tr>
    </w:tbl>
    <w:p w14:paraId="2F01B1CA" w14:textId="77777777" w:rsidR="003D4DBF" w:rsidRDefault="003D4DBF" w:rsidP="003D4DBF">
      <w:pPr>
        <w:spacing w:after="0" w:line="240" w:lineRule="auto"/>
        <w:jc w:val="both"/>
        <w:rPr>
          <w:rFonts w:ascii="Times New Roman" w:hAnsi="Times New Roman" w:cs="Times New Roman"/>
          <w:sz w:val="24"/>
          <w:szCs w:val="24"/>
        </w:rPr>
        <w:sectPr w:rsidR="003D4DBF" w:rsidSect="00BC689A">
          <w:pgSz w:w="16838" w:h="11906" w:orient="landscape"/>
          <w:pgMar w:top="1418" w:right="1418" w:bottom="1418" w:left="1418" w:header="709" w:footer="709" w:gutter="0"/>
          <w:cols w:space="708"/>
          <w:docGrid w:linePitch="360"/>
        </w:sectPr>
      </w:pPr>
    </w:p>
    <w:p w14:paraId="6F0E5C2F" w14:textId="77777777" w:rsidR="003D4DBF" w:rsidRPr="00BC689A" w:rsidRDefault="003D4DBF" w:rsidP="003D4DBF">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1.5.</w:t>
      </w:r>
      <w:r w:rsidRPr="00BC689A">
        <w:rPr>
          <w:rFonts w:ascii="Times New Roman" w:hAnsi="Times New Roman" w:cs="Times New Roman"/>
          <w:b/>
          <w:sz w:val="24"/>
          <w:szCs w:val="24"/>
        </w:rPr>
        <w:t xml:space="preserve"> Applicabilité et efforts de mise en œuvre des objectifs mondiaux au Togo</w:t>
      </w:r>
    </w:p>
    <w:p w14:paraId="14F3740F" w14:textId="77777777" w:rsidR="003D4DBF" w:rsidRPr="00E056B1" w:rsidRDefault="003D4DBF" w:rsidP="003D4DBF">
      <w:pPr>
        <w:spacing w:after="0" w:line="240" w:lineRule="auto"/>
        <w:rPr>
          <w:rFonts w:ascii="Times New Roman" w:hAnsi="Times New Roman" w:cs="Times New Roman"/>
          <w:sz w:val="24"/>
          <w:szCs w:val="24"/>
        </w:rPr>
      </w:pPr>
    </w:p>
    <w:p w14:paraId="5AB81606" w14:textId="77777777" w:rsidR="003D4DBF" w:rsidRPr="00E056B1" w:rsidRDefault="003D4DBF" w:rsidP="003D4DBF">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L’analyse de l’ensemble des objectifs d’Aichi indique que 19 objectifs sont applicables au Togo avec des niveaux d’applicabilité variable. Seul l’objectif 8 «</w:t>
      </w:r>
      <w:r w:rsidRPr="00E056B1">
        <w:rPr>
          <w:rFonts w:ascii="Times New Roman" w:hAnsi="Times New Roman" w:cs="Times New Roman"/>
          <w:b/>
          <w:i/>
          <w:color w:val="000000"/>
          <w:sz w:val="24"/>
          <w:szCs w:val="24"/>
        </w:rPr>
        <w:t>D’ici à 2020, la pollution, notamment celle causée par l’excès d’éléments nutritifs, est ramenée à un niveau qui n’a pas d’effet néfaste sur les fonctions des écosystèmes et la diversité biologique</w:t>
      </w:r>
      <w:r w:rsidRPr="00E056B1">
        <w:rPr>
          <w:rFonts w:ascii="Times New Roman" w:hAnsi="Times New Roman" w:cs="Times New Roman"/>
          <w:sz w:val="24"/>
          <w:szCs w:val="24"/>
        </w:rPr>
        <w:t>» semble ne pas être évoqués dans les documents stratégiques, de planification et programmatiques. Le désintéressement à cet objectif peut s’expliquer par le fait que l’utilisation des éléments nutritifs dans l’agriculture n’est pas à un ni</w:t>
      </w:r>
      <w:r>
        <w:rPr>
          <w:rFonts w:ascii="Times New Roman" w:hAnsi="Times New Roman" w:cs="Times New Roman"/>
          <w:sz w:val="24"/>
          <w:szCs w:val="24"/>
        </w:rPr>
        <w:t>veau excessif au Togo (Tableau 3</w:t>
      </w:r>
      <w:r w:rsidRPr="00E056B1">
        <w:rPr>
          <w:rFonts w:ascii="Times New Roman" w:hAnsi="Times New Roman" w:cs="Times New Roman"/>
          <w:sz w:val="24"/>
          <w:szCs w:val="24"/>
        </w:rPr>
        <w:t>).</w:t>
      </w:r>
    </w:p>
    <w:p w14:paraId="6331D552" w14:textId="77777777" w:rsidR="003D4DBF" w:rsidRPr="007B1569" w:rsidRDefault="003D4DBF" w:rsidP="003D4DBF">
      <w:pPr>
        <w:spacing w:after="0" w:line="240" w:lineRule="auto"/>
        <w:rPr>
          <w:rFonts w:ascii="Times New Roman" w:hAnsi="Times New Roman" w:cs="Times New Roman"/>
          <w:sz w:val="24"/>
          <w:szCs w:val="24"/>
        </w:rPr>
      </w:pPr>
    </w:p>
    <w:p w14:paraId="09D18F46" w14:textId="3DD2239B" w:rsidR="003D4DBF" w:rsidRPr="00E077DE" w:rsidRDefault="003D4DBF" w:rsidP="003D4DBF">
      <w:pPr>
        <w:pStyle w:val="Lgende"/>
        <w:jc w:val="center"/>
        <w:rPr>
          <w:rFonts w:ascii="Times New Roman" w:hAnsi="Times New Roman"/>
          <w:sz w:val="24"/>
          <w:szCs w:val="24"/>
        </w:rPr>
      </w:pPr>
      <w:bookmarkStart w:id="12" w:name="_Toc533413474"/>
      <w:r w:rsidRPr="00E077DE">
        <w:rPr>
          <w:rFonts w:ascii="Times New Roman" w:hAnsi="Times New Roman"/>
          <w:sz w:val="24"/>
          <w:szCs w:val="24"/>
        </w:rPr>
        <w:t xml:space="preserve">Tableau </w:t>
      </w:r>
      <w:r w:rsidRPr="00E077DE">
        <w:rPr>
          <w:rFonts w:ascii="Times New Roman" w:hAnsi="Times New Roman"/>
          <w:sz w:val="24"/>
          <w:szCs w:val="24"/>
        </w:rPr>
        <w:fldChar w:fldCharType="begin"/>
      </w:r>
      <w:r w:rsidRPr="00E077DE">
        <w:rPr>
          <w:rFonts w:ascii="Times New Roman" w:hAnsi="Times New Roman"/>
          <w:sz w:val="24"/>
          <w:szCs w:val="24"/>
        </w:rPr>
        <w:instrText xml:space="preserve"> SEQ Tableau \* ARABIC </w:instrText>
      </w:r>
      <w:r w:rsidRPr="00E077DE">
        <w:rPr>
          <w:rFonts w:ascii="Times New Roman" w:hAnsi="Times New Roman"/>
          <w:sz w:val="24"/>
          <w:szCs w:val="24"/>
        </w:rPr>
        <w:fldChar w:fldCharType="separate"/>
      </w:r>
      <w:r w:rsidR="00C47BFF">
        <w:rPr>
          <w:rFonts w:ascii="Times New Roman" w:hAnsi="Times New Roman"/>
          <w:noProof/>
          <w:sz w:val="24"/>
          <w:szCs w:val="24"/>
        </w:rPr>
        <w:t>3</w:t>
      </w:r>
      <w:r w:rsidRPr="00E077DE">
        <w:rPr>
          <w:rFonts w:ascii="Times New Roman" w:hAnsi="Times New Roman"/>
          <w:sz w:val="24"/>
          <w:szCs w:val="24"/>
        </w:rPr>
        <w:fldChar w:fldCharType="end"/>
      </w:r>
      <w:r w:rsidRPr="00E077DE">
        <w:rPr>
          <w:rFonts w:ascii="Times New Roman" w:hAnsi="Times New Roman"/>
          <w:sz w:val="24"/>
          <w:szCs w:val="24"/>
        </w:rPr>
        <w:t>: Contenu des objectifs mondiaux et leur applicabilité au Togo</w:t>
      </w:r>
      <w:bookmarkEnd w:id="12"/>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7938"/>
      </w:tblGrid>
      <w:tr w:rsidR="003D4DBF" w:rsidRPr="007B1569" w14:paraId="67EA1789" w14:textId="77777777" w:rsidTr="00B0200A">
        <w:tc>
          <w:tcPr>
            <w:tcW w:w="1701" w:type="dxa"/>
            <w:shd w:val="clear" w:color="auto" w:fill="9BBB59"/>
          </w:tcPr>
          <w:p w14:paraId="477213CC" w14:textId="77777777" w:rsidR="003D4DBF" w:rsidRPr="007B1569" w:rsidRDefault="003D4DBF" w:rsidP="00B0200A">
            <w:pPr>
              <w:spacing w:after="0" w:line="240" w:lineRule="auto"/>
              <w:jc w:val="center"/>
              <w:rPr>
                <w:rFonts w:ascii="Times New Roman" w:hAnsi="Times New Roman" w:cs="Times New Roman"/>
                <w:b/>
                <w:sz w:val="24"/>
                <w:szCs w:val="24"/>
              </w:rPr>
            </w:pPr>
            <w:r w:rsidRPr="007B1569">
              <w:rPr>
                <w:rFonts w:ascii="Times New Roman" w:hAnsi="Times New Roman" w:cs="Times New Roman"/>
                <w:b/>
                <w:sz w:val="24"/>
                <w:szCs w:val="24"/>
              </w:rPr>
              <w:t>Objectif</w:t>
            </w:r>
          </w:p>
        </w:tc>
        <w:tc>
          <w:tcPr>
            <w:tcW w:w="7938" w:type="dxa"/>
            <w:shd w:val="clear" w:color="auto" w:fill="9BBB59"/>
          </w:tcPr>
          <w:p w14:paraId="7E6E48C1" w14:textId="77777777" w:rsidR="003D4DBF" w:rsidRPr="007B1569" w:rsidRDefault="003D4DBF" w:rsidP="00B0200A">
            <w:pPr>
              <w:spacing w:after="0" w:line="240" w:lineRule="auto"/>
              <w:jc w:val="center"/>
              <w:rPr>
                <w:rFonts w:ascii="Times New Roman" w:hAnsi="Times New Roman" w:cs="Times New Roman"/>
                <w:b/>
                <w:sz w:val="24"/>
                <w:szCs w:val="24"/>
              </w:rPr>
            </w:pPr>
            <w:r w:rsidRPr="007B1569">
              <w:rPr>
                <w:rFonts w:ascii="Times New Roman" w:hAnsi="Times New Roman" w:cs="Times New Roman"/>
                <w:b/>
                <w:sz w:val="24"/>
                <w:szCs w:val="24"/>
              </w:rPr>
              <w:t>Observations</w:t>
            </w:r>
          </w:p>
        </w:tc>
      </w:tr>
      <w:tr w:rsidR="003D4DBF" w:rsidRPr="007B1569" w14:paraId="00E6D684" w14:textId="77777777" w:rsidTr="00B0200A">
        <w:tc>
          <w:tcPr>
            <w:tcW w:w="9639" w:type="dxa"/>
            <w:gridSpan w:val="2"/>
            <w:shd w:val="clear" w:color="auto" w:fill="EAF1DD"/>
          </w:tcPr>
          <w:p w14:paraId="1A95D3B0" w14:textId="77777777" w:rsidR="003D4DBF" w:rsidRPr="007B1569" w:rsidRDefault="003D4DBF" w:rsidP="00B0200A">
            <w:pPr>
              <w:spacing w:after="0" w:line="240" w:lineRule="auto"/>
              <w:jc w:val="center"/>
              <w:rPr>
                <w:rFonts w:ascii="Times New Roman" w:hAnsi="Times New Roman" w:cs="Times New Roman"/>
                <w:b/>
                <w:sz w:val="24"/>
                <w:szCs w:val="24"/>
              </w:rPr>
            </w:pPr>
            <w:r w:rsidRPr="007B1569">
              <w:rPr>
                <w:rFonts w:ascii="Times New Roman" w:hAnsi="Times New Roman" w:cs="Times New Roman"/>
                <w:b/>
                <w:bCs/>
                <w:i/>
                <w:iCs/>
                <w:color w:val="00B050"/>
                <w:sz w:val="24"/>
                <w:szCs w:val="24"/>
              </w:rPr>
              <w:t xml:space="preserve">But stratégique A: </w:t>
            </w:r>
            <w:r w:rsidRPr="007B1569">
              <w:rPr>
                <w:rFonts w:ascii="Times New Roman" w:hAnsi="Times New Roman" w:cs="Times New Roman"/>
                <w:b/>
                <w:i/>
                <w:iCs/>
                <w:color w:val="00B050"/>
                <w:sz w:val="24"/>
                <w:szCs w:val="24"/>
              </w:rPr>
              <w:t>Gérer les causes sous-jacentes de l’appauvrissement de la diversité biologique en intégrant la diversité biologique dans l’ensemble du gouvernement et de la société</w:t>
            </w:r>
          </w:p>
        </w:tc>
      </w:tr>
      <w:tr w:rsidR="003D4DBF" w:rsidRPr="007B1569" w14:paraId="0E793736" w14:textId="77777777" w:rsidTr="00B0200A">
        <w:tc>
          <w:tcPr>
            <w:tcW w:w="1701" w:type="dxa"/>
            <w:shd w:val="clear" w:color="auto" w:fill="FFC000"/>
            <w:vAlign w:val="center"/>
          </w:tcPr>
          <w:p w14:paraId="32C035AF"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A 1</w:t>
            </w:r>
          </w:p>
        </w:tc>
        <w:tc>
          <w:tcPr>
            <w:tcW w:w="7938" w:type="dxa"/>
            <w:shd w:val="clear" w:color="auto" w:fill="F2F2F2"/>
            <w:vAlign w:val="center"/>
          </w:tcPr>
          <w:p w14:paraId="12D8491A"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des réunions d’information, de sensibilisation et de concertation sont déjà organisées à l’endroit des populations afin de favoriser une prise de conscience sur la valeur de la diversité biologique; La Stratégie d’IEC a proposé des mesures et leur mise en œuvre permettra de renforcer les actions de conscientisation, de sensibilisation et d’éducation des différentes couches de la population</w:t>
            </w:r>
          </w:p>
        </w:tc>
      </w:tr>
      <w:tr w:rsidR="003D4DBF" w:rsidRPr="007B1569" w14:paraId="108AEDAF" w14:textId="77777777" w:rsidTr="00B0200A">
        <w:tc>
          <w:tcPr>
            <w:tcW w:w="1701" w:type="dxa"/>
            <w:shd w:val="clear" w:color="auto" w:fill="FFC000"/>
            <w:vAlign w:val="center"/>
          </w:tcPr>
          <w:p w14:paraId="5B47DCC2"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A 2</w:t>
            </w:r>
          </w:p>
        </w:tc>
        <w:tc>
          <w:tcPr>
            <w:tcW w:w="7938" w:type="dxa"/>
            <w:shd w:val="clear" w:color="auto" w:fill="F2F2F2"/>
          </w:tcPr>
          <w:p w14:paraId="6EECE144"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les valeurs liées à la diversité biologique sont intégrées dans l’ensemble des documents de planification élaborés au Togo (SNDD, PNIERN, PAFN, etc) et dans la SCAPE</w:t>
            </w:r>
            <w:r>
              <w:rPr>
                <w:rFonts w:ascii="Times New Roman" w:hAnsi="Times New Roman" w:cs="Times New Roman"/>
                <w:sz w:val="24"/>
                <w:szCs w:val="24"/>
              </w:rPr>
              <w:t xml:space="preserve"> et le PND</w:t>
            </w:r>
          </w:p>
        </w:tc>
      </w:tr>
      <w:tr w:rsidR="003D4DBF" w:rsidRPr="007B1569" w14:paraId="1F143087" w14:textId="77777777" w:rsidTr="00B0200A">
        <w:tc>
          <w:tcPr>
            <w:tcW w:w="1701" w:type="dxa"/>
            <w:shd w:val="clear" w:color="auto" w:fill="FFC000"/>
            <w:vAlign w:val="center"/>
          </w:tcPr>
          <w:p w14:paraId="3CCD0F57"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A 3</w:t>
            </w:r>
          </w:p>
        </w:tc>
        <w:tc>
          <w:tcPr>
            <w:tcW w:w="7938" w:type="dxa"/>
            <w:shd w:val="clear" w:color="auto" w:fill="F2F2F2"/>
          </w:tcPr>
          <w:p w14:paraId="21D2625C" w14:textId="77777777" w:rsidR="003D4DBF" w:rsidRPr="007B1569" w:rsidRDefault="003D4DBF" w:rsidP="00B0200A">
            <w:pPr>
              <w:spacing w:after="0" w:line="240" w:lineRule="auto"/>
              <w:jc w:val="both"/>
              <w:rPr>
                <w:rFonts w:ascii="Times New Roman" w:hAnsi="Times New Roman" w:cs="Times New Roman"/>
                <w:color w:val="FF0000"/>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le processus de ratification du protocole de Nagoya est en cours au Togo à travers la mise en œuvre du mécanisme d’Accès aux ressources génétiques et partage des avantages issus de leur utilisation (APA). En plus, </w:t>
            </w:r>
            <w:r w:rsidRPr="007B1569">
              <w:rPr>
                <w:rFonts w:ascii="Times New Roman" w:hAnsi="Times New Roman" w:cs="Times New Roman"/>
                <w:iCs/>
                <w:sz w:val="24"/>
                <w:szCs w:val="24"/>
              </w:rPr>
              <w:t xml:space="preserve">le Togo </w:t>
            </w:r>
            <w:r w:rsidRPr="007B1569">
              <w:rPr>
                <w:rFonts w:ascii="Times New Roman" w:hAnsi="Times New Roman" w:cs="Times New Roman"/>
                <w:sz w:val="24"/>
                <w:szCs w:val="24"/>
              </w:rPr>
              <w:t xml:space="preserve">a intégré la REDD+ dans son plan national de développement. Le pays a élaboré une proposition de mesures pour l’état de préparation au REDD+ à travers la R-PP qui </w:t>
            </w:r>
            <w:r>
              <w:rPr>
                <w:rFonts w:ascii="Times New Roman" w:hAnsi="Times New Roman" w:cs="Times New Roman"/>
                <w:sz w:val="24"/>
                <w:szCs w:val="24"/>
              </w:rPr>
              <w:t>a été</w:t>
            </w:r>
            <w:r w:rsidRPr="007B1569">
              <w:rPr>
                <w:rFonts w:ascii="Times New Roman" w:hAnsi="Times New Roman" w:cs="Times New Roman"/>
                <w:sz w:val="24"/>
                <w:szCs w:val="24"/>
              </w:rPr>
              <w:t xml:space="preserve"> soumise au Fonds de partenariat pour le carbone forestier (FCPF) du Programme de coopération des Nations Unies pour la réduction des émissions dues au déboisement et à la dégradation des forêts dans les pays en développement (</w:t>
            </w:r>
            <w:r w:rsidRPr="007B1569">
              <w:rPr>
                <w:rFonts w:ascii="Times New Roman" w:hAnsi="Times New Roman" w:cs="Times New Roman"/>
                <w:bCs/>
                <w:sz w:val="24"/>
                <w:szCs w:val="24"/>
              </w:rPr>
              <w:t>ONU-REDD+</w:t>
            </w:r>
            <w:r w:rsidRPr="007B1569">
              <w:rPr>
                <w:rFonts w:ascii="Times New Roman" w:hAnsi="Times New Roman" w:cs="Times New Roman"/>
                <w:sz w:val="24"/>
                <w:szCs w:val="24"/>
              </w:rPr>
              <w:t xml:space="preserve">). La R-PP du Togo comporte six composantes et la mise en œuvre des principales actions proposées permettra de </w:t>
            </w:r>
            <w:r w:rsidRPr="007B1569">
              <w:rPr>
                <w:rFonts w:ascii="Times New Roman" w:hAnsi="Times New Roman" w:cs="Times New Roman"/>
                <w:color w:val="000000"/>
                <w:sz w:val="24"/>
                <w:szCs w:val="24"/>
              </w:rPr>
              <w:t>lutter efficacement contre les différentes formes de pression sur les ressources forestières et de réduire au minimum ou d’éviter les impacts défavorables, et des incitations positives en faveur de la conservation et de l’utilisation durable de la diversité biologique</w:t>
            </w:r>
          </w:p>
        </w:tc>
      </w:tr>
      <w:tr w:rsidR="003D4DBF" w:rsidRPr="007B1569" w14:paraId="32FA8371" w14:textId="77777777" w:rsidTr="00B0200A">
        <w:tc>
          <w:tcPr>
            <w:tcW w:w="1701" w:type="dxa"/>
            <w:shd w:val="clear" w:color="auto" w:fill="FFC000"/>
            <w:vAlign w:val="center"/>
          </w:tcPr>
          <w:p w14:paraId="64965AFF"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A 4</w:t>
            </w:r>
          </w:p>
        </w:tc>
        <w:tc>
          <w:tcPr>
            <w:tcW w:w="7938" w:type="dxa"/>
            <w:shd w:val="clear" w:color="auto" w:fill="F2F2F2"/>
          </w:tcPr>
          <w:p w14:paraId="772DCC10" w14:textId="2AAC739B" w:rsidR="003D4DBF" w:rsidRPr="007B1569" w:rsidRDefault="003D4DBF" w:rsidP="00B0200A">
            <w:pPr>
              <w:spacing w:after="0" w:line="240" w:lineRule="auto"/>
              <w:jc w:val="both"/>
              <w:rPr>
                <w:rFonts w:ascii="Times New Roman" w:hAnsi="Times New Roman" w:cs="Times New Roman"/>
                <w:color w:val="FF0000"/>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loi sur la décentralisation et réalisation (Loi N° 2007-011 du 13 mars 2007 portant Décentralisation et Liberté locale) et les objectifs visés dans le PNADE notamment les aspects liés à la gestion de l’environnement au niveau décentralisé. Des dispositions juridiques et réglementaires sont prises à travers des décrets et arrêtés pour </w:t>
            </w:r>
            <w:r w:rsidRPr="007B1569">
              <w:rPr>
                <w:rFonts w:ascii="Times New Roman" w:hAnsi="Times New Roman" w:cs="Times New Roman"/>
                <w:color w:val="000000"/>
                <w:sz w:val="24"/>
                <w:szCs w:val="24"/>
              </w:rPr>
              <w:t>assurer une production et une consommation durables</w:t>
            </w:r>
            <w:r w:rsidRPr="007B1569">
              <w:rPr>
                <w:rFonts w:ascii="Times New Roman" w:hAnsi="Times New Roman" w:cs="Times New Roman"/>
                <w:sz w:val="24"/>
                <w:szCs w:val="24"/>
              </w:rPr>
              <w:t xml:space="preserve"> des ressources naturelles (décret n° 84-86 du 17 Avril 1984 relatif à la réglementation de l’exploitation forestière établit la liste des produits forestiers (art 2) et celle des activités concernées par l’exploitation forestière (art 3 et 4) ainsi que les modes qui régissent l’exploitation des forêts et boisements naturels et artificiels au Togo; la décision n° 233/AE du 18 Avril 1947 de</w:t>
            </w:r>
            <w:r w:rsidR="000B16F2">
              <w:rPr>
                <w:rFonts w:ascii="Times New Roman" w:hAnsi="Times New Roman" w:cs="Times New Roman"/>
                <w:sz w:val="24"/>
                <w:szCs w:val="24"/>
              </w:rPr>
              <w:t xml:space="preserve"> </w:t>
            </w:r>
            <w:r w:rsidRPr="007B1569">
              <w:rPr>
                <w:rFonts w:ascii="Times New Roman" w:hAnsi="Times New Roman" w:cs="Times New Roman"/>
                <w:sz w:val="24"/>
                <w:szCs w:val="24"/>
              </w:rPr>
              <w:t>la liste des essences dont l’abattage, l’arrachage et la mutilation sont interdits dans certains cercles et sur l’ensemble du territoire togolais; l’arrêté n° 01/MAR du 3 janvier 1983, interdit le scia</w:t>
            </w:r>
            <w:r>
              <w:rPr>
                <w:rFonts w:ascii="Times New Roman" w:hAnsi="Times New Roman" w:cs="Times New Roman"/>
                <w:sz w:val="24"/>
                <w:szCs w:val="24"/>
              </w:rPr>
              <w:t>ge des bois à la tronçonneuse; l</w:t>
            </w:r>
            <w:r w:rsidRPr="007B1569">
              <w:rPr>
                <w:rFonts w:ascii="Times New Roman" w:hAnsi="Times New Roman" w:cs="Times New Roman"/>
                <w:sz w:val="24"/>
                <w:szCs w:val="24"/>
              </w:rPr>
              <w:t>’arrêté n° 23/MAR-FCE du 29 juillet 1983 fixe des taxes d’abattage d’arbres et des redevances forestières des bois d’œuvres et des produits secondaires commercialisables de la forêt; etc)</w:t>
            </w:r>
          </w:p>
        </w:tc>
      </w:tr>
      <w:tr w:rsidR="003D4DBF" w:rsidRPr="007B1569" w14:paraId="12BD31AE" w14:textId="77777777" w:rsidTr="00B0200A">
        <w:tc>
          <w:tcPr>
            <w:tcW w:w="9639" w:type="dxa"/>
            <w:gridSpan w:val="2"/>
            <w:shd w:val="clear" w:color="auto" w:fill="EAF1DD"/>
          </w:tcPr>
          <w:p w14:paraId="4F9142D1"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i/>
                <w:iCs/>
                <w:color w:val="00B050"/>
                <w:sz w:val="24"/>
                <w:szCs w:val="24"/>
              </w:rPr>
              <w:t xml:space="preserve">But stratégique B: </w:t>
            </w:r>
            <w:r w:rsidRPr="007B1569">
              <w:rPr>
                <w:rFonts w:ascii="Times New Roman" w:hAnsi="Times New Roman" w:cs="Times New Roman"/>
                <w:b/>
                <w:i/>
                <w:iCs/>
                <w:color w:val="00B050"/>
                <w:sz w:val="24"/>
                <w:szCs w:val="24"/>
              </w:rPr>
              <w:t>Réduire les pressions directes exercées sur la diversité biologique et encourager l’utilisation durable</w:t>
            </w:r>
          </w:p>
        </w:tc>
      </w:tr>
      <w:tr w:rsidR="003D4DBF" w:rsidRPr="007B1569" w14:paraId="5651E8AB" w14:textId="77777777" w:rsidTr="00B0200A">
        <w:tc>
          <w:tcPr>
            <w:tcW w:w="1701" w:type="dxa"/>
            <w:shd w:val="clear" w:color="auto" w:fill="FFC000"/>
            <w:vAlign w:val="center"/>
          </w:tcPr>
          <w:p w14:paraId="7F27AD4F" w14:textId="77777777" w:rsidR="003D4DBF" w:rsidRPr="007B1569" w:rsidRDefault="003D4DBF" w:rsidP="00B0200A">
            <w:pPr>
              <w:autoSpaceDE w:val="0"/>
              <w:autoSpaceDN w:val="0"/>
              <w:adjustRightInd w:val="0"/>
              <w:spacing w:after="0" w:line="240" w:lineRule="auto"/>
              <w:jc w:val="center"/>
              <w:rPr>
                <w:rFonts w:ascii="Times New Roman" w:hAnsi="Times New Roman" w:cs="Times New Roman"/>
                <w:sz w:val="24"/>
                <w:szCs w:val="24"/>
              </w:rPr>
            </w:pPr>
            <w:r w:rsidRPr="007B1569">
              <w:rPr>
                <w:rFonts w:ascii="Times New Roman" w:hAnsi="Times New Roman" w:cs="Times New Roman"/>
                <w:b/>
                <w:bCs/>
                <w:sz w:val="24"/>
                <w:szCs w:val="24"/>
              </w:rPr>
              <w:t>Objectif B 5</w:t>
            </w:r>
          </w:p>
        </w:tc>
        <w:tc>
          <w:tcPr>
            <w:tcW w:w="7938" w:type="dxa"/>
            <w:shd w:val="clear" w:color="auto" w:fill="F2F2F2"/>
          </w:tcPr>
          <w:p w14:paraId="3030AC62" w14:textId="77777777" w:rsidR="003D4DBF" w:rsidRPr="007B1569" w:rsidRDefault="003D4DBF" w:rsidP="00B0200A">
            <w:pPr>
              <w:spacing w:after="0" w:line="240" w:lineRule="auto"/>
              <w:jc w:val="both"/>
              <w:rPr>
                <w:rFonts w:ascii="Times New Roman" w:hAnsi="Times New Roman" w:cs="Times New Roman"/>
                <w:color w:val="FF0000"/>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plusieurs programmes sont élaborés et traitent des questions relatives à la réduction du rythme d’appauvrissement des habitats naturels (</w:t>
            </w:r>
            <w:r>
              <w:rPr>
                <w:rFonts w:ascii="Times New Roman" w:hAnsi="Times New Roman" w:cs="Times New Roman"/>
                <w:sz w:val="24"/>
                <w:szCs w:val="24"/>
              </w:rPr>
              <w:t xml:space="preserve">DSRP, </w:t>
            </w:r>
            <w:r w:rsidRPr="007B1569">
              <w:rPr>
                <w:rFonts w:ascii="Times New Roman" w:hAnsi="Times New Roman" w:cs="Times New Roman"/>
                <w:sz w:val="24"/>
                <w:szCs w:val="24"/>
              </w:rPr>
              <w:t xml:space="preserve">SCAPE, PAFN, PNIERN, PNADE, PRCGE, RCC, PNR, </w:t>
            </w:r>
            <w:r>
              <w:rPr>
                <w:rFonts w:ascii="Times New Roman" w:hAnsi="Times New Roman" w:cs="Times New Roman"/>
                <w:sz w:val="24"/>
                <w:szCs w:val="24"/>
              </w:rPr>
              <w:t xml:space="preserve">PND, </w:t>
            </w:r>
            <w:r w:rsidRPr="007B1569">
              <w:rPr>
                <w:rFonts w:ascii="Times New Roman" w:hAnsi="Times New Roman" w:cs="Times New Roman"/>
                <w:sz w:val="24"/>
                <w:szCs w:val="24"/>
              </w:rPr>
              <w:t xml:space="preserve">etc). Des actions sont mises en œuvre à travers l’exécution de plusieurs projets notamment le projet «Renforcement du rôle de conservation du système national d’aires protégées du Togo (PRAPT) », le Projet d’Appui au Parc de l'Entente (PAPE) qui est une extension dans le temps et dans l’espace du programme ECOPAS/W. Il concerne les parcs nationaux du W, d’Arly et de la Pendjari (complexe WAP), ainsi que les aires protégées adjacentes et leurs zones périphériques contiguës au Bénin, au Burkina Faso et au Niger. Le Togo </w:t>
            </w:r>
            <w:r>
              <w:rPr>
                <w:rFonts w:ascii="Times New Roman" w:hAnsi="Times New Roman" w:cs="Times New Roman"/>
                <w:sz w:val="24"/>
                <w:szCs w:val="24"/>
              </w:rPr>
              <w:t>a été</w:t>
            </w:r>
            <w:r w:rsidRPr="007B1569">
              <w:rPr>
                <w:rFonts w:ascii="Times New Roman" w:hAnsi="Times New Roman" w:cs="Times New Roman"/>
                <w:sz w:val="24"/>
                <w:szCs w:val="24"/>
              </w:rPr>
              <w:t xml:space="preserve"> intégré ultérieurement à ce projet pour former le complexe WAPO</w:t>
            </w:r>
          </w:p>
        </w:tc>
      </w:tr>
      <w:tr w:rsidR="003D4DBF" w:rsidRPr="007B1569" w14:paraId="6FB250F1" w14:textId="77777777" w:rsidTr="00B0200A">
        <w:tc>
          <w:tcPr>
            <w:tcW w:w="1701" w:type="dxa"/>
            <w:shd w:val="clear" w:color="auto" w:fill="FFC000"/>
            <w:vAlign w:val="center"/>
          </w:tcPr>
          <w:p w14:paraId="1F57C363"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B 6</w:t>
            </w:r>
          </w:p>
        </w:tc>
        <w:tc>
          <w:tcPr>
            <w:tcW w:w="7938" w:type="dxa"/>
            <w:shd w:val="clear" w:color="auto" w:fill="F2F2F2"/>
          </w:tcPr>
          <w:p w14:paraId="04EF6996" w14:textId="77777777" w:rsidR="003D4DBF" w:rsidRPr="007B1569" w:rsidRDefault="003D4DBF" w:rsidP="00B0200A">
            <w:pPr>
              <w:spacing w:after="0" w:line="240" w:lineRule="auto"/>
              <w:jc w:val="both"/>
              <w:rPr>
                <w:rFonts w:ascii="Times New Roman" w:hAnsi="Times New Roman" w:cs="Times New Roman"/>
                <w:color w:val="FF0000"/>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des programmes (PNIASA, PADAT, PNIERN, SPANB, etc) ont </w:t>
            </w:r>
            <w:r>
              <w:rPr>
                <w:rFonts w:ascii="Times New Roman" w:hAnsi="Times New Roman" w:cs="Times New Roman"/>
                <w:sz w:val="24"/>
                <w:szCs w:val="24"/>
              </w:rPr>
              <w:t xml:space="preserve">été </w:t>
            </w:r>
            <w:r w:rsidRPr="007B1569">
              <w:rPr>
                <w:rFonts w:ascii="Times New Roman" w:hAnsi="Times New Roman" w:cs="Times New Roman"/>
                <w:sz w:val="24"/>
                <w:szCs w:val="24"/>
              </w:rPr>
              <w:t>élaborés et traitent des questions relatives à la gestion des ressources aquatiques (halieutiques et plantes). Des actions sont également proposées dans le PNIASA pour la lutte efficace contre la surpêche et la gestion durable des ressources halieutiques</w:t>
            </w:r>
          </w:p>
        </w:tc>
      </w:tr>
      <w:tr w:rsidR="003D4DBF" w:rsidRPr="007B1569" w14:paraId="7ED904D6" w14:textId="77777777" w:rsidTr="00B0200A">
        <w:tc>
          <w:tcPr>
            <w:tcW w:w="1701" w:type="dxa"/>
            <w:shd w:val="clear" w:color="auto" w:fill="FFC000"/>
            <w:vAlign w:val="center"/>
          </w:tcPr>
          <w:p w14:paraId="26D82942"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B 7</w:t>
            </w:r>
          </w:p>
        </w:tc>
        <w:tc>
          <w:tcPr>
            <w:tcW w:w="7938" w:type="dxa"/>
            <w:shd w:val="clear" w:color="auto" w:fill="F2F2F2"/>
            <w:vAlign w:val="center"/>
          </w:tcPr>
          <w:p w14:paraId="4DB39E9E"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des stratégies et programmes (SCAPE, PAFN, PNIASA, PNIERN, PNR, etc) prennent en compte les questions relatives à la gestion durable des zones d’agriculture, d’aquaculture et de sylviculture.</w:t>
            </w:r>
          </w:p>
        </w:tc>
      </w:tr>
      <w:tr w:rsidR="003D4DBF" w:rsidRPr="007B1569" w14:paraId="3DF21589" w14:textId="77777777" w:rsidTr="00B0200A">
        <w:tc>
          <w:tcPr>
            <w:tcW w:w="1701" w:type="dxa"/>
            <w:shd w:val="clear" w:color="auto" w:fill="FFC000"/>
            <w:vAlign w:val="center"/>
          </w:tcPr>
          <w:p w14:paraId="669B8618"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B 8</w:t>
            </w:r>
          </w:p>
        </w:tc>
        <w:tc>
          <w:tcPr>
            <w:tcW w:w="7938" w:type="dxa"/>
            <w:shd w:val="clear" w:color="auto" w:fill="F2F2F2"/>
          </w:tcPr>
          <w:p w14:paraId="77742666" w14:textId="77777777" w:rsidR="003D4DBF" w:rsidRPr="007B1569" w:rsidRDefault="003D4DBF" w:rsidP="00B0200A">
            <w:pPr>
              <w:spacing w:after="0" w:line="240" w:lineRule="auto"/>
              <w:jc w:val="both"/>
              <w:rPr>
                <w:rFonts w:ascii="Times New Roman" w:hAnsi="Times New Roman" w:cs="Times New Roman"/>
                <w:sz w:val="24"/>
                <w:szCs w:val="24"/>
                <w:highlight w:val="yellow"/>
              </w:rPr>
            </w:pPr>
            <w:r w:rsidRPr="007B1569">
              <w:rPr>
                <w:rFonts w:ascii="Times New Roman" w:hAnsi="Times New Roman" w:cs="Times New Roman"/>
                <w:b/>
                <w:sz w:val="24"/>
                <w:szCs w:val="24"/>
                <w:u w:val="single"/>
              </w:rPr>
              <w:t>Non encore appliqué:</w:t>
            </w:r>
            <w:r w:rsidRPr="007B1569">
              <w:rPr>
                <w:rFonts w:ascii="Times New Roman" w:hAnsi="Times New Roman" w:cs="Times New Roman"/>
                <w:sz w:val="24"/>
                <w:szCs w:val="24"/>
              </w:rPr>
              <w:t xml:space="preserve"> les questions liées à </w:t>
            </w:r>
            <w:r w:rsidRPr="007B1569">
              <w:rPr>
                <w:rFonts w:ascii="Times New Roman" w:hAnsi="Times New Roman" w:cs="Times New Roman"/>
                <w:color w:val="000000"/>
                <w:sz w:val="24"/>
                <w:szCs w:val="24"/>
              </w:rPr>
              <w:t>l’excès d’éléments nutritifs</w:t>
            </w:r>
            <w:r w:rsidRPr="007B1569">
              <w:rPr>
                <w:rFonts w:ascii="Times New Roman" w:hAnsi="Times New Roman" w:cs="Times New Roman"/>
                <w:sz w:val="24"/>
                <w:szCs w:val="24"/>
              </w:rPr>
              <w:t xml:space="preserve"> ne semblent pas  évoqués dans les documents stratégiques, de planification et programmatiques. Ceci pourrait s’expliquer par le fait que l’utilisation des éléments nutritifs dans l’agriculture togolaise n’est pas encore à un niveau excessif</w:t>
            </w:r>
          </w:p>
        </w:tc>
      </w:tr>
      <w:tr w:rsidR="003D4DBF" w:rsidRPr="007B1569" w14:paraId="259E0B3A" w14:textId="77777777" w:rsidTr="00B0200A">
        <w:tc>
          <w:tcPr>
            <w:tcW w:w="1701" w:type="dxa"/>
            <w:shd w:val="clear" w:color="auto" w:fill="FFC000"/>
            <w:vAlign w:val="center"/>
          </w:tcPr>
          <w:p w14:paraId="0B30F3A0"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sz w:val="24"/>
                <w:szCs w:val="24"/>
              </w:rPr>
              <w:t>Objectif B 9</w:t>
            </w:r>
          </w:p>
        </w:tc>
        <w:tc>
          <w:tcPr>
            <w:tcW w:w="7938" w:type="dxa"/>
            <w:shd w:val="clear" w:color="auto" w:fill="F2F2F2"/>
          </w:tcPr>
          <w:p w14:paraId="6FFF0635"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 </w:t>
            </w:r>
            <w:r w:rsidRPr="007B1569">
              <w:rPr>
                <w:rFonts w:ascii="Times New Roman" w:hAnsi="Times New Roman" w:cs="Times New Roman"/>
                <w:sz w:val="24"/>
                <w:szCs w:val="24"/>
              </w:rPr>
              <w:t>: la Monographie nationale du Togo sur la diversité biologique a établi la situation des espèces envahissantes. Cependant, il est nécessaire d’approfondir les recherches pour compléter la liste, classer les espèces par ordre de priorité et établir un plan d’action pour leur contrôle et leur éradication</w:t>
            </w:r>
          </w:p>
        </w:tc>
      </w:tr>
      <w:tr w:rsidR="003D4DBF" w:rsidRPr="007B1569" w14:paraId="78101407" w14:textId="77777777" w:rsidTr="00B0200A">
        <w:tc>
          <w:tcPr>
            <w:tcW w:w="1701" w:type="dxa"/>
            <w:shd w:val="clear" w:color="auto" w:fill="FFC000"/>
            <w:vAlign w:val="center"/>
          </w:tcPr>
          <w:p w14:paraId="3B21802B"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sz w:val="24"/>
                <w:szCs w:val="24"/>
              </w:rPr>
              <w:t>Objectif B 10</w:t>
            </w:r>
          </w:p>
        </w:tc>
        <w:tc>
          <w:tcPr>
            <w:tcW w:w="7938" w:type="dxa"/>
            <w:shd w:val="clear" w:color="auto" w:fill="F2F2F2"/>
          </w:tcPr>
          <w:p w14:paraId="0F3ED222"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plusieurs documents de politique et stratégie élaborés au Togo (SPANB 2003, stratégie nationale pour la conservation, la restauration et la gestion durable des mangroves, DCN, RCC, PAFN, PNIERN, etc) abordent les questions relatives à la réduction des pressions sur les écosystèmes marins et côtiers et des mesures sont proposées pour leur protection. La mise en œuvre du projet «Elaboration d’un plan d’aménagement participatif, promotion du ca</w:t>
            </w:r>
            <w:r>
              <w:rPr>
                <w:rFonts w:ascii="Times New Roman" w:hAnsi="Times New Roman" w:cs="Times New Roman"/>
                <w:sz w:val="24"/>
                <w:szCs w:val="24"/>
              </w:rPr>
              <w:t>dre législatif et réglementaire</w:t>
            </w:r>
            <w:r w:rsidRPr="007B1569">
              <w:rPr>
                <w:rFonts w:ascii="Times New Roman" w:hAnsi="Times New Roman" w:cs="Times New Roman"/>
                <w:sz w:val="24"/>
                <w:szCs w:val="24"/>
              </w:rPr>
              <w:t xml:space="preserve"> pour une gestion durable des écosystèmes de la mangrove du chenal Gbaga (Site Ramsar) et promotion de la régénération naturelle et artificielle des forêts de mangrove» (ANCE-Togo et EGP, 2011) a permis de mettre en œuvre des actions visant à la réduction des actions visant la réduction des différentes formes de pressions anthropiques sur ces types d’écosystèmes. Des réflexions sont menées par les responsables de différents départements techniques pour la création d’une aire marine protégée au Togo</w:t>
            </w:r>
          </w:p>
        </w:tc>
      </w:tr>
      <w:tr w:rsidR="003D4DBF" w:rsidRPr="007B1569" w14:paraId="1125471B" w14:textId="77777777" w:rsidTr="00B0200A">
        <w:tc>
          <w:tcPr>
            <w:tcW w:w="9639" w:type="dxa"/>
            <w:gridSpan w:val="2"/>
            <w:shd w:val="clear" w:color="auto" w:fill="EAF1DD"/>
            <w:vAlign w:val="center"/>
          </w:tcPr>
          <w:p w14:paraId="1BDD3ACB"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i/>
                <w:iCs/>
                <w:color w:val="00B050"/>
                <w:sz w:val="24"/>
                <w:szCs w:val="24"/>
              </w:rPr>
              <w:t xml:space="preserve">But stratégique C: </w:t>
            </w:r>
            <w:r w:rsidRPr="007B1569">
              <w:rPr>
                <w:rFonts w:ascii="Times New Roman" w:hAnsi="Times New Roman" w:cs="Times New Roman"/>
                <w:b/>
                <w:i/>
                <w:iCs/>
                <w:color w:val="00B050"/>
                <w:sz w:val="24"/>
                <w:szCs w:val="24"/>
              </w:rPr>
              <w:t>Améliorer l’état de la diversité biologique en sauvegardant les écosystèmes, les espèces et la diversité génétique</w:t>
            </w:r>
          </w:p>
        </w:tc>
      </w:tr>
      <w:tr w:rsidR="003D4DBF" w:rsidRPr="007B1569" w14:paraId="3B6234EC" w14:textId="77777777" w:rsidTr="00B0200A">
        <w:tc>
          <w:tcPr>
            <w:tcW w:w="1701" w:type="dxa"/>
            <w:shd w:val="clear" w:color="auto" w:fill="FFC000"/>
            <w:vAlign w:val="center"/>
          </w:tcPr>
          <w:p w14:paraId="5E25839D" w14:textId="77777777" w:rsidR="003D4DBF" w:rsidRPr="007B1569" w:rsidRDefault="003D4DBF" w:rsidP="00B0200A">
            <w:pPr>
              <w:autoSpaceDE w:val="0"/>
              <w:autoSpaceDN w:val="0"/>
              <w:adjustRightInd w:val="0"/>
              <w:spacing w:after="0" w:line="240" w:lineRule="auto"/>
              <w:jc w:val="center"/>
              <w:rPr>
                <w:rFonts w:ascii="Times New Roman" w:hAnsi="Times New Roman" w:cs="Times New Roman"/>
                <w:sz w:val="24"/>
                <w:szCs w:val="24"/>
              </w:rPr>
            </w:pPr>
            <w:r w:rsidRPr="007B1569">
              <w:rPr>
                <w:rFonts w:ascii="Times New Roman" w:hAnsi="Times New Roman" w:cs="Times New Roman"/>
                <w:b/>
                <w:bCs/>
                <w:sz w:val="24"/>
                <w:szCs w:val="24"/>
              </w:rPr>
              <w:t>Objectif C 11</w:t>
            </w:r>
          </w:p>
        </w:tc>
        <w:tc>
          <w:tcPr>
            <w:tcW w:w="7938" w:type="dxa"/>
            <w:shd w:val="clear" w:color="auto" w:fill="F2F2F2"/>
          </w:tcPr>
          <w:p w14:paraId="60370FB3"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b/>
                <w:sz w:val="24"/>
                <w:szCs w:val="24"/>
              </w:rPr>
              <w:t>:</w:t>
            </w:r>
            <w:r w:rsidRPr="007B1569">
              <w:rPr>
                <w:rFonts w:ascii="Times New Roman" w:hAnsi="Times New Roman" w:cs="Times New Roman"/>
                <w:sz w:val="24"/>
                <w:szCs w:val="24"/>
              </w:rPr>
              <w:t xml:space="preserve"> Le projet de renforcement du rôle de conservation des aires protégées du Togo (PRAPT) prend en compte les questions de mise en place de réseau d’aires protégées terrestres. Il est nécessaire d’engager des actions pour la création des aires marines protégées</w:t>
            </w:r>
          </w:p>
        </w:tc>
      </w:tr>
      <w:tr w:rsidR="003D4DBF" w:rsidRPr="007B1569" w14:paraId="72BB53E9" w14:textId="77777777" w:rsidTr="00B0200A">
        <w:tc>
          <w:tcPr>
            <w:tcW w:w="1701" w:type="dxa"/>
            <w:shd w:val="clear" w:color="auto" w:fill="FFC000"/>
            <w:vAlign w:val="center"/>
          </w:tcPr>
          <w:p w14:paraId="419514FB"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C 12</w:t>
            </w:r>
          </w:p>
        </w:tc>
        <w:tc>
          <w:tcPr>
            <w:tcW w:w="7938" w:type="dxa"/>
            <w:shd w:val="clear" w:color="auto" w:fill="F2F2F2"/>
          </w:tcPr>
          <w:p w14:paraId="0F52B375"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b/>
                <w:sz w:val="24"/>
                <w:szCs w:val="24"/>
              </w:rPr>
              <w:t>:</w:t>
            </w:r>
            <w:r w:rsidRPr="007B1569">
              <w:rPr>
                <w:rFonts w:ascii="Times New Roman" w:hAnsi="Times New Roman" w:cs="Times New Roman"/>
                <w:sz w:val="24"/>
                <w:szCs w:val="24"/>
              </w:rPr>
              <w:t xml:space="preserve"> la monographie a établi une liste d’espèces menacées ; cependant, il est nécessaire d’approfondir les travaux pour compléter la liste et établir leur statut de conservation</w:t>
            </w:r>
          </w:p>
        </w:tc>
      </w:tr>
      <w:tr w:rsidR="003D4DBF" w:rsidRPr="007B1569" w14:paraId="42697054" w14:textId="77777777" w:rsidTr="00B0200A">
        <w:tc>
          <w:tcPr>
            <w:tcW w:w="1701" w:type="dxa"/>
            <w:shd w:val="clear" w:color="auto" w:fill="FFC000"/>
            <w:vAlign w:val="center"/>
          </w:tcPr>
          <w:p w14:paraId="178F0BA1"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C 13</w:t>
            </w:r>
          </w:p>
        </w:tc>
        <w:tc>
          <w:tcPr>
            <w:tcW w:w="7938" w:type="dxa"/>
            <w:shd w:val="clear" w:color="auto" w:fill="F2F2F2"/>
          </w:tcPr>
          <w:p w14:paraId="65BDEE3C"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les objectifs fixés dans les programmes (PNIASA et SCAPE) prennent en compte les questions relatives à l’agrobiodiversité</w:t>
            </w:r>
          </w:p>
        </w:tc>
      </w:tr>
      <w:tr w:rsidR="003D4DBF" w:rsidRPr="007B1569" w14:paraId="45CA5C3B" w14:textId="77777777" w:rsidTr="00B0200A">
        <w:tc>
          <w:tcPr>
            <w:tcW w:w="9639" w:type="dxa"/>
            <w:gridSpan w:val="2"/>
            <w:shd w:val="clear" w:color="auto" w:fill="EAF1DD"/>
            <w:vAlign w:val="center"/>
          </w:tcPr>
          <w:p w14:paraId="62071C02"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i/>
                <w:iCs/>
                <w:color w:val="00B050"/>
                <w:sz w:val="24"/>
                <w:szCs w:val="24"/>
              </w:rPr>
              <w:t xml:space="preserve">But stratégique D : </w:t>
            </w:r>
            <w:r w:rsidRPr="007B1569">
              <w:rPr>
                <w:rFonts w:ascii="Times New Roman" w:hAnsi="Times New Roman" w:cs="Times New Roman"/>
                <w:b/>
                <w:i/>
                <w:iCs/>
                <w:color w:val="00B050"/>
                <w:sz w:val="24"/>
                <w:szCs w:val="24"/>
              </w:rPr>
              <w:t>Renforcer les avantages retirés pour tous de la diversité biologique et des services fournis par les écosystèmes</w:t>
            </w:r>
          </w:p>
        </w:tc>
      </w:tr>
      <w:tr w:rsidR="003D4DBF" w:rsidRPr="007B1569" w14:paraId="46998ABD" w14:textId="77777777" w:rsidTr="00B0200A">
        <w:tc>
          <w:tcPr>
            <w:tcW w:w="1701" w:type="dxa"/>
            <w:shd w:val="clear" w:color="auto" w:fill="FFC000"/>
            <w:vAlign w:val="center"/>
          </w:tcPr>
          <w:p w14:paraId="7F4125A9" w14:textId="77777777" w:rsidR="003D4DBF" w:rsidRPr="007B1569" w:rsidRDefault="003D4DBF" w:rsidP="00B0200A">
            <w:pPr>
              <w:autoSpaceDE w:val="0"/>
              <w:autoSpaceDN w:val="0"/>
              <w:adjustRightInd w:val="0"/>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D 14</w:t>
            </w:r>
          </w:p>
        </w:tc>
        <w:tc>
          <w:tcPr>
            <w:tcW w:w="7938" w:type="dxa"/>
            <w:shd w:val="clear" w:color="auto" w:fill="F2F2F2"/>
          </w:tcPr>
          <w:p w14:paraId="014EC99F" w14:textId="77777777" w:rsidR="003D4DBF" w:rsidRPr="007B1569" w:rsidRDefault="003D4DBF" w:rsidP="00B0200A">
            <w:pPr>
              <w:tabs>
                <w:tab w:val="left" w:pos="1845"/>
              </w:tabs>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les objectifs fixés dans les programmes tels que PAFN, PNIERN, PNIASA, PANSEA, etc. visent à la restauration et à la sauvegarde des services des écosystèmes</w:t>
            </w:r>
          </w:p>
        </w:tc>
      </w:tr>
      <w:tr w:rsidR="003D4DBF" w:rsidRPr="007B1569" w14:paraId="5EC528F3" w14:textId="77777777" w:rsidTr="00B0200A">
        <w:tc>
          <w:tcPr>
            <w:tcW w:w="1701" w:type="dxa"/>
            <w:shd w:val="clear" w:color="auto" w:fill="FFC000"/>
            <w:vAlign w:val="center"/>
          </w:tcPr>
          <w:p w14:paraId="0B6C546C"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D 15</w:t>
            </w:r>
          </w:p>
        </w:tc>
        <w:tc>
          <w:tcPr>
            <w:tcW w:w="7938" w:type="dxa"/>
            <w:shd w:val="clear" w:color="auto" w:fill="F2F2F2"/>
          </w:tcPr>
          <w:p w14:paraId="55EF776B" w14:textId="77777777" w:rsidR="003D4DBF" w:rsidRPr="007B1569" w:rsidRDefault="003D4DBF" w:rsidP="00B0200A">
            <w:pPr>
              <w:tabs>
                <w:tab w:val="left" w:pos="1845"/>
              </w:tabs>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les objectifs fixés dans les programmes tels que la REDD+, PNIERN, PAFN, PRN, etc. traitent des questions relatives à la résilience des écosystèmes</w:t>
            </w:r>
          </w:p>
        </w:tc>
      </w:tr>
      <w:tr w:rsidR="003D4DBF" w:rsidRPr="007B1569" w14:paraId="22F5FE92" w14:textId="77777777" w:rsidTr="00B0200A">
        <w:tc>
          <w:tcPr>
            <w:tcW w:w="1701" w:type="dxa"/>
            <w:shd w:val="clear" w:color="auto" w:fill="FFC000"/>
            <w:vAlign w:val="center"/>
          </w:tcPr>
          <w:p w14:paraId="4CC0CD64"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D 16</w:t>
            </w:r>
          </w:p>
        </w:tc>
        <w:tc>
          <w:tcPr>
            <w:tcW w:w="7938" w:type="dxa"/>
            <w:shd w:val="clear" w:color="auto" w:fill="F2F2F2"/>
          </w:tcPr>
          <w:p w14:paraId="1B944A60" w14:textId="77777777" w:rsidR="003D4DBF" w:rsidRPr="007B1569" w:rsidRDefault="003D4DBF" w:rsidP="00B0200A">
            <w:pPr>
              <w:tabs>
                <w:tab w:val="left" w:pos="1845"/>
              </w:tabs>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le processus de ratification est suffisamment avancé</w:t>
            </w:r>
          </w:p>
        </w:tc>
      </w:tr>
      <w:tr w:rsidR="003D4DBF" w:rsidRPr="007B1569" w14:paraId="2F495277" w14:textId="77777777" w:rsidTr="00B0200A">
        <w:tc>
          <w:tcPr>
            <w:tcW w:w="9639" w:type="dxa"/>
            <w:gridSpan w:val="2"/>
            <w:shd w:val="clear" w:color="auto" w:fill="EAF1DD"/>
            <w:vAlign w:val="center"/>
          </w:tcPr>
          <w:p w14:paraId="5233FBA2"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i/>
                <w:iCs/>
                <w:color w:val="00B050"/>
                <w:sz w:val="24"/>
                <w:szCs w:val="24"/>
              </w:rPr>
              <w:t xml:space="preserve">But stratégique E: </w:t>
            </w:r>
            <w:r w:rsidRPr="007B1569">
              <w:rPr>
                <w:rFonts w:ascii="Times New Roman" w:hAnsi="Times New Roman" w:cs="Times New Roman"/>
                <w:b/>
                <w:i/>
                <w:iCs/>
                <w:color w:val="00B050"/>
                <w:sz w:val="24"/>
                <w:szCs w:val="24"/>
              </w:rPr>
              <w:t>Renforcer la mise en œuvre au moyen d’une planification participative, de la gestion des connaissances et du renforcement des capacités</w:t>
            </w:r>
          </w:p>
        </w:tc>
      </w:tr>
      <w:tr w:rsidR="003D4DBF" w:rsidRPr="007B1569" w14:paraId="7DC8A98E" w14:textId="77777777" w:rsidTr="00B0200A">
        <w:tc>
          <w:tcPr>
            <w:tcW w:w="1701" w:type="dxa"/>
            <w:shd w:val="clear" w:color="auto" w:fill="FFC000"/>
            <w:vAlign w:val="center"/>
          </w:tcPr>
          <w:p w14:paraId="2AED6630" w14:textId="77777777" w:rsidR="003D4DBF" w:rsidRPr="007B1569" w:rsidRDefault="003D4DBF" w:rsidP="00B0200A">
            <w:pPr>
              <w:autoSpaceDE w:val="0"/>
              <w:autoSpaceDN w:val="0"/>
              <w:adjustRightInd w:val="0"/>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E 17</w:t>
            </w:r>
          </w:p>
        </w:tc>
        <w:tc>
          <w:tcPr>
            <w:tcW w:w="7938" w:type="dxa"/>
            <w:shd w:val="clear" w:color="auto" w:fill="F2F2F2"/>
          </w:tcPr>
          <w:p w14:paraId="707619CC"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b/>
                <w:sz w:val="24"/>
                <w:szCs w:val="24"/>
              </w:rPr>
              <w:t>:</w:t>
            </w:r>
            <w:r w:rsidRPr="007B1569">
              <w:rPr>
                <w:rFonts w:ascii="Times New Roman" w:hAnsi="Times New Roman" w:cs="Times New Roman"/>
                <w:sz w:val="24"/>
                <w:szCs w:val="24"/>
              </w:rPr>
              <w:t xml:space="preserve"> la SPANB du Togo est en cours d’actualisation et le processus sera bouclé en 2014. La mise en œuvre pourra être amorcée en 2015</w:t>
            </w:r>
          </w:p>
        </w:tc>
      </w:tr>
      <w:tr w:rsidR="003D4DBF" w:rsidRPr="007B1569" w14:paraId="05F9B003" w14:textId="77777777" w:rsidTr="00B0200A">
        <w:tc>
          <w:tcPr>
            <w:tcW w:w="1701" w:type="dxa"/>
            <w:shd w:val="clear" w:color="auto" w:fill="FFC000"/>
            <w:vAlign w:val="center"/>
          </w:tcPr>
          <w:p w14:paraId="161DB5EF"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color w:val="000000"/>
                <w:sz w:val="24"/>
                <w:szCs w:val="24"/>
              </w:rPr>
              <w:t>Objectif E 18</w:t>
            </w:r>
          </w:p>
        </w:tc>
        <w:tc>
          <w:tcPr>
            <w:tcW w:w="7938" w:type="dxa"/>
            <w:shd w:val="clear" w:color="auto" w:fill="F2F2F2"/>
          </w:tcPr>
          <w:p w14:paraId="0CD9435B" w14:textId="77777777" w:rsidR="003D4DBF" w:rsidRPr="007B1569" w:rsidRDefault="003D4DBF" w:rsidP="00B0200A">
            <w:pPr>
              <w:spacing w:after="0" w:line="240" w:lineRule="auto"/>
              <w:jc w:val="both"/>
              <w:rPr>
                <w:rFonts w:ascii="Times New Roman" w:hAnsi="Times New Roman" w:cs="Times New Roman"/>
                <w:b/>
                <w:sz w:val="24"/>
                <w:szCs w:val="24"/>
                <w:u w:val="single"/>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xml:space="preserve"> le PAFN traite des questions liées à la prise en compte des connaissances, innovations et pratiques traditionnelles locales en matière de conservation et l’utilisation durable de la biodiversité</w:t>
            </w:r>
          </w:p>
        </w:tc>
      </w:tr>
      <w:tr w:rsidR="003D4DBF" w:rsidRPr="007B1569" w14:paraId="6461FDF7" w14:textId="77777777" w:rsidTr="00B0200A">
        <w:tc>
          <w:tcPr>
            <w:tcW w:w="1701" w:type="dxa"/>
            <w:shd w:val="clear" w:color="auto" w:fill="FFC000"/>
            <w:vAlign w:val="center"/>
          </w:tcPr>
          <w:p w14:paraId="56E20E2C"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sz w:val="24"/>
                <w:szCs w:val="24"/>
              </w:rPr>
              <w:t>Objectif E 19</w:t>
            </w:r>
          </w:p>
        </w:tc>
        <w:tc>
          <w:tcPr>
            <w:tcW w:w="7938" w:type="dxa"/>
            <w:shd w:val="clear" w:color="auto" w:fill="F2F2F2"/>
          </w:tcPr>
          <w:p w14:paraId="394698D5"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u w:val="single"/>
              </w:rPr>
              <w:t>Applicable</w:t>
            </w:r>
            <w:r w:rsidRPr="007B1569">
              <w:rPr>
                <w:rFonts w:ascii="Times New Roman" w:hAnsi="Times New Roman" w:cs="Times New Roman"/>
                <w:sz w:val="24"/>
                <w:szCs w:val="24"/>
              </w:rPr>
              <w:t>: le PAFN et le PNIERN fixent des objectifs relatifs au partage des connaissances et des innovations technologiques</w:t>
            </w:r>
          </w:p>
        </w:tc>
      </w:tr>
      <w:tr w:rsidR="003D4DBF" w:rsidRPr="007B1569" w14:paraId="500E0FB9" w14:textId="77777777" w:rsidTr="00B0200A">
        <w:trPr>
          <w:trHeight w:val="507"/>
        </w:trPr>
        <w:tc>
          <w:tcPr>
            <w:tcW w:w="1701" w:type="dxa"/>
            <w:shd w:val="clear" w:color="auto" w:fill="FFC000"/>
            <w:vAlign w:val="center"/>
          </w:tcPr>
          <w:p w14:paraId="1E58DDBA" w14:textId="77777777" w:rsidR="003D4DBF" w:rsidRPr="007B1569" w:rsidRDefault="003D4DBF" w:rsidP="00B0200A">
            <w:pPr>
              <w:spacing w:after="0" w:line="240" w:lineRule="auto"/>
              <w:jc w:val="center"/>
              <w:rPr>
                <w:rFonts w:ascii="Times New Roman" w:hAnsi="Times New Roman" w:cs="Times New Roman"/>
                <w:sz w:val="24"/>
                <w:szCs w:val="24"/>
              </w:rPr>
            </w:pPr>
            <w:r w:rsidRPr="007B1569">
              <w:rPr>
                <w:rFonts w:ascii="Times New Roman" w:hAnsi="Times New Roman" w:cs="Times New Roman"/>
                <w:b/>
                <w:bCs/>
                <w:sz w:val="24"/>
                <w:szCs w:val="24"/>
              </w:rPr>
              <w:t>Objectif E 20</w:t>
            </w:r>
          </w:p>
        </w:tc>
        <w:tc>
          <w:tcPr>
            <w:tcW w:w="7938" w:type="dxa"/>
            <w:shd w:val="clear" w:color="auto" w:fill="F2F2F2"/>
          </w:tcPr>
          <w:p w14:paraId="523ED8C0" w14:textId="77777777" w:rsidR="003D4DBF" w:rsidRPr="007B1569" w:rsidRDefault="003D4DBF" w:rsidP="00B0200A">
            <w:pPr>
              <w:spacing w:after="0" w:line="240" w:lineRule="auto"/>
              <w:jc w:val="both"/>
              <w:rPr>
                <w:rFonts w:ascii="Times New Roman" w:hAnsi="Times New Roman" w:cs="Times New Roman"/>
                <w:sz w:val="24"/>
                <w:szCs w:val="24"/>
              </w:rPr>
            </w:pPr>
            <w:r w:rsidRPr="007B1569">
              <w:rPr>
                <w:rFonts w:ascii="Times New Roman" w:hAnsi="Times New Roman" w:cs="Times New Roman"/>
                <w:b/>
                <w:sz w:val="24"/>
                <w:szCs w:val="24"/>
              </w:rPr>
              <w:t>Applicable</w:t>
            </w:r>
            <w:r w:rsidRPr="007B1569">
              <w:rPr>
                <w:rFonts w:ascii="Times New Roman" w:hAnsi="Times New Roman" w:cs="Times New Roman"/>
                <w:sz w:val="24"/>
                <w:szCs w:val="24"/>
              </w:rPr>
              <w:t>: la SPANB est assortie d’un plan d’action avec un mécanisme de mobilisation des ressources pour sa mise en œuvre</w:t>
            </w:r>
          </w:p>
        </w:tc>
      </w:tr>
    </w:tbl>
    <w:p w14:paraId="467DFB1B" w14:textId="77777777" w:rsidR="003D4DBF" w:rsidRPr="006529BE" w:rsidRDefault="003D4DBF" w:rsidP="003D4DBF">
      <w:pPr>
        <w:spacing w:after="0" w:line="240" w:lineRule="auto"/>
        <w:jc w:val="both"/>
        <w:rPr>
          <w:rFonts w:ascii="Times New Roman" w:hAnsi="Times New Roman" w:cs="Times New Roman"/>
          <w:bCs/>
          <w:sz w:val="24"/>
          <w:szCs w:val="24"/>
        </w:rPr>
      </w:pPr>
    </w:p>
    <w:p w14:paraId="6A171EE9" w14:textId="34DBCC9D" w:rsidR="003D4DBF" w:rsidRPr="00BC689A" w:rsidRDefault="003D4DBF" w:rsidP="003D4DBF">
      <w:pPr>
        <w:spacing w:after="0" w:line="240" w:lineRule="auto"/>
        <w:outlineLvl w:val="2"/>
        <w:rPr>
          <w:rFonts w:ascii="Times New Roman" w:hAnsi="Times New Roman" w:cs="Times New Roman"/>
          <w:b/>
          <w:sz w:val="24"/>
          <w:szCs w:val="24"/>
        </w:rPr>
      </w:pPr>
      <w:bookmarkStart w:id="13" w:name="_Toc533413739"/>
      <w:r>
        <w:rPr>
          <w:rFonts w:ascii="Times New Roman" w:hAnsi="Times New Roman" w:cs="Times New Roman"/>
          <w:b/>
          <w:sz w:val="24"/>
          <w:szCs w:val="24"/>
        </w:rPr>
        <w:t xml:space="preserve">1.6. </w:t>
      </w:r>
      <w:r w:rsidRPr="00BC689A">
        <w:rPr>
          <w:rFonts w:ascii="Times New Roman" w:hAnsi="Times New Roman" w:cs="Times New Roman"/>
          <w:b/>
          <w:sz w:val="24"/>
          <w:szCs w:val="24"/>
        </w:rPr>
        <w:t>Faiblesse</w:t>
      </w:r>
      <w:r>
        <w:rPr>
          <w:rFonts w:ascii="Times New Roman" w:hAnsi="Times New Roman" w:cs="Times New Roman"/>
          <w:b/>
          <w:sz w:val="24"/>
          <w:szCs w:val="24"/>
        </w:rPr>
        <w:t>s de</w:t>
      </w:r>
      <w:r w:rsidR="000B16F2">
        <w:rPr>
          <w:rFonts w:ascii="Times New Roman" w:hAnsi="Times New Roman" w:cs="Times New Roman"/>
          <w:b/>
          <w:sz w:val="24"/>
          <w:szCs w:val="24"/>
        </w:rPr>
        <w:t xml:space="preserve"> </w:t>
      </w:r>
      <w:r w:rsidRPr="00BC689A">
        <w:rPr>
          <w:rFonts w:ascii="Times New Roman" w:hAnsi="Times New Roman" w:cs="Times New Roman"/>
          <w:b/>
          <w:sz w:val="24"/>
          <w:szCs w:val="24"/>
        </w:rPr>
        <w:t>la mise en œuvre des objectifs d’Aichi</w:t>
      </w:r>
      <w:bookmarkEnd w:id="13"/>
    </w:p>
    <w:p w14:paraId="1409C443" w14:textId="77777777" w:rsidR="003D4DBF" w:rsidRPr="007B1569"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55BAFC3B" w14:textId="77777777" w:rsidR="003D4DBF" w:rsidRPr="00A40F9C" w:rsidRDefault="003D4DBF" w:rsidP="00E50666">
      <w:pPr>
        <w:pStyle w:val="Paragraphedeliste"/>
        <w:numPr>
          <w:ilvl w:val="0"/>
          <w:numId w:val="9"/>
        </w:numPr>
        <w:spacing w:after="0" w:line="240" w:lineRule="auto"/>
        <w:outlineLvl w:val="2"/>
        <w:rPr>
          <w:rFonts w:ascii="Times New Roman" w:hAnsi="Times New Roman" w:cs="Times New Roman"/>
          <w:b/>
          <w:sz w:val="24"/>
          <w:szCs w:val="24"/>
        </w:rPr>
      </w:pPr>
      <w:bookmarkStart w:id="14" w:name="_Toc533413740"/>
      <w:r w:rsidRPr="00A40F9C">
        <w:rPr>
          <w:rFonts w:ascii="Times New Roman" w:hAnsi="Times New Roman" w:cs="Times New Roman"/>
          <w:b/>
          <w:sz w:val="24"/>
          <w:szCs w:val="24"/>
        </w:rPr>
        <w:t>Sur le plan politique et la planification environnementale</w:t>
      </w:r>
      <w:bookmarkEnd w:id="14"/>
    </w:p>
    <w:p w14:paraId="016B3EA0" w14:textId="77777777" w:rsidR="003D4DBF" w:rsidRPr="007B1569" w:rsidRDefault="003D4DBF" w:rsidP="003D4DBF">
      <w:pPr>
        <w:autoSpaceDE w:val="0"/>
        <w:autoSpaceDN w:val="0"/>
        <w:adjustRightInd w:val="0"/>
        <w:spacing w:after="0" w:line="240" w:lineRule="auto"/>
        <w:jc w:val="both"/>
        <w:rPr>
          <w:rFonts w:ascii="Times New Roman" w:eastAsia="Calibri" w:hAnsi="Times New Roman" w:cs="Times New Roman"/>
          <w:color w:val="000000"/>
          <w:sz w:val="24"/>
          <w:szCs w:val="24"/>
        </w:rPr>
      </w:pPr>
    </w:p>
    <w:p w14:paraId="0A4E35C7" w14:textId="553C6CEC" w:rsidR="003D4DBF" w:rsidRPr="007B1569" w:rsidRDefault="000B16F2" w:rsidP="003D4DBF">
      <w:pPr>
        <w:pStyle w:val="PNEcorps"/>
        <w:spacing w:before="0" w:after="0"/>
        <w:rPr>
          <w:rFonts w:ascii="Times New Roman" w:hAnsi="Times New Roman"/>
          <w:sz w:val="24"/>
        </w:rPr>
      </w:pPr>
      <w:r>
        <w:rPr>
          <w:rFonts w:ascii="Times New Roman" w:hAnsi="Times New Roman"/>
          <w:sz w:val="24"/>
        </w:rPr>
        <w:t>Les différent</w:t>
      </w:r>
      <w:r w:rsidR="003D4DBF" w:rsidRPr="007B1569">
        <w:rPr>
          <w:rFonts w:ascii="Times New Roman" w:hAnsi="Times New Roman"/>
          <w:sz w:val="24"/>
        </w:rPr>
        <w:t xml:space="preserve">s </w:t>
      </w:r>
      <w:r w:rsidR="003D4DBF">
        <w:rPr>
          <w:rFonts w:ascii="Times New Roman" w:hAnsi="Times New Roman"/>
          <w:sz w:val="24"/>
        </w:rPr>
        <w:t xml:space="preserve">documents de </w:t>
      </w:r>
      <w:r w:rsidR="003D4DBF" w:rsidRPr="007B1569">
        <w:rPr>
          <w:rFonts w:ascii="Times New Roman" w:hAnsi="Times New Roman"/>
          <w:sz w:val="24"/>
        </w:rPr>
        <w:t xml:space="preserve">politique sectorielle et stratégies de développement ne prennent pas </w:t>
      </w:r>
      <w:r w:rsidR="003D4DBF">
        <w:rPr>
          <w:rFonts w:ascii="Times New Roman" w:hAnsi="Times New Roman"/>
          <w:sz w:val="24"/>
        </w:rPr>
        <w:t xml:space="preserve">suffisament </w:t>
      </w:r>
      <w:r w:rsidR="003D4DBF" w:rsidRPr="007B1569">
        <w:rPr>
          <w:rFonts w:ascii="Times New Roman" w:hAnsi="Times New Roman"/>
          <w:sz w:val="24"/>
        </w:rPr>
        <w:t>en compte les préoccupations environnementales et les analyses macro-économiques n'intègrent pas encore dans les avantages et coûts, les dépenses nécessaires à la mise en œuvre des mesures de prévention ou de réparation des atteintes à l'environnement.</w:t>
      </w:r>
      <w:r w:rsidR="003D4DBF">
        <w:rPr>
          <w:rFonts w:ascii="Times New Roman" w:hAnsi="Times New Roman"/>
          <w:sz w:val="24"/>
        </w:rPr>
        <w:t>A ce jour,le Togo ne dispose pas d’une</w:t>
      </w:r>
      <w:r w:rsidR="003D4DBF" w:rsidRPr="007B1569">
        <w:rPr>
          <w:rFonts w:ascii="Times New Roman" w:hAnsi="Times New Roman"/>
          <w:sz w:val="24"/>
        </w:rPr>
        <w:t xml:space="preserve"> aire marine </w:t>
      </w:r>
      <w:r w:rsidR="003D4DBF">
        <w:rPr>
          <w:rFonts w:ascii="Times New Roman" w:hAnsi="Times New Roman"/>
          <w:sz w:val="24"/>
        </w:rPr>
        <w:t>protégée</w:t>
      </w:r>
      <w:r w:rsidR="003D4DBF" w:rsidRPr="007B1569">
        <w:rPr>
          <w:rFonts w:ascii="Times New Roman" w:hAnsi="Times New Roman"/>
          <w:sz w:val="24"/>
        </w:rPr>
        <w:t>.</w:t>
      </w:r>
    </w:p>
    <w:p w14:paraId="7571C8DD" w14:textId="77777777" w:rsidR="003D4DBF" w:rsidRPr="007B1569" w:rsidRDefault="003D4DBF" w:rsidP="003D4DBF">
      <w:pPr>
        <w:pStyle w:val="PNEcorps"/>
        <w:spacing w:before="0" w:after="0"/>
        <w:rPr>
          <w:rFonts w:ascii="Times New Roman" w:hAnsi="Times New Roman"/>
          <w:sz w:val="24"/>
        </w:rPr>
      </w:pPr>
    </w:p>
    <w:p w14:paraId="2933CD1F" w14:textId="77777777" w:rsidR="003D4DBF" w:rsidRPr="007B1569" w:rsidRDefault="003D4DBF" w:rsidP="003D4DBF">
      <w:pPr>
        <w:pStyle w:val="Default"/>
        <w:jc w:val="both"/>
        <w:rPr>
          <w:color w:val="auto"/>
        </w:rPr>
      </w:pPr>
      <w:r w:rsidRPr="007B1569">
        <w:t xml:space="preserve">Par ailleurs, en </w:t>
      </w:r>
      <w:r>
        <w:t>l’</w:t>
      </w:r>
      <w:r w:rsidRPr="007B1569">
        <w:t xml:space="preserve">absence de </w:t>
      </w:r>
      <w:r>
        <w:t xml:space="preserve">la mise en œuvre du </w:t>
      </w:r>
      <w:r w:rsidRPr="007B1569">
        <w:t xml:space="preserve">plan d’aménagement du territoire, on assiste </w:t>
      </w:r>
      <w:r w:rsidRPr="007B1569">
        <w:rPr>
          <w:color w:val="auto"/>
        </w:rPr>
        <w:t>dans toutes les régions du pays à une forte demande de la culture mécanisée</w:t>
      </w:r>
      <w:r w:rsidRPr="007B1569">
        <w:t xml:space="preserve"> (estimée à </w:t>
      </w:r>
      <w:r w:rsidRPr="007B1569">
        <w:rPr>
          <w:color w:val="auto"/>
        </w:rPr>
        <w:t>20% sur l’ensemble du territoire), à cause de la diminution des actifs agricoles dans les ménages, de l’exode de la main d’œuvre salariée, du vieillissement de la population agricole et de la création des exploitations agricoles de taille relativement importante par des planteurs privés. Ces pratiques agricoles ne tiennent pas compte des types de sols, des régimes climatiques, ainsi que de l’état du couvert végétal du pays. De plus, la culture mécanisée n’arrive pas encore à intégrer la pratique agroforestière.</w:t>
      </w:r>
    </w:p>
    <w:p w14:paraId="4350DFAD" w14:textId="77777777" w:rsidR="003D4DBF" w:rsidRPr="007B1569"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10A1B948" w14:textId="77777777" w:rsidR="003D4DBF" w:rsidRPr="007B1569" w:rsidRDefault="003D4DBF" w:rsidP="003D4DBF">
      <w:pPr>
        <w:autoSpaceDE w:val="0"/>
        <w:autoSpaceDN w:val="0"/>
        <w:adjustRightInd w:val="0"/>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La stratégie nationale sur la gestion des feux de végétation (MERF, 2010), a clairement démontré les effets néfastes des feux de végétation au Togo; ils sont itératifs sur toute l’étendue et plus de 60% du territoire (soit environ 30 000 km</w:t>
      </w:r>
      <w:r w:rsidRPr="007B1569">
        <w:rPr>
          <w:rFonts w:ascii="Times New Roman" w:hAnsi="Times New Roman" w:cs="Times New Roman"/>
          <w:sz w:val="24"/>
          <w:szCs w:val="24"/>
          <w:vertAlign w:val="superscript"/>
        </w:rPr>
        <w:t>2</w:t>
      </w:r>
      <w:r w:rsidRPr="007B1569">
        <w:rPr>
          <w:rFonts w:ascii="Times New Roman" w:hAnsi="Times New Roman" w:cs="Times New Roman"/>
          <w:sz w:val="24"/>
          <w:szCs w:val="24"/>
        </w:rPr>
        <w:t>) sont parcourus chaque année par les feux de végétation. Ces incendies de forêt aboutissent à une mortalité notable d’arbres voire à la disparition des forêts. Par conséquent les feux amplifient la diminution des surfaces forestières surtout dans les zones sèches. Cependant, les actions menées sont insignifiantes par rapport à l’ampleur des dégâts chaque année; la stratégie tarde à être mis</w:t>
      </w:r>
      <w:r>
        <w:rPr>
          <w:rFonts w:ascii="Times New Roman" w:hAnsi="Times New Roman" w:cs="Times New Roman"/>
          <w:sz w:val="24"/>
          <w:szCs w:val="24"/>
        </w:rPr>
        <w:t>e</w:t>
      </w:r>
      <w:r w:rsidRPr="007B1569">
        <w:rPr>
          <w:rFonts w:ascii="Times New Roman" w:hAnsi="Times New Roman" w:cs="Times New Roman"/>
          <w:sz w:val="24"/>
          <w:szCs w:val="24"/>
        </w:rPr>
        <w:t xml:space="preserve"> en œuvre.</w:t>
      </w:r>
    </w:p>
    <w:p w14:paraId="274DB2EF" w14:textId="77777777" w:rsidR="003D4DBF" w:rsidRPr="007B1569" w:rsidRDefault="003D4DBF" w:rsidP="003D4DBF">
      <w:pPr>
        <w:autoSpaceDE w:val="0"/>
        <w:autoSpaceDN w:val="0"/>
        <w:adjustRightInd w:val="0"/>
        <w:spacing w:after="0" w:line="240" w:lineRule="auto"/>
        <w:jc w:val="both"/>
        <w:rPr>
          <w:rFonts w:ascii="Times New Roman" w:hAnsi="Times New Roman" w:cs="Times New Roman"/>
          <w:sz w:val="24"/>
          <w:szCs w:val="24"/>
          <w:highlight w:val="yellow"/>
        </w:rPr>
      </w:pPr>
    </w:p>
    <w:p w14:paraId="6AD64201" w14:textId="7CA4FB4B" w:rsidR="003D4DBF" w:rsidRPr="007B1569" w:rsidRDefault="003D4DBF" w:rsidP="003D4DBF">
      <w:pPr>
        <w:autoSpaceDE w:val="0"/>
        <w:autoSpaceDN w:val="0"/>
        <w:adjustRightInd w:val="0"/>
        <w:snapToGri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Pr="007B1569">
        <w:rPr>
          <w:rFonts w:ascii="Times New Roman" w:hAnsi="Times New Roman" w:cs="Times New Roman"/>
          <w:sz w:val="24"/>
          <w:szCs w:val="24"/>
        </w:rPr>
        <w:t>e flux des animaux transhumants contribuent</w:t>
      </w:r>
      <w:r>
        <w:rPr>
          <w:rFonts w:ascii="Times New Roman" w:hAnsi="Times New Roman" w:cs="Times New Roman"/>
          <w:sz w:val="24"/>
          <w:szCs w:val="24"/>
        </w:rPr>
        <w:t xml:space="preserve"> à dégrader irréversiblement </w:t>
      </w:r>
      <w:r w:rsidRPr="007B1569">
        <w:rPr>
          <w:rFonts w:ascii="Times New Roman" w:hAnsi="Times New Roman" w:cs="Times New Roman"/>
          <w:sz w:val="24"/>
          <w:szCs w:val="24"/>
        </w:rPr>
        <w:t xml:space="preserve">la végétation et les cultures agricoles. Les éleveurs transhumants respectent de moins en moins les portes d’entrée, les couloirs et les zones d’accueil prévues à cet effet et causent ainsi d’importants dégâts sur les écosystèmes forestiers. Aux actions néfastes provoquées par le </w:t>
      </w:r>
      <w:r>
        <w:rPr>
          <w:rFonts w:ascii="Times New Roman" w:hAnsi="Times New Roman" w:cs="Times New Roman"/>
          <w:sz w:val="24"/>
          <w:szCs w:val="24"/>
        </w:rPr>
        <w:t>surpâturage</w:t>
      </w:r>
      <w:r w:rsidR="00EC17E3">
        <w:rPr>
          <w:rFonts w:ascii="Times New Roman" w:hAnsi="Times New Roman" w:cs="Times New Roman"/>
          <w:sz w:val="24"/>
          <w:szCs w:val="24"/>
        </w:rPr>
        <w:t xml:space="preserve"> </w:t>
      </w:r>
      <w:r w:rsidRPr="007B1569">
        <w:rPr>
          <w:rFonts w:ascii="Times New Roman" w:hAnsi="Times New Roman" w:cs="Times New Roman"/>
          <w:sz w:val="24"/>
          <w:szCs w:val="24"/>
        </w:rPr>
        <w:t>et l’élagage des espèces végétales, s’ajoutent le piétinement des plantes, le compactage et la modification de la structure des sols qui renforcent le ruissellement des eaux de pluie qui empêche la régénération de nombreuses espèces végétales et la reconstitution des domaines forestiers.</w:t>
      </w:r>
    </w:p>
    <w:p w14:paraId="38AF0FA2" w14:textId="77777777" w:rsidR="003D4DBF" w:rsidRPr="007B1569" w:rsidRDefault="003D4DBF" w:rsidP="003D4DBF">
      <w:pPr>
        <w:autoSpaceDE w:val="0"/>
        <w:autoSpaceDN w:val="0"/>
        <w:adjustRightInd w:val="0"/>
        <w:spacing w:after="0" w:line="240" w:lineRule="auto"/>
        <w:jc w:val="both"/>
        <w:rPr>
          <w:rFonts w:ascii="Times New Roman" w:hAnsi="Times New Roman" w:cs="Times New Roman"/>
          <w:b/>
          <w:sz w:val="24"/>
          <w:szCs w:val="24"/>
        </w:rPr>
      </w:pPr>
    </w:p>
    <w:p w14:paraId="2EF789A7" w14:textId="77777777" w:rsidR="003D4DBF" w:rsidRPr="00BC48E8" w:rsidRDefault="003D4DBF" w:rsidP="00E50666">
      <w:pPr>
        <w:pStyle w:val="Paragraphedeliste"/>
        <w:numPr>
          <w:ilvl w:val="0"/>
          <w:numId w:val="9"/>
        </w:numPr>
        <w:autoSpaceDE w:val="0"/>
        <w:autoSpaceDN w:val="0"/>
        <w:adjustRightInd w:val="0"/>
        <w:spacing w:after="0" w:line="240" w:lineRule="auto"/>
        <w:outlineLvl w:val="2"/>
        <w:rPr>
          <w:rFonts w:ascii="Times New Roman" w:hAnsi="Times New Roman" w:cs="Times New Roman"/>
          <w:b/>
          <w:sz w:val="24"/>
          <w:szCs w:val="24"/>
        </w:rPr>
      </w:pPr>
      <w:bookmarkStart w:id="15" w:name="_Toc533413741"/>
      <w:r w:rsidRPr="00BC48E8">
        <w:rPr>
          <w:rFonts w:ascii="Times New Roman" w:hAnsi="Times New Roman" w:cs="Times New Roman"/>
          <w:b/>
          <w:sz w:val="24"/>
          <w:szCs w:val="24"/>
        </w:rPr>
        <w:t>Sur le plan juridique</w:t>
      </w:r>
      <w:bookmarkEnd w:id="15"/>
    </w:p>
    <w:p w14:paraId="6968904D" w14:textId="77777777" w:rsidR="003D4DBF" w:rsidRPr="007B1569" w:rsidRDefault="003D4DBF" w:rsidP="003D4DBF">
      <w:pPr>
        <w:spacing w:after="0" w:line="240" w:lineRule="auto"/>
        <w:jc w:val="both"/>
        <w:rPr>
          <w:rFonts w:ascii="Times New Roman" w:hAnsi="Times New Roman" w:cs="Times New Roman"/>
          <w:sz w:val="24"/>
          <w:szCs w:val="24"/>
        </w:rPr>
      </w:pPr>
    </w:p>
    <w:p w14:paraId="6B74C27F" w14:textId="77777777" w:rsidR="003D4DBF" w:rsidRPr="007B1569" w:rsidRDefault="003D4DBF" w:rsidP="003D4DBF">
      <w:p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 xml:space="preserve">Les dispositions de l’article premier de la convention sur la diversité biologique de 1992 déclinent ses trois principaux objectifs comme suit: </w:t>
      </w:r>
    </w:p>
    <w:p w14:paraId="79566AE2" w14:textId="77777777" w:rsidR="003D4DBF" w:rsidRPr="007B1569" w:rsidRDefault="003D4DBF" w:rsidP="00E50666">
      <w:pPr>
        <w:numPr>
          <w:ilvl w:val="0"/>
          <w:numId w:val="6"/>
        </w:num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la conservation de la diversité biologique;</w:t>
      </w:r>
    </w:p>
    <w:p w14:paraId="034F5DE9" w14:textId="77777777" w:rsidR="003D4DBF" w:rsidRPr="007B1569" w:rsidRDefault="003D4DBF" w:rsidP="00E50666">
      <w:pPr>
        <w:numPr>
          <w:ilvl w:val="0"/>
          <w:numId w:val="6"/>
        </w:num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l’utilisation durable des éléments de la diversité biologique;</w:t>
      </w:r>
    </w:p>
    <w:p w14:paraId="16D26639" w14:textId="77777777" w:rsidR="003D4DBF" w:rsidRPr="007B1569" w:rsidRDefault="003D4DBF" w:rsidP="00E50666">
      <w:pPr>
        <w:numPr>
          <w:ilvl w:val="0"/>
          <w:numId w:val="6"/>
        </w:num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le partage juste et équitable des avantages découlant de l’exploitation des ressources génétiques.</w:t>
      </w:r>
    </w:p>
    <w:p w14:paraId="20A8637D" w14:textId="77777777" w:rsidR="003D4DBF" w:rsidRPr="007B1569" w:rsidRDefault="003D4DBF" w:rsidP="003D4DBF">
      <w:pPr>
        <w:spacing w:after="0" w:line="240" w:lineRule="auto"/>
        <w:jc w:val="both"/>
        <w:rPr>
          <w:rFonts w:ascii="Times New Roman" w:hAnsi="Times New Roman" w:cs="Times New Roman"/>
          <w:sz w:val="24"/>
          <w:szCs w:val="24"/>
        </w:rPr>
      </w:pPr>
    </w:p>
    <w:p w14:paraId="76FD8787" w14:textId="77777777" w:rsidR="003D4DBF" w:rsidRPr="007B1569" w:rsidRDefault="003D4DBF" w:rsidP="003D4DBF">
      <w:p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 xml:space="preserve">En examinant le cadre juridique du Togo relatif à la diversité biologique, il apparaît qu’un accent est bien mis sur les deux premiers objectifs mais le troisième est très peu pris en compte. </w:t>
      </w:r>
      <w:r>
        <w:rPr>
          <w:rFonts w:ascii="Times New Roman" w:hAnsi="Times New Roman" w:cs="Times New Roman"/>
          <w:sz w:val="24"/>
          <w:szCs w:val="24"/>
        </w:rPr>
        <w:t>A</w:t>
      </w:r>
      <w:r w:rsidRPr="007B1569">
        <w:rPr>
          <w:rFonts w:ascii="Times New Roman" w:hAnsi="Times New Roman" w:cs="Times New Roman"/>
          <w:sz w:val="24"/>
          <w:szCs w:val="24"/>
        </w:rPr>
        <w:t>u niveau des deux premiers objectifs, l’application et la connaissance des textes juridiques relatifs à la conservation de la biodiversité restent malgré tout très limitées; plusieurs contraintes sont identifiées</w:t>
      </w:r>
      <w:r>
        <w:rPr>
          <w:rFonts w:ascii="Times New Roman" w:hAnsi="Times New Roman" w:cs="Times New Roman"/>
          <w:sz w:val="24"/>
          <w:szCs w:val="24"/>
        </w:rPr>
        <w:t>. Il s’agit de :</w:t>
      </w:r>
    </w:p>
    <w:p w14:paraId="77452D11" w14:textId="77777777" w:rsidR="003D4DBF" w:rsidRPr="007B1569" w:rsidRDefault="003D4DBF" w:rsidP="00E50666">
      <w:pPr>
        <w:pStyle w:val="Bullet6"/>
        <w:numPr>
          <w:ilvl w:val="0"/>
          <w:numId w:val="5"/>
        </w:numPr>
        <w:spacing w:before="0"/>
        <w:rPr>
          <w:rFonts w:ascii="Times New Roman" w:hAnsi="Times New Roman"/>
          <w:sz w:val="24"/>
          <w:szCs w:val="24"/>
          <w:lang w:val="fr-FR"/>
        </w:rPr>
      </w:pPr>
      <w:r>
        <w:rPr>
          <w:rFonts w:ascii="Times New Roman" w:hAnsi="Times New Roman"/>
          <w:sz w:val="24"/>
          <w:szCs w:val="24"/>
          <w:lang w:val="fr-FR"/>
        </w:rPr>
        <w:t xml:space="preserve">la </w:t>
      </w:r>
      <w:r w:rsidRPr="007B1569">
        <w:rPr>
          <w:rFonts w:ascii="Times New Roman" w:hAnsi="Times New Roman"/>
          <w:sz w:val="24"/>
          <w:szCs w:val="24"/>
          <w:lang w:val="fr-FR"/>
        </w:rPr>
        <w:t>non adoption de</w:t>
      </w:r>
      <w:r>
        <w:rPr>
          <w:rFonts w:ascii="Times New Roman" w:hAnsi="Times New Roman"/>
          <w:sz w:val="24"/>
          <w:szCs w:val="24"/>
          <w:lang w:val="fr-FR"/>
        </w:rPr>
        <w:t xml:space="preserve"> certain</w:t>
      </w:r>
      <w:r w:rsidRPr="007B1569">
        <w:rPr>
          <w:rFonts w:ascii="Times New Roman" w:hAnsi="Times New Roman"/>
          <w:sz w:val="24"/>
          <w:szCs w:val="24"/>
          <w:lang w:val="fr-FR"/>
        </w:rPr>
        <w:t>s textes d’application du code forestier;</w:t>
      </w:r>
    </w:p>
    <w:p w14:paraId="33DEDC17" w14:textId="77777777" w:rsidR="003D4DBF" w:rsidRPr="007B1569" w:rsidRDefault="003D4DBF" w:rsidP="00E50666">
      <w:pPr>
        <w:pStyle w:val="Bullet6"/>
        <w:numPr>
          <w:ilvl w:val="0"/>
          <w:numId w:val="5"/>
        </w:numPr>
        <w:spacing w:before="0"/>
        <w:rPr>
          <w:rFonts w:ascii="Times New Roman" w:hAnsi="Times New Roman"/>
          <w:sz w:val="24"/>
          <w:szCs w:val="24"/>
          <w:lang w:val="fr-FR"/>
        </w:rPr>
      </w:pPr>
      <w:r>
        <w:rPr>
          <w:rFonts w:ascii="Times New Roman" w:hAnsi="Times New Roman"/>
          <w:sz w:val="24"/>
          <w:szCs w:val="24"/>
          <w:lang w:val="fr-FR"/>
        </w:rPr>
        <w:t>l’</w:t>
      </w:r>
      <w:r w:rsidRPr="007B1569">
        <w:rPr>
          <w:rFonts w:ascii="Times New Roman" w:hAnsi="Times New Roman"/>
          <w:sz w:val="24"/>
          <w:szCs w:val="24"/>
          <w:lang w:val="fr-FR"/>
        </w:rPr>
        <w:t>absence des formations sur la maîtrise des outils juridiques relatifs aux ressources forestières;</w:t>
      </w:r>
    </w:p>
    <w:p w14:paraId="07AE1C06" w14:textId="77777777" w:rsidR="003D4DBF" w:rsidRPr="007B1569" w:rsidRDefault="003D4DBF" w:rsidP="00E50666">
      <w:pPr>
        <w:pStyle w:val="Bullet6"/>
        <w:numPr>
          <w:ilvl w:val="0"/>
          <w:numId w:val="5"/>
        </w:numPr>
        <w:spacing w:before="0"/>
        <w:rPr>
          <w:rFonts w:ascii="Times New Roman" w:hAnsi="Times New Roman"/>
          <w:sz w:val="24"/>
          <w:szCs w:val="24"/>
          <w:lang w:val="fr-FR"/>
        </w:rPr>
      </w:pPr>
      <w:r>
        <w:rPr>
          <w:rFonts w:ascii="Times New Roman" w:hAnsi="Times New Roman"/>
          <w:sz w:val="24"/>
          <w:szCs w:val="24"/>
          <w:lang w:val="fr-FR"/>
        </w:rPr>
        <w:t xml:space="preserve">la </w:t>
      </w:r>
      <w:r w:rsidRPr="007B1569">
        <w:rPr>
          <w:rFonts w:ascii="Times New Roman" w:hAnsi="Times New Roman"/>
          <w:sz w:val="24"/>
          <w:szCs w:val="24"/>
          <w:lang w:val="fr-FR"/>
        </w:rPr>
        <w:t>non adoption du texte relatif aux statuts particuliers du personnel des Eaux-Forêts et de la Chasse;</w:t>
      </w:r>
    </w:p>
    <w:p w14:paraId="3D75D877" w14:textId="77777777" w:rsidR="003D4DBF" w:rsidRPr="007B1569" w:rsidRDefault="003D4DBF" w:rsidP="00E50666">
      <w:pPr>
        <w:pStyle w:val="Bullet6"/>
        <w:numPr>
          <w:ilvl w:val="0"/>
          <w:numId w:val="5"/>
        </w:numPr>
        <w:spacing w:before="0"/>
        <w:rPr>
          <w:rFonts w:ascii="Times New Roman" w:hAnsi="Times New Roman"/>
          <w:sz w:val="24"/>
          <w:szCs w:val="24"/>
          <w:lang w:val="fr-FR"/>
        </w:rPr>
      </w:pPr>
      <w:r>
        <w:rPr>
          <w:rFonts w:ascii="Times New Roman" w:hAnsi="Times New Roman"/>
          <w:sz w:val="24"/>
          <w:szCs w:val="24"/>
          <w:lang w:val="fr-FR"/>
        </w:rPr>
        <w:t>l’</w:t>
      </w:r>
      <w:r w:rsidRPr="007B1569">
        <w:rPr>
          <w:rFonts w:ascii="Times New Roman" w:hAnsi="Times New Roman"/>
          <w:sz w:val="24"/>
          <w:szCs w:val="24"/>
          <w:lang w:val="fr-FR"/>
        </w:rPr>
        <w:t>insuffisante connaissance des textes p</w:t>
      </w:r>
      <w:r>
        <w:rPr>
          <w:rFonts w:ascii="Times New Roman" w:hAnsi="Times New Roman"/>
          <w:sz w:val="24"/>
          <w:szCs w:val="24"/>
          <w:lang w:val="fr-FR"/>
        </w:rPr>
        <w:t>ar les autres parties prenantes.</w:t>
      </w:r>
    </w:p>
    <w:p w14:paraId="6CFE0F3D" w14:textId="77777777" w:rsidR="003D4DBF" w:rsidRPr="007B1569" w:rsidRDefault="003D4DBF" w:rsidP="003D4DBF">
      <w:pPr>
        <w:spacing w:after="0" w:line="240" w:lineRule="auto"/>
        <w:jc w:val="both"/>
        <w:rPr>
          <w:rFonts w:ascii="Times New Roman" w:hAnsi="Times New Roman" w:cs="Times New Roman"/>
          <w:sz w:val="24"/>
          <w:szCs w:val="24"/>
        </w:rPr>
      </w:pPr>
    </w:p>
    <w:p w14:paraId="699B9856" w14:textId="77777777" w:rsidR="003D4DBF" w:rsidRPr="007B1569" w:rsidRDefault="003D4DBF" w:rsidP="003D4DBF">
      <w:p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 xml:space="preserve">L’adoption de loi-cadre sur l’environnement et du Code forestier (2008) définit les bases juridiques des partenariats entre l’administration centrale, les autorités locales et la société civile, prescrivant une gestion durable et participative des ressources naturelles du Togo. Mais on note une faiblesse dans la mise en œuvre </w:t>
      </w:r>
      <w:r>
        <w:rPr>
          <w:rFonts w:ascii="Times New Roman" w:hAnsi="Times New Roman" w:cs="Times New Roman"/>
          <w:sz w:val="24"/>
          <w:szCs w:val="24"/>
        </w:rPr>
        <w:t>de c</w:t>
      </w:r>
      <w:r w:rsidRPr="007B1569">
        <w:rPr>
          <w:rFonts w:ascii="Times New Roman" w:hAnsi="Times New Roman" w:cs="Times New Roman"/>
          <w:sz w:val="24"/>
          <w:szCs w:val="24"/>
        </w:rPr>
        <w:t>es dispositions. En dehors de</w:t>
      </w:r>
      <w:r>
        <w:rPr>
          <w:rFonts w:ascii="Times New Roman" w:hAnsi="Times New Roman" w:cs="Times New Roman"/>
          <w:sz w:val="24"/>
          <w:szCs w:val="24"/>
        </w:rPr>
        <w:t xml:space="preserve"> certains</w:t>
      </w:r>
      <w:r w:rsidRPr="007B1569">
        <w:rPr>
          <w:rFonts w:ascii="Times New Roman" w:hAnsi="Times New Roman" w:cs="Times New Roman"/>
          <w:sz w:val="24"/>
          <w:szCs w:val="24"/>
        </w:rPr>
        <w:t xml:space="preserve"> décrets</w:t>
      </w:r>
      <w:r>
        <w:rPr>
          <w:rFonts w:ascii="Times New Roman" w:hAnsi="Times New Roman" w:cs="Times New Roman"/>
          <w:sz w:val="24"/>
          <w:szCs w:val="24"/>
        </w:rPr>
        <w:t xml:space="preserve"> notamment ceux</w:t>
      </w:r>
      <w:r w:rsidRPr="007B1569">
        <w:rPr>
          <w:rFonts w:ascii="Times New Roman" w:hAnsi="Times New Roman" w:cs="Times New Roman"/>
          <w:sz w:val="24"/>
          <w:szCs w:val="24"/>
        </w:rPr>
        <w:t xml:space="preserve"> </w:t>
      </w:r>
      <w:r>
        <w:rPr>
          <w:rFonts w:ascii="Times New Roman" w:hAnsi="Times New Roman" w:cs="Times New Roman"/>
          <w:sz w:val="24"/>
          <w:szCs w:val="24"/>
        </w:rPr>
        <w:t xml:space="preserve">relatifs aux </w:t>
      </w:r>
      <w:r w:rsidRPr="007B1569">
        <w:rPr>
          <w:rFonts w:ascii="Times New Roman" w:hAnsi="Times New Roman" w:cs="Times New Roman"/>
          <w:sz w:val="24"/>
          <w:szCs w:val="24"/>
        </w:rPr>
        <w:t xml:space="preserve">Evaluations Environnementales (EE), </w:t>
      </w:r>
      <w:r>
        <w:rPr>
          <w:rFonts w:ascii="Times New Roman" w:hAnsi="Times New Roman" w:cs="Times New Roman"/>
          <w:sz w:val="24"/>
          <w:szCs w:val="24"/>
        </w:rPr>
        <w:t xml:space="preserve">à </w:t>
      </w:r>
      <w:r w:rsidRPr="007B1569">
        <w:rPr>
          <w:rFonts w:ascii="Times New Roman" w:hAnsi="Times New Roman" w:cs="Times New Roman"/>
          <w:sz w:val="24"/>
          <w:szCs w:val="24"/>
        </w:rPr>
        <w:t>la «requalification» de toutes les Aires Protégées (AP) du Togo et</w:t>
      </w:r>
      <w:r>
        <w:rPr>
          <w:rFonts w:ascii="Times New Roman" w:hAnsi="Times New Roman" w:cs="Times New Roman"/>
          <w:sz w:val="24"/>
          <w:szCs w:val="24"/>
        </w:rPr>
        <w:t xml:space="preserve"> à</w:t>
      </w:r>
      <w:r w:rsidRPr="007B1569">
        <w:rPr>
          <w:rFonts w:ascii="Times New Roman" w:hAnsi="Times New Roman" w:cs="Times New Roman"/>
          <w:sz w:val="24"/>
          <w:szCs w:val="24"/>
        </w:rPr>
        <w:t xml:space="preserve"> la gestion de l’accès à ces aires, ces instruments </w:t>
      </w:r>
      <w:r>
        <w:rPr>
          <w:rFonts w:ascii="Times New Roman" w:hAnsi="Times New Roman" w:cs="Times New Roman"/>
          <w:sz w:val="24"/>
          <w:szCs w:val="24"/>
        </w:rPr>
        <w:t xml:space="preserve">juridiques </w:t>
      </w:r>
      <w:r w:rsidRPr="007B1569">
        <w:rPr>
          <w:rFonts w:ascii="Times New Roman" w:hAnsi="Times New Roman" w:cs="Times New Roman"/>
          <w:sz w:val="24"/>
          <w:szCs w:val="24"/>
        </w:rPr>
        <w:t>manquent de textes d’applications.</w:t>
      </w:r>
    </w:p>
    <w:p w14:paraId="112FFAC7" w14:textId="7AC9D56B" w:rsidR="003D4DBF" w:rsidRDefault="003D4DBF" w:rsidP="003D4DBF">
      <w:pPr>
        <w:autoSpaceDE w:val="0"/>
        <w:autoSpaceDN w:val="0"/>
        <w:adjustRightInd w:val="0"/>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L’adoption</w:t>
      </w:r>
      <w:r w:rsidR="00EC17E3">
        <w:rPr>
          <w:rFonts w:ascii="Times New Roman" w:hAnsi="Times New Roman" w:cs="Times New Roman"/>
          <w:sz w:val="24"/>
          <w:szCs w:val="24"/>
        </w:rPr>
        <w:t xml:space="preserve"> </w:t>
      </w:r>
      <w:r w:rsidRPr="007B1569">
        <w:rPr>
          <w:rFonts w:ascii="Times New Roman" w:hAnsi="Times New Roman" w:cs="Times New Roman"/>
          <w:sz w:val="24"/>
          <w:szCs w:val="24"/>
        </w:rPr>
        <w:t xml:space="preserve">de </w:t>
      </w:r>
      <w:r>
        <w:rPr>
          <w:rFonts w:ascii="Times New Roman" w:hAnsi="Times New Roman" w:cs="Times New Roman"/>
          <w:sz w:val="24"/>
          <w:szCs w:val="24"/>
        </w:rPr>
        <w:t xml:space="preserve">la </w:t>
      </w:r>
      <w:r w:rsidRPr="007B1569">
        <w:rPr>
          <w:rFonts w:ascii="Times New Roman" w:hAnsi="Times New Roman" w:cs="Times New Roman"/>
          <w:sz w:val="24"/>
          <w:szCs w:val="24"/>
        </w:rPr>
        <w:t xml:space="preserve">loi </w:t>
      </w:r>
      <w:r w:rsidRPr="007B1569">
        <w:rPr>
          <w:rFonts w:ascii="Times New Roman" w:hAnsi="Times New Roman" w:cs="Times New Roman"/>
          <w:bCs/>
          <w:sz w:val="24"/>
          <w:szCs w:val="24"/>
        </w:rPr>
        <w:t>portant régime d’accès aux ressources génétiques et partage des avantages résultant de leur exploitation</w:t>
      </w:r>
      <w:r w:rsidRPr="007B1569">
        <w:rPr>
          <w:rFonts w:ascii="Times New Roman" w:hAnsi="Times New Roman" w:cs="Times New Roman"/>
          <w:sz w:val="24"/>
          <w:szCs w:val="24"/>
        </w:rPr>
        <w:t xml:space="preserve"> et son application auraient pu réglementer, entre autres, l’exploitation des plantes médicinales qui sont de loin les produits forestiers non-ligneux les plus commercialisés au Togo. La filière contient une gamme très variée de produits, allant des écorces d’arbres jusqu’aux racines en passant par les feuilles et les fruits. Elles sont utilisées par beaucoup de tradi</w:t>
      </w:r>
      <w:r>
        <w:rPr>
          <w:rFonts w:ascii="Times New Roman" w:hAnsi="Times New Roman" w:cs="Times New Roman"/>
          <w:sz w:val="24"/>
          <w:szCs w:val="24"/>
        </w:rPr>
        <w:t>praticiens</w:t>
      </w:r>
      <w:r w:rsidR="00EC17E3">
        <w:rPr>
          <w:rFonts w:ascii="Times New Roman" w:hAnsi="Times New Roman" w:cs="Times New Roman"/>
          <w:sz w:val="24"/>
          <w:szCs w:val="24"/>
        </w:rPr>
        <w:t xml:space="preserve"> </w:t>
      </w:r>
      <w:r w:rsidRPr="007B1569">
        <w:rPr>
          <w:rFonts w:ascii="Times New Roman" w:hAnsi="Times New Roman" w:cs="Times New Roman"/>
          <w:sz w:val="24"/>
          <w:szCs w:val="24"/>
        </w:rPr>
        <w:t xml:space="preserve">et la population qui se soigne par automédication traditionnelle consommant ainsi une quantité considérable de plantes médicinales. </w:t>
      </w:r>
    </w:p>
    <w:p w14:paraId="78B46E78" w14:textId="77777777" w:rsidR="003D4DBF"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3CFEEB0E" w14:textId="77777777" w:rsidR="003D4DBF" w:rsidRPr="00BC48E8" w:rsidRDefault="003D4DBF" w:rsidP="00E50666">
      <w:pPr>
        <w:pStyle w:val="Paragraphedeliste"/>
        <w:numPr>
          <w:ilvl w:val="0"/>
          <w:numId w:val="9"/>
        </w:numPr>
        <w:autoSpaceDE w:val="0"/>
        <w:autoSpaceDN w:val="0"/>
        <w:adjustRightInd w:val="0"/>
        <w:spacing w:after="0" w:line="240" w:lineRule="auto"/>
        <w:outlineLvl w:val="2"/>
        <w:rPr>
          <w:rFonts w:ascii="Times New Roman" w:hAnsi="Times New Roman" w:cs="Times New Roman"/>
          <w:b/>
          <w:sz w:val="24"/>
          <w:szCs w:val="24"/>
        </w:rPr>
      </w:pPr>
      <w:bookmarkStart w:id="16" w:name="_Toc533413742"/>
      <w:r w:rsidRPr="00BC48E8">
        <w:rPr>
          <w:rFonts w:ascii="Times New Roman" w:hAnsi="Times New Roman" w:cs="Times New Roman"/>
          <w:b/>
          <w:sz w:val="24"/>
          <w:szCs w:val="24"/>
        </w:rPr>
        <w:t>Sur le plan institutionnel</w:t>
      </w:r>
      <w:bookmarkEnd w:id="16"/>
    </w:p>
    <w:p w14:paraId="1A8C3C80" w14:textId="77777777" w:rsidR="003D4DBF" w:rsidRPr="007B1569" w:rsidRDefault="003D4DBF" w:rsidP="003D4DBF">
      <w:pPr>
        <w:autoSpaceDE w:val="0"/>
        <w:autoSpaceDN w:val="0"/>
        <w:adjustRightInd w:val="0"/>
        <w:spacing w:after="0" w:line="240" w:lineRule="auto"/>
        <w:jc w:val="both"/>
        <w:rPr>
          <w:rFonts w:ascii="Times New Roman" w:hAnsi="Times New Roman" w:cs="Times New Roman"/>
          <w:sz w:val="24"/>
          <w:szCs w:val="24"/>
          <w:highlight w:val="cyan"/>
        </w:rPr>
      </w:pPr>
    </w:p>
    <w:p w14:paraId="10F9A7C3" w14:textId="77777777" w:rsidR="003D4DBF" w:rsidRPr="007B1569" w:rsidRDefault="003D4DBF" w:rsidP="003D4DBF">
      <w:pPr>
        <w:spacing w:after="0" w:line="240" w:lineRule="auto"/>
        <w:jc w:val="both"/>
        <w:rPr>
          <w:rFonts w:ascii="Times New Roman" w:hAnsi="Times New Roman" w:cs="Times New Roman"/>
          <w:sz w:val="24"/>
          <w:szCs w:val="24"/>
        </w:rPr>
      </w:pPr>
      <w:r w:rsidRPr="007B1569">
        <w:rPr>
          <w:rFonts w:ascii="Times New Roman" w:hAnsi="Times New Roman" w:cs="Times New Roman"/>
          <w:sz w:val="24"/>
          <w:szCs w:val="24"/>
        </w:rPr>
        <w:t>De façon globale, beaucoup reste à faire pour renforcer le cadre institutionnel des ministères techniques et des organisations de la société civile impliqués dans la gestion de la biodiversité. Le nombre élevé de ces derni</w:t>
      </w:r>
      <w:r>
        <w:rPr>
          <w:rFonts w:ascii="Times New Roman" w:hAnsi="Times New Roman" w:cs="Times New Roman"/>
          <w:sz w:val="24"/>
          <w:szCs w:val="24"/>
        </w:rPr>
        <w:t>è</w:t>
      </w:r>
      <w:r w:rsidRPr="007B1569">
        <w:rPr>
          <w:rFonts w:ascii="Times New Roman" w:hAnsi="Times New Roman" w:cs="Times New Roman"/>
          <w:sz w:val="24"/>
          <w:szCs w:val="24"/>
        </w:rPr>
        <w:t>r</w:t>
      </w:r>
      <w:r>
        <w:rPr>
          <w:rFonts w:ascii="Times New Roman" w:hAnsi="Times New Roman" w:cs="Times New Roman"/>
          <w:sz w:val="24"/>
          <w:szCs w:val="24"/>
        </w:rPr>
        <w:t>e</w:t>
      </w:r>
      <w:r w:rsidRPr="007B1569">
        <w:rPr>
          <w:rFonts w:ascii="Times New Roman" w:hAnsi="Times New Roman" w:cs="Times New Roman"/>
          <w:sz w:val="24"/>
          <w:szCs w:val="24"/>
        </w:rPr>
        <w:t>s et leur volonté d’œuvrer pour l’environnement sont des forces non négligeables mais il y a nécessité de renforcer leur représentativité dans les instances de planification et leurs capacités à répondre efficacement aux sollicitations des populations.</w:t>
      </w:r>
    </w:p>
    <w:p w14:paraId="54A58C3A"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p>
    <w:p w14:paraId="6E01633C" w14:textId="77777777" w:rsidR="003D4DBF" w:rsidRPr="00E056B1" w:rsidRDefault="003D4DBF" w:rsidP="00E50666">
      <w:pPr>
        <w:pStyle w:val="Paragraphedeliste"/>
        <w:numPr>
          <w:ilvl w:val="0"/>
          <w:numId w:val="9"/>
        </w:numPr>
        <w:autoSpaceDE w:val="0"/>
        <w:autoSpaceDN w:val="0"/>
        <w:adjustRightInd w:val="0"/>
        <w:spacing w:after="0" w:line="240" w:lineRule="auto"/>
        <w:outlineLvl w:val="2"/>
        <w:rPr>
          <w:rFonts w:ascii="Times New Roman" w:hAnsi="Times New Roman" w:cs="Times New Roman"/>
          <w:b/>
          <w:sz w:val="24"/>
          <w:szCs w:val="24"/>
        </w:rPr>
      </w:pPr>
      <w:bookmarkStart w:id="17" w:name="_Toc533413743"/>
      <w:r w:rsidRPr="00E056B1">
        <w:rPr>
          <w:rFonts w:ascii="Times New Roman" w:hAnsi="Times New Roman" w:cs="Times New Roman"/>
          <w:b/>
          <w:sz w:val="24"/>
          <w:szCs w:val="24"/>
        </w:rPr>
        <w:t>Sur le plan Technique</w:t>
      </w:r>
      <w:bookmarkEnd w:id="17"/>
    </w:p>
    <w:p w14:paraId="4648F0A7" w14:textId="77777777" w:rsidR="003D4DBF" w:rsidRPr="00E056B1" w:rsidRDefault="003D4DBF" w:rsidP="003D4DBF">
      <w:pPr>
        <w:spacing w:after="0" w:line="240" w:lineRule="auto"/>
        <w:jc w:val="both"/>
        <w:rPr>
          <w:rFonts w:ascii="Times New Roman" w:hAnsi="Times New Roman" w:cs="Times New Roman"/>
          <w:sz w:val="24"/>
          <w:szCs w:val="24"/>
        </w:rPr>
      </w:pPr>
    </w:p>
    <w:p w14:paraId="77451A3F" w14:textId="77777777" w:rsidR="003D4DBF" w:rsidRPr="00E056B1" w:rsidRDefault="003D4DBF" w:rsidP="003D4DB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Les espaces protégé</w:t>
      </w:r>
      <w:r w:rsidRPr="00E056B1">
        <w:rPr>
          <w:rFonts w:ascii="Times New Roman" w:hAnsi="Times New Roman" w:cs="Times New Roman"/>
          <w:sz w:val="24"/>
          <w:szCs w:val="24"/>
        </w:rPr>
        <w:t xml:space="preserve">s destinés à conserver durablement la diversité biologique ne disposent pas </w:t>
      </w:r>
      <w:r>
        <w:rPr>
          <w:rFonts w:ascii="Times New Roman" w:hAnsi="Times New Roman" w:cs="Times New Roman"/>
          <w:sz w:val="24"/>
          <w:szCs w:val="24"/>
        </w:rPr>
        <w:t xml:space="preserve">toutes </w:t>
      </w:r>
      <w:r w:rsidRPr="00E056B1">
        <w:rPr>
          <w:rFonts w:ascii="Times New Roman" w:hAnsi="Times New Roman" w:cs="Times New Roman"/>
          <w:sz w:val="24"/>
          <w:szCs w:val="24"/>
        </w:rPr>
        <w:t>de plan d’aménagement</w:t>
      </w:r>
      <w:r>
        <w:rPr>
          <w:rFonts w:ascii="Times New Roman" w:hAnsi="Times New Roman" w:cs="Times New Roman"/>
          <w:sz w:val="24"/>
          <w:szCs w:val="24"/>
        </w:rPr>
        <w:t xml:space="preserve"> et de gestion</w:t>
      </w:r>
      <w:r w:rsidRPr="00E056B1">
        <w:rPr>
          <w:rFonts w:ascii="Times New Roman" w:hAnsi="Times New Roman" w:cs="Times New Roman"/>
          <w:sz w:val="24"/>
          <w:szCs w:val="24"/>
        </w:rPr>
        <w:t xml:space="preserve">. </w:t>
      </w:r>
      <w:r>
        <w:rPr>
          <w:rFonts w:ascii="Times New Roman" w:hAnsi="Times New Roman" w:cs="Times New Roman"/>
          <w:sz w:val="24"/>
          <w:szCs w:val="24"/>
        </w:rPr>
        <w:t>Celles qui en disposent sont :</w:t>
      </w:r>
      <w:r w:rsidRPr="00E056B1">
        <w:rPr>
          <w:rFonts w:ascii="Times New Roman" w:hAnsi="Times New Roman" w:cs="Times New Roman"/>
          <w:sz w:val="24"/>
          <w:szCs w:val="24"/>
        </w:rPr>
        <w:t xml:space="preserve"> Forêts Classées de Missahoé, d’Assimé et l’aire protégée de Bayémé, </w:t>
      </w:r>
      <w:r w:rsidRPr="00E056B1">
        <w:rPr>
          <w:rFonts w:ascii="Times New Roman" w:eastAsiaTheme="majorEastAsia" w:hAnsi="Times New Roman" w:cs="Times New Roman"/>
          <w:iCs/>
          <w:sz w:val="24"/>
          <w:szCs w:val="24"/>
        </w:rPr>
        <w:t xml:space="preserve">Parc Fazao-Malfakassa, Forêts d’Abdoulaye, d’Aledjo et de Balam, </w:t>
      </w:r>
      <w:r w:rsidRPr="00E056B1">
        <w:rPr>
          <w:rFonts w:ascii="Times New Roman" w:hAnsi="Times New Roman" w:cs="Times New Roman"/>
          <w:sz w:val="24"/>
          <w:szCs w:val="24"/>
        </w:rPr>
        <w:t xml:space="preserve">la Réserve de faune de Togodo et les forêts sacrées de Godjin, d’Akissa, </w:t>
      </w:r>
      <w:r>
        <w:rPr>
          <w:rFonts w:ascii="Times New Roman" w:hAnsi="Times New Roman" w:cs="Times New Roman"/>
          <w:sz w:val="24"/>
          <w:szCs w:val="24"/>
        </w:rPr>
        <w:t xml:space="preserve">mais ces </w:t>
      </w:r>
      <w:r w:rsidRPr="00E056B1">
        <w:rPr>
          <w:rFonts w:ascii="Times New Roman" w:hAnsi="Times New Roman" w:cs="Times New Roman"/>
          <w:sz w:val="24"/>
          <w:szCs w:val="24"/>
        </w:rPr>
        <w:t xml:space="preserve">plans d’aménagement ne sont pas mis en œuvre. L’absence des plans de gestion pour la plupart des aires protégées et la non mise en œuvre de ceux qui existent sont les facteurs qui expliquent la non réalisation de la majorité des actions envisagées dans le programme de sécurisation du dispositif national de conservation. </w:t>
      </w:r>
    </w:p>
    <w:p w14:paraId="310CCC16" w14:textId="77777777" w:rsidR="003D4DBF" w:rsidRPr="00E056B1" w:rsidRDefault="003D4DBF" w:rsidP="003D4DBF">
      <w:pPr>
        <w:spacing w:after="0" w:line="240" w:lineRule="auto"/>
        <w:jc w:val="both"/>
        <w:rPr>
          <w:rFonts w:ascii="Times New Roman" w:hAnsi="Times New Roman" w:cs="Times New Roman"/>
          <w:sz w:val="24"/>
          <w:szCs w:val="24"/>
        </w:rPr>
      </w:pPr>
    </w:p>
    <w:p w14:paraId="52FE42BB" w14:textId="77777777" w:rsidR="003D4DBF" w:rsidRPr="00E056B1" w:rsidRDefault="003D4DBF" w:rsidP="003D4DBF">
      <w:pPr>
        <w:pStyle w:val="Paragraphedeliste"/>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Sur les trois ensembles de zones humides (Oti-Kéran-Mandouri ; Togodo, Littoral) inscrites sur les sites Ramsar seul trois sites de la l’ensemble du littoral disposent de plans de gestion mais non encore mis en œuvre. </w:t>
      </w:r>
      <w:r w:rsidRPr="00E056B1">
        <w:rPr>
          <w:rFonts w:ascii="Times New Roman" w:hAnsi="Times New Roman" w:cs="Times New Roman"/>
          <w:sz w:val="24"/>
          <w:szCs w:val="24"/>
        </w:rPr>
        <w:t>Les activités du centre national des semences forestières restent très faibles. Dans le cadre du Mécanisme pour les programmes forestiers nationaux, ce centre était censé repérer des portes graines de la flore togolaise et suivre la phénologie des arbres. Mais ce programme n’a pas pu être exécuté.</w:t>
      </w:r>
    </w:p>
    <w:p w14:paraId="7F52D87F" w14:textId="77777777" w:rsidR="003D4DBF" w:rsidRPr="00E056B1" w:rsidRDefault="003D4DBF" w:rsidP="003D4DBF">
      <w:pPr>
        <w:pStyle w:val="Paragraphedeliste"/>
        <w:spacing w:after="0" w:line="240" w:lineRule="auto"/>
        <w:ind w:left="0"/>
        <w:jc w:val="both"/>
        <w:rPr>
          <w:rFonts w:ascii="Times New Roman" w:hAnsi="Times New Roman" w:cs="Times New Roman"/>
          <w:sz w:val="24"/>
          <w:szCs w:val="24"/>
        </w:rPr>
      </w:pPr>
    </w:p>
    <w:p w14:paraId="284874CD" w14:textId="77777777" w:rsidR="003D4DBF" w:rsidRPr="00E056B1" w:rsidRDefault="003D4DBF" w:rsidP="00E50666">
      <w:pPr>
        <w:pStyle w:val="Paragraphedeliste"/>
        <w:numPr>
          <w:ilvl w:val="0"/>
          <w:numId w:val="9"/>
        </w:numPr>
        <w:autoSpaceDE w:val="0"/>
        <w:autoSpaceDN w:val="0"/>
        <w:adjustRightInd w:val="0"/>
        <w:spacing w:after="0" w:line="240" w:lineRule="auto"/>
        <w:outlineLvl w:val="2"/>
        <w:rPr>
          <w:rFonts w:ascii="Times New Roman" w:hAnsi="Times New Roman" w:cs="Times New Roman"/>
          <w:b/>
          <w:sz w:val="24"/>
          <w:szCs w:val="24"/>
        </w:rPr>
      </w:pPr>
      <w:bookmarkStart w:id="18" w:name="_Toc533413744"/>
      <w:r w:rsidRPr="00E056B1">
        <w:rPr>
          <w:rFonts w:ascii="Times New Roman" w:hAnsi="Times New Roman" w:cs="Times New Roman"/>
          <w:b/>
          <w:sz w:val="24"/>
          <w:szCs w:val="24"/>
        </w:rPr>
        <w:t>Sur le plan socio-économique</w:t>
      </w:r>
      <w:bookmarkEnd w:id="18"/>
    </w:p>
    <w:p w14:paraId="7EB5AF44" w14:textId="77777777" w:rsidR="003D4DBF" w:rsidRPr="00E056B1" w:rsidRDefault="003D4DBF" w:rsidP="003D4DBF">
      <w:pPr>
        <w:pStyle w:val="Style19"/>
        <w:widowControl/>
        <w:spacing w:line="240" w:lineRule="auto"/>
        <w:rPr>
          <w:rStyle w:val="FontStyle147"/>
          <w:sz w:val="24"/>
          <w:szCs w:val="24"/>
        </w:rPr>
      </w:pPr>
    </w:p>
    <w:p w14:paraId="1B11B8E5" w14:textId="704A6FB7" w:rsidR="003D4DBF" w:rsidRDefault="003D4DBF" w:rsidP="003D4DBF">
      <w:pPr>
        <w:autoSpaceDE w:val="0"/>
        <w:autoSpaceDN w:val="0"/>
        <w:adjustRightInd w:val="0"/>
        <w:snapToGrid w:val="0"/>
        <w:spacing w:after="0" w:line="240" w:lineRule="auto"/>
        <w:jc w:val="both"/>
        <w:rPr>
          <w:rFonts w:ascii="Times New Roman" w:hAnsi="Times New Roman" w:cs="Times New Roman"/>
          <w:bCs/>
          <w:sz w:val="24"/>
          <w:szCs w:val="24"/>
        </w:rPr>
      </w:pPr>
      <w:r w:rsidRPr="00E056B1">
        <w:rPr>
          <w:rStyle w:val="FontStyle147"/>
          <w:sz w:val="24"/>
          <w:szCs w:val="24"/>
        </w:rPr>
        <w:t xml:space="preserve">Le principal obstacle de la mise en œuvre des actions de conservation et d’utilisation durables de la diversité biologique est relatif à l’état de paupérisation des populations qui recourent le plus souvent aux ressources naturelles pour assurer leur survie. Ce qui réduit l’impact des actions menées sur le terrain. A cela, l’on peut ajouter le fait que certains programmes et projets n’aient pu être exécutés, faute de financement. </w:t>
      </w:r>
      <w:r>
        <w:rPr>
          <w:rFonts w:ascii="Times New Roman" w:hAnsi="Times New Roman" w:cs="Times New Roman"/>
          <w:bCs/>
          <w:sz w:val="24"/>
          <w:szCs w:val="24"/>
        </w:rPr>
        <w:t>En outre, on note une faible valorisation des aires protégées par manque d’infrastructures d’amenagement (hôtelières, pistes d’accès, points d’eau etc) et des activités génératrices de revenus autour de ces aires protégées.</w:t>
      </w:r>
    </w:p>
    <w:p w14:paraId="11EEDFF8" w14:textId="77777777" w:rsidR="003D4DBF" w:rsidRPr="00E056B1" w:rsidRDefault="003D4DBF" w:rsidP="003D4DBF">
      <w:pPr>
        <w:pStyle w:val="Style19"/>
        <w:widowControl/>
        <w:spacing w:line="240" w:lineRule="auto"/>
        <w:rPr>
          <w:rFonts w:ascii="Times New Roman" w:hAnsi="Times New Roman" w:cs="Times New Roman"/>
        </w:rPr>
      </w:pPr>
    </w:p>
    <w:p w14:paraId="1412D81B" w14:textId="77777777" w:rsidR="003D4DBF" w:rsidRPr="008C258A" w:rsidRDefault="003D4DBF" w:rsidP="00E50666">
      <w:pPr>
        <w:pStyle w:val="Paragraphedeliste"/>
        <w:numPr>
          <w:ilvl w:val="0"/>
          <w:numId w:val="9"/>
        </w:numPr>
        <w:autoSpaceDE w:val="0"/>
        <w:autoSpaceDN w:val="0"/>
        <w:adjustRightInd w:val="0"/>
        <w:spacing w:after="0" w:line="240" w:lineRule="auto"/>
        <w:outlineLvl w:val="2"/>
        <w:rPr>
          <w:rFonts w:ascii="Times New Roman" w:hAnsi="Times New Roman" w:cs="Times New Roman"/>
          <w:b/>
          <w:sz w:val="24"/>
          <w:szCs w:val="24"/>
        </w:rPr>
      </w:pPr>
      <w:bookmarkStart w:id="19" w:name="_Toc533413745"/>
      <w:r w:rsidRPr="008C258A">
        <w:rPr>
          <w:rFonts w:ascii="Times New Roman" w:hAnsi="Times New Roman" w:cs="Times New Roman"/>
          <w:b/>
          <w:sz w:val="24"/>
          <w:szCs w:val="24"/>
        </w:rPr>
        <w:t>Sur le plan de la communication</w:t>
      </w:r>
      <w:bookmarkEnd w:id="19"/>
    </w:p>
    <w:p w14:paraId="31F94153" w14:textId="77777777" w:rsidR="003D4DBF" w:rsidRPr="00E056B1" w:rsidRDefault="003D4DBF" w:rsidP="003D4DBF">
      <w:pPr>
        <w:pStyle w:val="Style19"/>
        <w:widowControl/>
        <w:spacing w:line="240" w:lineRule="auto"/>
        <w:rPr>
          <w:rStyle w:val="FontStyle147"/>
          <w:sz w:val="24"/>
          <w:szCs w:val="24"/>
        </w:rPr>
      </w:pPr>
    </w:p>
    <w:p w14:paraId="3C08907B" w14:textId="36AD62A7" w:rsidR="00DD6C26" w:rsidRPr="00E056B1" w:rsidRDefault="003D4DBF" w:rsidP="008C258A">
      <w:pPr>
        <w:pStyle w:val="Style19"/>
        <w:widowControl/>
        <w:spacing w:line="240" w:lineRule="auto"/>
        <w:rPr>
          <w:rFonts w:ascii="Times New Roman" w:hAnsi="Times New Roman" w:cs="Times New Roman"/>
          <w:bCs/>
          <w:color w:val="000000"/>
        </w:rPr>
      </w:pPr>
      <w:r w:rsidRPr="00E056B1">
        <w:rPr>
          <w:rStyle w:val="FontStyle147"/>
          <w:sz w:val="24"/>
          <w:szCs w:val="24"/>
        </w:rPr>
        <w:t>Le déficit d’information relative à l’existence d’une stratégie et d’un plan national de conservation et d’utilisation durable de la diversité biologique constitue, dans une certaine mesure, un obstacle, car une bonne partie de la population ignore leur existence.</w:t>
      </w:r>
      <w:r w:rsidR="00DD6C26" w:rsidRPr="00E056B1">
        <w:rPr>
          <w:rFonts w:ascii="Times New Roman" w:hAnsi="Times New Roman" w:cs="Times New Roman"/>
          <w:bCs/>
          <w:color w:val="000000"/>
        </w:rPr>
        <w:br w:type="page"/>
      </w:r>
    </w:p>
    <w:p w14:paraId="2F9B8604" w14:textId="77777777" w:rsidR="009465C8" w:rsidRPr="00AD6D69" w:rsidRDefault="009465C8" w:rsidP="00AD6D69">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20" w:name="_Toc533413746"/>
      <w:r w:rsidRPr="00AD6D69">
        <w:rPr>
          <w:rFonts w:ascii="Times New Roman Gras" w:eastAsiaTheme="majorEastAsia" w:hAnsi="Times New Roman Gras" w:cs="Times New Roman"/>
          <w:b/>
          <w:bCs/>
          <w:caps/>
          <w:color w:val="2E74B5" w:themeColor="accent1" w:themeShade="BF"/>
          <w:sz w:val="28"/>
          <w:szCs w:val="28"/>
        </w:rPr>
        <w:t>II. Mesures de mise en œuvre, efficacité, obstacles et beso</w:t>
      </w:r>
      <w:r w:rsidR="00272416" w:rsidRPr="00AD6D69">
        <w:rPr>
          <w:rFonts w:ascii="Times New Roman Gras" w:eastAsiaTheme="majorEastAsia" w:hAnsi="Times New Roman Gras" w:cs="Times New Roman"/>
          <w:b/>
          <w:bCs/>
          <w:caps/>
          <w:color w:val="2E74B5" w:themeColor="accent1" w:themeShade="BF"/>
          <w:sz w:val="28"/>
          <w:szCs w:val="28"/>
        </w:rPr>
        <w:t>ins scientifiques et techniques</w:t>
      </w:r>
      <w:bookmarkEnd w:id="20"/>
    </w:p>
    <w:p w14:paraId="7C711E4B" w14:textId="77777777" w:rsidR="00077B88" w:rsidRDefault="00077B88" w:rsidP="00F9674D">
      <w:pPr>
        <w:spacing w:after="0" w:line="240" w:lineRule="auto"/>
        <w:jc w:val="both"/>
        <w:rPr>
          <w:rFonts w:ascii="Times New Roman" w:hAnsi="Times New Roman" w:cs="Times New Roman"/>
          <w:b/>
          <w:color w:val="000000"/>
          <w:sz w:val="24"/>
          <w:szCs w:val="24"/>
        </w:rPr>
      </w:pPr>
    </w:p>
    <w:p w14:paraId="1AA41118" w14:textId="77777777" w:rsidR="00F9674D" w:rsidRPr="00F9674D" w:rsidRDefault="00F9674D" w:rsidP="003A74BD">
      <w:pPr>
        <w:spacing w:after="0" w:line="240" w:lineRule="auto"/>
        <w:outlineLvl w:val="1"/>
        <w:rPr>
          <w:rFonts w:ascii="Times New Roman" w:hAnsi="Times New Roman" w:cs="Times New Roman"/>
          <w:b/>
          <w:iCs/>
          <w:sz w:val="24"/>
          <w:szCs w:val="24"/>
          <w:lang w:val="fr-CA"/>
        </w:rPr>
      </w:pPr>
      <w:bookmarkStart w:id="21" w:name="_Toc533413747"/>
      <w:r w:rsidRPr="00F9674D">
        <w:rPr>
          <w:rFonts w:ascii="Times New Roman" w:hAnsi="Times New Roman" w:cs="Times New Roman"/>
          <w:b/>
          <w:iCs/>
          <w:sz w:val="24"/>
          <w:szCs w:val="24"/>
          <w:lang w:val="fr-CA"/>
        </w:rPr>
        <w:t xml:space="preserve">2.1. Méthodes utilisées pour évaluer la </w:t>
      </w:r>
      <w:r w:rsidR="0005198E">
        <w:rPr>
          <w:rFonts w:ascii="Times New Roman" w:hAnsi="Times New Roman" w:cs="Times New Roman"/>
          <w:b/>
          <w:iCs/>
          <w:sz w:val="24"/>
          <w:szCs w:val="24"/>
          <w:lang w:val="fr-CA"/>
        </w:rPr>
        <w:t xml:space="preserve">mise en œuvre </w:t>
      </w:r>
      <w:r w:rsidRPr="00F9674D">
        <w:rPr>
          <w:rFonts w:ascii="Times New Roman" w:hAnsi="Times New Roman" w:cs="Times New Roman"/>
          <w:b/>
          <w:iCs/>
          <w:sz w:val="24"/>
          <w:szCs w:val="24"/>
          <w:lang w:val="fr-CA"/>
        </w:rPr>
        <w:t>des objectifs nationaux</w:t>
      </w:r>
      <w:bookmarkEnd w:id="21"/>
    </w:p>
    <w:p w14:paraId="23308449" w14:textId="77777777" w:rsidR="00F9674D" w:rsidRDefault="00F9674D" w:rsidP="00F9674D">
      <w:pPr>
        <w:spacing w:after="0" w:line="240" w:lineRule="auto"/>
        <w:jc w:val="both"/>
        <w:rPr>
          <w:rFonts w:ascii="Times New Roman" w:hAnsi="Times New Roman" w:cs="Times New Roman"/>
          <w:b/>
          <w:color w:val="000000"/>
          <w:sz w:val="24"/>
          <w:szCs w:val="24"/>
        </w:rPr>
      </w:pPr>
    </w:p>
    <w:p w14:paraId="174FB1B3" w14:textId="06213FD7" w:rsidR="00F9674D" w:rsidRPr="005D5D9B" w:rsidRDefault="00F9674D" w:rsidP="00F9674D">
      <w:pPr>
        <w:spacing w:after="0" w:line="240" w:lineRule="auto"/>
        <w:jc w:val="both"/>
        <w:rPr>
          <w:rFonts w:ascii="Times New Roman" w:hAnsi="Times New Roman"/>
          <w:sz w:val="24"/>
          <w:szCs w:val="24"/>
        </w:rPr>
      </w:pPr>
      <w:r w:rsidRPr="005D5D9B">
        <w:rPr>
          <w:rFonts w:ascii="Times New Roman" w:hAnsi="Times New Roman"/>
          <w:sz w:val="24"/>
          <w:szCs w:val="24"/>
        </w:rPr>
        <w:t>L’évaluation de la mise en œuvre des objectifs nationaux pour la conservation de la diversité biologique est conduite à travers l’analyse des activités réalisées par les différentes parties prenantes impliquées dans la gestion des différentes composantes de la biodiversité au Togo. A cet effet, une campagne de collecte de données a été organisée à travers tout le pays. Les données relatives aux activités en lien avec la préservation et la conservation de la biodiversité ont été collectées à travers une enquête auprès des acteurs aussi bien à Lomé qu’à l’intérieur du pays. Pour ce faire des formulaires de collecte de données ont été confectionnés conformément aux différents indicateurs à considérer pour la réalisation de chaque objectif national. Ces formulaires ont été adressés aux acteurs de différentes institutions</w:t>
      </w:r>
      <w:r w:rsidR="007F39B6">
        <w:rPr>
          <w:rFonts w:ascii="Times New Roman" w:hAnsi="Times New Roman"/>
          <w:sz w:val="24"/>
          <w:szCs w:val="24"/>
        </w:rPr>
        <w:t xml:space="preserve"> </w:t>
      </w:r>
      <w:r w:rsidRPr="005D5D9B">
        <w:rPr>
          <w:rFonts w:ascii="Times New Roman" w:hAnsi="Times New Roman"/>
          <w:sz w:val="24"/>
          <w:szCs w:val="24"/>
        </w:rPr>
        <w:t xml:space="preserve"> afin qu’ils puissent fournir des informations sur les activités réalisées au sein de leurs structures. </w:t>
      </w:r>
      <w:r w:rsidR="00986D95">
        <w:rPr>
          <w:rFonts w:ascii="Times New Roman" w:hAnsi="Times New Roman"/>
          <w:sz w:val="24"/>
          <w:szCs w:val="24"/>
        </w:rPr>
        <w:t>Au total 76 structures ont été consultées dont 51,31 % constitués par des structures étatiques et 48,69 % des structures non étatiques en majorités les ONG et associations et quelques acteurs privés.</w:t>
      </w:r>
    </w:p>
    <w:p w14:paraId="6760D6F3" w14:textId="77777777" w:rsidR="00F9674D" w:rsidRPr="005D5D9B" w:rsidRDefault="00F9674D" w:rsidP="00F9674D">
      <w:pPr>
        <w:spacing w:after="0" w:line="240" w:lineRule="auto"/>
        <w:jc w:val="both"/>
        <w:rPr>
          <w:rFonts w:ascii="Times New Roman" w:hAnsi="Times New Roman"/>
          <w:sz w:val="24"/>
          <w:szCs w:val="24"/>
        </w:rPr>
      </w:pPr>
    </w:p>
    <w:p w14:paraId="09230797" w14:textId="77777777" w:rsidR="00F9674D" w:rsidRPr="005D5D9B" w:rsidRDefault="00F9674D" w:rsidP="00F9674D">
      <w:pPr>
        <w:spacing w:after="0" w:line="240" w:lineRule="auto"/>
        <w:jc w:val="both"/>
        <w:rPr>
          <w:rFonts w:ascii="Times New Roman" w:hAnsi="Times New Roman"/>
          <w:sz w:val="24"/>
          <w:szCs w:val="24"/>
        </w:rPr>
      </w:pPr>
      <w:r w:rsidRPr="005D5D9B">
        <w:rPr>
          <w:rFonts w:ascii="Times New Roman" w:hAnsi="Times New Roman"/>
          <w:sz w:val="24"/>
          <w:szCs w:val="24"/>
        </w:rPr>
        <w:t xml:space="preserve">Les acteurs ayant fourni des informations sont divers et constitués par des </w:t>
      </w:r>
      <w:r w:rsidR="007F39B6">
        <w:rPr>
          <w:rFonts w:ascii="Times New Roman" w:hAnsi="Times New Roman"/>
          <w:sz w:val="24"/>
          <w:szCs w:val="24"/>
        </w:rPr>
        <w:t>strutures étatiques</w:t>
      </w:r>
      <w:r w:rsidRPr="005D5D9B">
        <w:rPr>
          <w:rFonts w:ascii="Times New Roman" w:hAnsi="Times New Roman"/>
          <w:sz w:val="24"/>
          <w:szCs w:val="24"/>
        </w:rPr>
        <w:t xml:space="preserve"> et leur</w:t>
      </w:r>
      <w:r w:rsidR="007F39B6">
        <w:rPr>
          <w:rFonts w:ascii="Times New Roman" w:hAnsi="Times New Roman"/>
          <w:sz w:val="24"/>
          <w:szCs w:val="24"/>
        </w:rPr>
        <w:t>s</w:t>
      </w:r>
      <w:r w:rsidRPr="005D5D9B">
        <w:rPr>
          <w:rFonts w:ascii="Times New Roman" w:hAnsi="Times New Roman"/>
          <w:sz w:val="24"/>
          <w:szCs w:val="24"/>
        </w:rPr>
        <w:t xml:space="preserve"> démembrement</w:t>
      </w:r>
      <w:r w:rsidR="007F39B6">
        <w:rPr>
          <w:rFonts w:ascii="Times New Roman" w:hAnsi="Times New Roman"/>
          <w:sz w:val="24"/>
          <w:szCs w:val="24"/>
        </w:rPr>
        <w:t>s</w:t>
      </w:r>
      <w:r w:rsidRPr="005D5D9B">
        <w:rPr>
          <w:rFonts w:ascii="Times New Roman" w:hAnsi="Times New Roman"/>
          <w:sz w:val="24"/>
          <w:szCs w:val="24"/>
        </w:rPr>
        <w:t>, des organisations de la société civile, les collectivités locales, les chefs programmes et projets en cours d’exécution au Togo grâce aux appuis des partenaires techniques et financiers, etc. Il faut également rappeler que ces enquêtes ont été complétées par des interviews et des consultations des personnes ressources ayant des activités en lien avec la gestion de la diversité biologique.</w:t>
      </w:r>
    </w:p>
    <w:p w14:paraId="1FE6E122" w14:textId="77777777" w:rsidR="00F9674D" w:rsidRPr="005D5D9B" w:rsidRDefault="00F9674D" w:rsidP="00F9674D">
      <w:pPr>
        <w:spacing w:after="0" w:line="240" w:lineRule="auto"/>
        <w:jc w:val="both"/>
        <w:rPr>
          <w:rFonts w:ascii="Times New Roman" w:hAnsi="Times New Roman"/>
          <w:sz w:val="24"/>
          <w:szCs w:val="24"/>
        </w:rPr>
      </w:pPr>
    </w:p>
    <w:p w14:paraId="77578E72" w14:textId="77777777" w:rsidR="00F9674D" w:rsidRPr="005D5D9B" w:rsidRDefault="00F9674D" w:rsidP="00F9674D">
      <w:pPr>
        <w:autoSpaceDE w:val="0"/>
        <w:autoSpaceDN w:val="0"/>
        <w:adjustRightInd w:val="0"/>
        <w:spacing w:after="0" w:line="240" w:lineRule="auto"/>
        <w:jc w:val="both"/>
        <w:rPr>
          <w:rFonts w:ascii="Times New Roman" w:hAnsi="Times New Roman"/>
          <w:sz w:val="24"/>
          <w:szCs w:val="24"/>
        </w:rPr>
      </w:pPr>
      <w:r w:rsidRPr="005D5D9B">
        <w:rPr>
          <w:rFonts w:ascii="Times New Roman" w:hAnsi="Times New Roman"/>
          <w:sz w:val="24"/>
          <w:szCs w:val="24"/>
        </w:rPr>
        <w:t>Les informations collectées auprès des acteurs ont été dépouillées et saisies pour constituer une base de données globale sur les actions entreprises sur l’ensemble des 20 objectifs nationaux pour la conservation de la diversité biologique. Sur la base de ces informations, des analyses thématiques ont été réalisées pour évaluer la contribution des activités menées au titre de la mise en œuvre de chacun des objectifs nationaux.</w:t>
      </w:r>
    </w:p>
    <w:p w14:paraId="750094FC" w14:textId="77777777" w:rsidR="00F9674D" w:rsidRPr="00E056B1" w:rsidRDefault="00F9674D" w:rsidP="00F9674D">
      <w:pPr>
        <w:spacing w:after="0" w:line="240" w:lineRule="auto"/>
        <w:jc w:val="both"/>
        <w:rPr>
          <w:rFonts w:ascii="Times New Roman" w:hAnsi="Times New Roman" w:cs="Times New Roman"/>
          <w:b/>
          <w:color w:val="000000"/>
          <w:sz w:val="24"/>
          <w:szCs w:val="24"/>
        </w:rPr>
      </w:pPr>
    </w:p>
    <w:p w14:paraId="32608534" w14:textId="77777777" w:rsidR="009465C8" w:rsidRPr="00E056B1" w:rsidRDefault="00F9674D" w:rsidP="003A74BD">
      <w:pPr>
        <w:spacing w:after="0" w:line="240" w:lineRule="auto"/>
        <w:outlineLvl w:val="1"/>
        <w:rPr>
          <w:rFonts w:ascii="Times New Roman" w:hAnsi="Times New Roman" w:cs="Times New Roman"/>
          <w:b/>
          <w:bCs/>
          <w:color w:val="000000"/>
          <w:sz w:val="24"/>
          <w:szCs w:val="24"/>
        </w:rPr>
      </w:pPr>
      <w:bookmarkStart w:id="22" w:name="_Toc533413748"/>
      <w:r>
        <w:rPr>
          <w:rFonts w:ascii="Times New Roman" w:hAnsi="Times New Roman" w:cs="Times New Roman"/>
          <w:b/>
          <w:color w:val="000000"/>
          <w:sz w:val="24"/>
          <w:szCs w:val="24"/>
        </w:rPr>
        <w:t>2.2</w:t>
      </w:r>
      <w:r w:rsidR="009465C8" w:rsidRPr="00E056B1">
        <w:rPr>
          <w:rFonts w:ascii="Times New Roman" w:hAnsi="Times New Roman" w:cs="Times New Roman"/>
          <w:b/>
          <w:color w:val="000000"/>
          <w:sz w:val="24"/>
          <w:szCs w:val="24"/>
        </w:rPr>
        <w:t xml:space="preserve">. </w:t>
      </w:r>
      <w:r w:rsidR="004170D4" w:rsidRPr="00E056B1">
        <w:rPr>
          <w:rFonts w:ascii="Times New Roman" w:hAnsi="Times New Roman" w:cs="Times New Roman"/>
          <w:b/>
          <w:color w:val="000000"/>
          <w:sz w:val="24"/>
          <w:szCs w:val="24"/>
        </w:rPr>
        <w:t xml:space="preserve">Actions prévues </w:t>
      </w:r>
      <w:r w:rsidR="009465C8" w:rsidRPr="00E056B1">
        <w:rPr>
          <w:rFonts w:ascii="Times New Roman" w:hAnsi="Times New Roman" w:cs="Times New Roman"/>
          <w:b/>
          <w:color w:val="000000"/>
          <w:sz w:val="24"/>
          <w:szCs w:val="24"/>
        </w:rPr>
        <w:t>pour la mise en œuvre de la SPANB</w:t>
      </w:r>
      <w:r w:rsidR="00A66527" w:rsidRPr="00E056B1">
        <w:rPr>
          <w:rFonts w:ascii="Times New Roman" w:hAnsi="Times New Roman" w:cs="Times New Roman"/>
          <w:b/>
          <w:color w:val="000000"/>
          <w:sz w:val="24"/>
          <w:szCs w:val="24"/>
        </w:rPr>
        <w:t xml:space="preserve"> du Togo</w:t>
      </w:r>
      <w:bookmarkEnd w:id="22"/>
    </w:p>
    <w:p w14:paraId="3BE2E6E5" w14:textId="77777777" w:rsidR="00F30E79" w:rsidRPr="00E056B1" w:rsidRDefault="00F30E79" w:rsidP="00E056B1">
      <w:pPr>
        <w:autoSpaceDE w:val="0"/>
        <w:autoSpaceDN w:val="0"/>
        <w:adjustRightInd w:val="0"/>
        <w:spacing w:after="0" w:line="240" w:lineRule="auto"/>
        <w:jc w:val="both"/>
        <w:rPr>
          <w:rFonts w:ascii="Times New Roman" w:hAnsi="Times New Roman" w:cs="Times New Roman"/>
          <w:b/>
          <w:sz w:val="24"/>
          <w:szCs w:val="24"/>
        </w:rPr>
      </w:pPr>
    </w:p>
    <w:p w14:paraId="0AC0B237" w14:textId="2C0D6C19" w:rsidR="00D61FC5" w:rsidRDefault="007F39B6" w:rsidP="00E056B1">
      <w:pPr>
        <w:spacing w:after="0" w:line="240" w:lineRule="auto"/>
        <w:jc w:val="both"/>
        <w:rPr>
          <w:rFonts w:ascii="Times New Roman" w:hAnsi="Times New Roman" w:cs="Times New Roman"/>
          <w:iCs/>
          <w:sz w:val="24"/>
          <w:szCs w:val="24"/>
          <w:lang w:val="fr-CA"/>
        </w:rPr>
      </w:pPr>
      <w:r w:rsidRPr="007F39B6">
        <w:rPr>
          <w:rFonts w:ascii="Times New Roman" w:hAnsi="Times New Roman" w:cs="Times New Roman"/>
          <w:color w:val="000000"/>
          <w:sz w:val="24"/>
          <w:szCs w:val="24"/>
        </w:rPr>
        <w:t>Dans le cadre de la mise e</w:t>
      </w:r>
      <w:r w:rsidR="00BE216A">
        <w:rPr>
          <w:rFonts w:ascii="Times New Roman" w:hAnsi="Times New Roman" w:cs="Times New Roman"/>
          <w:color w:val="000000"/>
          <w:sz w:val="24"/>
          <w:szCs w:val="24"/>
        </w:rPr>
        <w:t>n</w:t>
      </w:r>
      <w:r w:rsidRPr="007F39B6">
        <w:rPr>
          <w:rFonts w:ascii="Times New Roman" w:hAnsi="Times New Roman" w:cs="Times New Roman"/>
          <w:color w:val="000000"/>
          <w:sz w:val="24"/>
          <w:szCs w:val="24"/>
        </w:rPr>
        <w:t xml:space="preserve"> œuvre de </w:t>
      </w:r>
      <w:r w:rsidR="008B1C5E" w:rsidRPr="00E056B1">
        <w:rPr>
          <w:rFonts w:ascii="Times New Roman" w:hAnsi="Times New Roman" w:cs="Times New Roman"/>
          <w:iCs/>
          <w:sz w:val="24"/>
          <w:szCs w:val="24"/>
          <w:lang w:val="fr-CA"/>
        </w:rPr>
        <w:t>la stratégie et plan d’action nationa</w:t>
      </w:r>
      <w:r w:rsidR="007E2D76" w:rsidRPr="00E056B1">
        <w:rPr>
          <w:rFonts w:ascii="Times New Roman" w:hAnsi="Times New Roman" w:cs="Times New Roman"/>
          <w:iCs/>
          <w:sz w:val="24"/>
          <w:szCs w:val="24"/>
          <w:lang w:val="fr-CA"/>
        </w:rPr>
        <w:t>ux</w:t>
      </w:r>
      <w:r w:rsidR="008B1C5E" w:rsidRPr="00E056B1">
        <w:rPr>
          <w:rFonts w:ascii="Times New Roman" w:hAnsi="Times New Roman" w:cs="Times New Roman"/>
          <w:iCs/>
          <w:sz w:val="24"/>
          <w:szCs w:val="24"/>
          <w:lang w:val="fr-CA"/>
        </w:rPr>
        <w:t xml:space="preserve"> pour la diversité biologique</w:t>
      </w:r>
      <w:r w:rsidR="00733A91" w:rsidRPr="00E056B1">
        <w:rPr>
          <w:rFonts w:ascii="Times New Roman" w:hAnsi="Times New Roman" w:cs="Times New Roman"/>
          <w:color w:val="000000"/>
          <w:sz w:val="24"/>
          <w:szCs w:val="24"/>
        </w:rPr>
        <w:t xml:space="preserve">, </w:t>
      </w:r>
      <w:r w:rsidR="00806B0D">
        <w:rPr>
          <w:rFonts w:ascii="Times New Roman" w:hAnsi="Times New Roman" w:cs="Times New Roman"/>
          <w:color w:val="000000"/>
          <w:sz w:val="24"/>
          <w:szCs w:val="24"/>
        </w:rPr>
        <w:t>cinq (</w:t>
      </w:r>
      <w:r w:rsidR="00733A91" w:rsidRPr="00E056B1">
        <w:rPr>
          <w:rFonts w:ascii="Times New Roman" w:hAnsi="Times New Roman" w:cs="Times New Roman"/>
          <w:color w:val="000000"/>
          <w:sz w:val="24"/>
          <w:szCs w:val="24"/>
        </w:rPr>
        <w:t>5</w:t>
      </w:r>
      <w:r w:rsidR="00806B0D">
        <w:rPr>
          <w:rFonts w:ascii="Times New Roman" w:hAnsi="Times New Roman" w:cs="Times New Roman"/>
          <w:color w:val="000000"/>
          <w:sz w:val="24"/>
          <w:szCs w:val="24"/>
        </w:rPr>
        <w:t>)</w:t>
      </w:r>
      <w:r w:rsidR="00733A91" w:rsidRPr="00E056B1">
        <w:rPr>
          <w:rFonts w:ascii="Times New Roman" w:hAnsi="Times New Roman" w:cs="Times New Roman"/>
          <w:color w:val="000000"/>
          <w:sz w:val="24"/>
          <w:szCs w:val="24"/>
        </w:rPr>
        <w:t xml:space="preserve"> orientations stratégiques ont été retenues et déclinées </w:t>
      </w:r>
      <w:r w:rsidR="00A66527" w:rsidRPr="00E056B1">
        <w:rPr>
          <w:rFonts w:ascii="Times New Roman" w:hAnsi="Times New Roman" w:cs="Times New Roman"/>
          <w:color w:val="000000"/>
          <w:sz w:val="24"/>
          <w:szCs w:val="24"/>
        </w:rPr>
        <w:t>dans les</w:t>
      </w:r>
      <w:r w:rsidR="00EC17E3">
        <w:rPr>
          <w:rFonts w:ascii="Times New Roman" w:hAnsi="Times New Roman" w:cs="Times New Roman"/>
          <w:color w:val="000000"/>
          <w:sz w:val="24"/>
          <w:szCs w:val="24"/>
        </w:rPr>
        <w:t xml:space="preserve"> </w:t>
      </w:r>
      <w:r w:rsidR="00806B0D">
        <w:rPr>
          <w:rFonts w:ascii="Times New Roman" w:hAnsi="Times New Roman" w:cs="Times New Roman"/>
          <w:color w:val="000000"/>
          <w:sz w:val="24"/>
          <w:szCs w:val="24"/>
        </w:rPr>
        <w:t>vingt (</w:t>
      </w:r>
      <w:r w:rsidR="00733A91" w:rsidRPr="00E056B1">
        <w:rPr>
          <w:rFonts w:ascii="Times New Roman" w:hAnsi="Times New Roman" w:cs="Times New Roman"/>
          <w:color w:val="000000"/>
          <w:sz w:val="24"/>
          <w:szCs w:val="24"/>
        </w:rPr>
        <w:t>20</w:t>
      </w:r>
      <w:r w:rsidR="00806B0D">
        <w:rPr>
          <w:rFonts w:ascii="Times New Roman" w:hAnsi="Times New Roman" w:cs="Times New Roman"/>
          <w:color w:val="000000"/>
          <w:sz w:val="24"/>
          <w:szCs w:val="24"/>
        </w:rPr>
        <w:t>)</w:t>
      </w:r>
      <w:r w:rsidR="00733A91" w:rsidRPr="00E056B1">
        <w:rPr>
          <w:rFonts w:ascii="Times New Roman" w:hAnsi="Times New Roman" w:cs="Times New Roman"/>
          <w:color w:val="000000"/>
          <w:sz w:val="24"/>
          <w:szCs w:val="24"/>
        </w:rPr>
        <w:t xml:space="preserve"> objectifs nationaux. Ces objectifs nationaux ont été regroupés en 9 thèmes prioritaires comportant </w:t>
      </w:r>
      <w:r w:rsidR="00733A91" w:rsidRPr="00E056B1">
        <w:rPr>
          <w:rFonts w:ascii="Times New Roman" w:hAnsi="Times New Roman" w:cs="Times New Roman"/>
          <w:sz w:val="24"/>
          <w:szCs w:val="24"/>
        </w:rPr>
        <w:t xml:space="preserve">des thèmes transversaux (TT) et thèmes sectoriels (TS) </w:t>
      </w:r>
      <w:r w:rsidR="00733A91" w:rsidRPr="00E056B1">
        <w:rPr>
          <w:rFonts w:ascii="Times New Roman" w:hAnsi="Times New Roman" w:cs="Times New Roman"/>
          <w:color w:val="000000"/>
          <w:sz w:val="24"/>
          <w:szCs w:val="24"/>
        </w:rPr>
        <w:t xml:space="preserve">d’où dérivent les programmes et les projets ainsi que les mesures </w:t>
      </w:r>
      <w:r w:rsidR="0029401E" w:rsidRPr="00E056B1">
        <w:rPr>
          <w:rFonts w:ascii="Times New Roman" w:hAnsi="Times New Roman" w:cs="Times New Roman"/>
          <w:color w:val="000000"/>
          <w:sz w:val="24"/>
          <w:szCs w:val="24"/>
        </w:rPr>
        <w:t xml:space="preserve">politiques, </w:t>
      </w:r>
      <w:r w:rsidR="00733A91" w:rsidRPr="00E056B1">
        <w:rPr>
          <w:rFonts w:ascii="Times New Roman" w:hAnsi="Times New Roman" w:cs="Times New Roman"/>
          <w:color w:val="000000"/>
          <w:sz w:val="24"/>
          <w:szCs w:val="24"/>
        </w:rPr>
        <w:t>administratives, législatives et/ou réglementaires</w:t>
      </w:r>
      <w:r w:rsidR="0029401E" w:rsidRPr="00E056B1">
        <w:rPr>
          <w:rFonts w:ascii="Times New Roman" w:hAnsi="Times New Roman" w:cs="Times New Roman"/>
          <w:color w:val="000000"/>
          <w:sz w:val="24"/>
          <w:szCs w:val="24"/>
        </w:rPr>
        <w:t xml:space="preserve">, institutionnelles et </w:t>
      </w:r>
      <w:r w:rsidR="00D32398" w:rsidRPr="00E056B1">
        <w:rPr>
          <w:rFonts w:ascii="Times New Roman" w:hAnsi="Times New Roman" w:cs="Times New Roman"/>
          <w:color w:val="000000"/>
          <w:sz w:val="24"/>
          <w:szCs w:val="24"/>
        </w:rPr>
        <w:t>financi</w:t>
      </w:r>
      <w:r>
        <w:rPr>
          <w:rFonts w:ascii="Times New Roman" w:hAnsi="Times New Roman" w:cs="Times New Roman"/>
          <w:color w:val="000000"/>
          <w:sz w:val="24"/>
          <w:szCs w:val="24"/>
        </w:rPr>
        <w:t>è</w:t>
      </w:r>
      <w:r w:rsidR="00D32398" w:rsidRPr="00E056B1">
        <w:rPr>
          <w:rFonts w:ascii="Times New Roman" w:hAnsi="Times New Roman" w:cs="Times New Roman"/>
          <w:color w:val="000000"/>
          <w:sz w:val="24"/>
          <w:szCs w:val="24"/>
        </w:rPr>
        <w:t>res</w:t>
      </w:r>
      <w:r w:rsidR="00733A91" w:rsidRPr="00E056B1">
        <w:rPr>
          <w:rFonts w:ascii="Times New Roman" w:hAnsi="Times New Roman" w:cs="Times New Roman"/>
          <w:color w:val="000000"/>
          <w:sz w:val="24"/>
          <w:szCs w:val="24"/>
        </w:rPr>
        <w:t>.</w:t>
      </w:r>
      <w:r w:rsidR="00A66527" w:rsidRPr="00E056B1">
        <w:rPr>
          <w:rFonts w:ascii="Times New Roman" w:hAnsi="Times New Roman" w:cs="Times New Roman"/>
          <w:iCs/>
          <w:sz w:val="24"/>
          <w:szCs w:val="24"/>
          <w:lang w:val="fr-CA"/>
        </w:rPr>
        <w:t>Dans les différentes</w:t>
      </w:r>
      <w:r w:rsidR="00D61FC5" w:rsidRPr="00E056B1">
        <w:rPr>
          <w:rFonts w:ascii="Times New Roman" w:hAnsi="Times New Roman" w:cs="Times New Roman"/>
          <w:iCs/>
          <w:sz w:val="24"/>
          <w:szCs w:val="24"/>
          <w:lang w:val="fr-CA"/>
        </w:rPr>
        <w:t xml:space="preserve"> interventions, les mesures prises </w:t>
      </w:r>
      <w:r w:rsidR="00D32398" w:rsidRPr="00E056B1">
        <w:rPr>
          <w:rFonts w:ascii="Times New Roman" w:hAnsi="Times New Roman" w:cs="Times New Roman"/>
          <w:iCs/>
          <w:sz w:val="24"/>
          <w:szCs w:val="24"/>
          <w:lang w:val="fr-CA"/>
        </w:rPr>
        <w:t>par les acteurs s</w:t>
      </w:r>
      <w:r w:rsidR="00806B0D">
        <w:rPr>
          <w:rFonts w:ascii="Times New Roman" w:hAnsi="Times New Roman" w:cs="Times New Roman"/>
          <w:iCs/>
          <w:sz w:val="24"/>
          <w:szCs w:val="24"/>
          <w:lang w:val="fr-CA"/>
        </w:rPr>
        <w:t>on</w:t>
      </w:r>
      <w:r w:rsidR="00D32398" w:rsidRPr="00E056B1">
        <w:rPr>
          <w:rFonts w:ascii="Times New Roman" w:hAnsi="Times New Roman" w:cs="Times New Roman"/>
          <w:iCs/>
          <w:sz w:val="24"/>
          <w:szCs w:val="24"/>
          <w:lang w:val="fr-CA"/>
        </w:rPr>
        <w:t xml:space="preserve">t </w:t>
      </w:r>
      <w:r w:rsidR="00D61FC5" w:rsidRPr="00E056B1">
        <w:rPr>
          <w:rFonts w:ascii="Times New Roman" w:hAnsi="Times New Roman" w:cs="Times New Roman"/>
          <w:iCs/>
          <w:sz w:val="24"/>
          <w:szCs w:val="24"/>
          <w:lang w:val="fr-CA"/>
        </w:rPr>
        <w:t>présent</w:t>
      </w:r>
      <w:r w:rsidR="00F00DB1">
        <w:rPr>
          <w:rFonts w:ascii="Times New Roman" w:hAnsi="Times New Roman" w:cs="Times New Roman"/>
          <w:iCs/>
          <w:sz w:val="24"/>
          <w:szCs w:val="24"/>
          <w:lang w:val="fr-CA"/>
        </w:rPr>
        <w:t>ées dans le tableau 5</w:t>
      </w:r>
      <w:r w:rsidR="00D32398" w:rsidRPr="00E056B1">
        <w:rPr>
          <w:rFonts w:ascii="Times New Roman" w:hAnsi="Times New Roman" w:cs="Times New Roman"/>
          <w:iCs/>
          <w:sz w:val="24"/>
          <w:szCs w:val="24"/>
          <w:lang w:val="fr-CA"/>
        </w:rPr>
        <w:t>.</w:t>
      </w:r>
    </w:p>
    <w:p w14:paraId="1D81A559" w14:textId="77777777" w:rsidR="00F00DB1" w:rsidRPr="00E056B1" w:rsidRDefault="00F00DB1" w:rsidP="00E056B1">
      <w:pPr>
        <w:spacing w:after="0" w:line="240" w:lineRule="auto"/>
        <w:jc w:val="both"/>
        <w:rPr>
          <w:rFonts w:ascii="Times New Roman" w:hAnsi="Times New Roman" w:cs="Times New Roman"/>
          <w:color w:val="000000"/>
          <w:sz w:val="24"/>
          <w:szCs w:val="24"/>
        </w:rPr>
      </w:pPr>
    </w:p>
    <w:p w14:paraId="11B1181C" w14:textId="77777777" w:rsidR="009A27C1" w:rsidRDefault="009A27C1" w:rsidP="00F00DB1">
      <w:pPr>
        <w:pStyle w:val="Lgende"/>
        <w:rPr>
          <w:rFonts w:ascii="Times New Roman" w:hAnsi="Times New Roman"/>
          <w:sz w:val="24"/>
          <w:szCs w:val="24"/>
        </w:rPr>
        <w:sectPr w:rsidR="009A27C1" w:rsidSect="00497C9F">
          <w:footerReference w:type="default" r:id="rId16"/>
          <w:pgSz w:w="11906" w:h="16838"/>
          <w:pgMar w:top="1418" w:right="1418" w:bottom="1418" w:left="1418" w:header="709" w:footer="709" w:gutter="0"/>
          <w:cols w:space="708"/>
          <w:docGrid w:linePitch="360"/>
        </w:sectPr>
      </w:pPr>
    </w:p>
    <w:p w14:paraId="51F6964E" w14:textId="5EA06E50" w:rsidR="00D61FC5" w:rsidRPr="00F72598" w:rsidRDefault="00AB027F" w:rsidP="00B0200A">
      <w:pPr>
        <w:pStyle w:val="Lgende"/>
        <w:tabs>
          <w:tab w:val="center" w:pos="7001"/>
          <w:tab w:val="left" w:pos="13210"/>
        </w:tabs>
        <w:rPr>
          <w:rFonts w:ascii="Times New Roman" w:hAnsi="Times New Roman"/>
          <w:iCs/>
          <w:sz w:val="24"/>
          <w:szCs w:val="24"/>
          <w:highlight w:val="yellow"/>
          <w:lang w:val="fr-CA"/>
        </w:rPr>
      </w:pPr>
      <w:r>
        <w:rPr>
          <w:rFonts w:ascii="Times New Roman" w:hAnsi="Times New Roman"/>
          <w:sz w:val="24"/>
          <w:szCs w:val="24"/>
        </w:rPr>
        <w:tab/>
      </w:r>
      <w:bookmarkStart w:id="23" w:name="_Toc533413475"/>
      <w:r w:rsidR="00F72598" w:rsidRPr="00F72598">
        <w:rPr>
          <w:rFonts w:ascii="Times New Roman" w:hAnsi="Times New Roman"/>
          <w:sz w:val="24"/>
          <w:szCs w:val="24"/>
        </w:rPr>
        <w:t xml:space="preserve">Tableau </w:t>
      </w:r>
      <w:r w:rsidR="00F72598" w:rsidRPr="00F72598">
        <w:rPr>
          <w:rFonts w:ascii="Times New Roman" w:hAnsi="Times New Roman"/>
          <w:sz w:val="24"/>
          <w:szCs w:val="24"/>
        </w:rPr>
        <w:fldChar w:fldCharType="begin"/>
      </w:r>
      <w:r w:rsidR="00F72598" w:rsidRPr="00F72598">
        <w:rPr>
          <w:rFonts w:ascii="Times New Roman" w:hAnsi="Times New Roman"/>
          <w:sz w:val="24"/>
          <w:szCs w:val="24"/>
        </w:rPr>
        <w:instrText xml:space="preserve"> SEQ Tableau \* ARABIC </w:instrText>
      </w:r>
      <w:r w:rsidR="00F72598" w:rsidRPr="00F72598">
        <w:rPr>
          <w:rFonts w:ascii="Times New Roman" w:hAnsi="Times New Roman"/>
          <w:sz w:val="24"/>
          <w:szCs w:val="24"/>
        </w:rPr>
        <w:fldChar w:fldCharType="separate"/>
      </w:r>
      <w:r w:rsidR="00C47BFF">
        <w:rPr>
          <w:rFonts w:ascii="Times New Roman" w:hAnsi="Times New Roman"/>
          <w:noProof/>
          <w:sz w:val="24"/>
          <w:szCs w:val="24"/>
        </w:rPr>
        <w:t>4</w:t>
      </w:r>
      <w:r w:rsidR="00F72598" w:rsidRPr="00F72598">
        <w:rPr>
          <w:rFonts w:ascii="Times New Roman" w:hAnsi="Times New Roman"/>
          <w:sz w:val="24"/>
          <w:szCs w:val="24"/>
        </w:rPr>
        <w:fldChar w:fldCharType="end"/>
      </w:r>
      <w:r w:rsidR="00F72598" w:rsidRPr="00F72598">
        <w:rPr>
          <w:rFonts w:ascii="Times New Roman" w:hAnsi="Times New Roman"/>
          <w:sz w:val="24"/>
          <w:szCs w:val="24"/>
        </w:rPr>
        <w:t>: Actions menées dans la mise en œuvre de la SPANB</w:t>
      </w:r>
      <w:bookmarkEnd w:id="23"/>
      <w:r>
        <w:rPr>
          <w:rFonts w:ascii="Times New Roman" w:hAnsi="Times New Roman"/>
          <w:sz w:val="24"/>
          <w:szCs w:val="24"/>
        </w:rPr>
        <w:tab/>
      </w:r>
    </w:p>
    <w:tbl>
      <w:tblPr>
        <w:tblW w:w="143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02"/>
        <w:gridCol w:w="1843"/>
        <w:gridCol w:w="1701"/>
      </w:tblGrid>
      <w:tr w:rsidR="00D61FC5" w:rsidRPr="00F60F3D" w14:paraId="52493AEE" w14:textId="77777777" w:rsidTr="00B0200A">
        <w:tc>
          <w:tcPr>
            <w:tcW w:w="10802" w:type="dxa"/>
            <w:vAlign w:val="center"/>
          </w:tcPr>
          <w:p w14:paraId="7BF107A6" w14:textId="77777777" w:rsidR="00D61FC5" w:rsidRPr="00F60F3D" w:rsidRDefault="00D61FC5" w:rsidP="00E056B1">
            <w:pPr>
              <w:spacing w:after="0" w:line="240" w:lineRule="auto"/>
              <w:rPr>
                <w:rFonts w:ascii="Times New Roman" w:eastAsia="Calibri" w:hAnsi="Times New Roman" w:cs="Times New Roman"/>
                <w:b/>
                <w:sz w:val="24"/>
                <w:szCs w:val="24"/>
              </w:rPr>
            </w:pPr>
            <w:r w:rsidRPr="00F971D4">
              <w:rPr>
                <w:rFonts w:ascii="Times New Roman" w:eastAsia="Calibri" w:hAnsi="Times New Roman" w:cs="Times New Roman"/>
                <w:b/>
                <w:sz w:val="24"/>
                <w:szCs w:val="24"/>
              </w:rPr>
              <w:t>Mesures politiques</w:t>
            </w:r>
          </w:p>
        </w:tc>
        <w:tc>
          <w:tcPr>
            <w:tcW w:w="1843" w:type="dxa"/>
            <w:vAlign w:val="center"/>
          </w:tcPr>
          <w:p w14:paraId="68BF58EC" w14:textId="77777777" w:rsidR="00D61FC5" w:rsidRPr="00F60F3D" w:rsidRDefault="00D61FC5" w:rsidP="00E056B1">
            <w:pPr>
              <w:spacing w:after="0" w:line="240" w:lineRule="auto"/>
              <w:jc w:val="center"/>
              <w:rPr>
                <w:rFonts w:ascii="Times New Roman" w:hAnsi="Times New Roman" w:cs="Times New Roman"/>
                <w:b/>
                <w:sz w:val="24"/>
                <w:szCs w:val="24"/>
              </w:rPr>
            </w:pPr>
            <w:r w:rsidRPr="00F60F3D">
              <w:rPr>
                <w:rFonts w:ascii="Times New Roman" w:hAnsi="Times New Roman" w:cs="Times New Roman"/>
                <w:b/>
                <w:sz w:val="24"/>
                <w:szCs w:val="24"/>
              </w:rPr>
              <w:t>Structure</w:t>
            </w:r>
          </w:p>
        </w:tc>
        <w:tc>
          <w:tcPr>
            <w:tcW w:w="1701" w:type="dxa"/>
            <w:vAlign w:val="center"/>
          </w:tcPr>
          <w:p w14:paraId="0FC34C0D" w14:textId="77777777" w:rsidR="00D61FC5" w:rsidRPr="00F60F3D" w:rsidRDefault="00D61FC5" w:rsidP="00E056B1">
            <w:pPr>
              <w:spacing w:after="0" w:line="240" w:lineRule="auto"/>
              <w:rPr>
                <w:rFonts w:ascii="Times New Roman" w:hAnsi="Times New Roman" w:cs="Times New Roman"/>
                <w:b/>
                <w:sz w:val="24"/>
                <w:szCs w:val="24"/>
              </w:rPr>
            </w:pPr>
            <w:r w:rsidRPr="00F60F3D">
              <w:rPr>
                <w:rFonts w:ascii="Times New Roman" w:hAnsi="Times New Roman" w:cs="Times New Roman"/>
                <w:b/>
                <w:sz w:val="24"/>
                <w:szCs w:val="24"/>
              </w:rPr>
              <w:t xml:space="preserve">Date de mise en œuvre </w:t>
            </w:r>
          </w:p>
        </w:tc>
      </w:tr>
      <w:tr w:rsidR="00B0200A" w:rsidRPr="00F60F3D" w14:paraId="328F67C5" w14:textId="77777777" w:rsidTr="00A9140E">
        <w:tc>
          <w:tcPr>
            <w:tcW w:w="10802" w:type="dxa"/>
            <w:vAlign w:val="center"/>
          </w:tcPr>
          <w:p w14:paraId="66E4D1CC" w14:textId="5384A1DF" w:rsidR="00B0200A" w:rsidRPr="00F60F3D" w:rsidRDefault="00B0200A" w:rsidP="00B0200A">
            <w:pPr>
              <w:spacing w:after="0" w:line="240" w:lineRule="auto"/>
              <w:rPr>
                <w:rFonts w:ascii="Times New Roman" w:hAnsi="Times New Roman" w:cs="Times New Roman"/>
                <w:sz w:val="24"/>
                <w:szCs w:val="24"/>
              </w:rPr>
            </w:pPr>
            <w:r>
              <w:rPr>
                <w:rFonts w:ascii="Times New Roman" w:eastAsia="Calibri" w:hAnsi="Times New Roman" w:cs="Times New Roman"/>
                <w:b/>
                <w:sz w:val="24"/>
                <w:szCs w:val="24"/>
              </w:rPr>
              <w:t>Création de l’autorité scientifique de la CITES</w:t>
            </w:r>
          </w:p>
        </w:tc>
        <w:tc>
          <w:tcPr>
            <w:tcW w:w="1843" w:type="dxa"/>
            <w:vAlign w:val="center"/>
          </w:tcPr>
          <w:p w14:paraId="73516CCD" w14:textId="26180953" w:rsidR="00B0200A" w:rsidRPr="00F60F3D" w:rsidRDefault="00B0200A" w:rsidP="00B0200A">
            <w:pPr>
              <w:spacing w:after="0" w:line="240" w:lineRule="auto"/>
              <w:rPr>
                <w:rFonts w:ascii="Times New Roman" w:hAnsi="Times New Roman" w:cs="Times New Roman"/>
                <w:sz w:val="24"/>
                <w:szCs w:val="24"/>
              </w:rPr>
            </w:pPr>
            <w:r>
              <w:rPr>
                <w:rFonts w:ascii="Times New Roman" w:hAnsi="Times New Roman" w:cs="Times New Roman"/>
                <w:sz w:val="24"/>
                <w:szCs w:val="24"/>
              </w:rPr>
              <w:t>MERS</w:t>
            </w:r>
          </w:p>
        </w:tc>
        <w:tc>
          <w:tcPr>
            <w:tcW w:w="1701" w:type="dxa"/>
            <w:vAlign w:val="center"/>
          </w:tcPr>
          <w:p w14:paraId="15C7F1AE" w14:textId="6C12CB9F" w:rsidR="00B0200A" w:rsidRPr="00F60F3D" w:rsidRDefault="00B0200A" w:rsidP="00B0200A">
            <w:pPr>
              <w:spacing w:after="0" w:line="240" w:lineRule="auto"/>
              <w:rPr>
                <w:rFonts w:ascii="Times New Roman" w:hAnsi="Times New Roman" w:cs="Times New Roman"/>
                <w:color w:val="FF0000"/>
                <w:sz w:val="24"/>
                <w:szCs w:val="24"/>
              </w:rPr>
            </w:pPr>
            <w:r>
              <w:rPr>
                <w:rFonts w:ascii="Times New Roman" w:hAnsi="Times New Roman" w:cs="Times New Roman"/>
                <w:b/>
                <w:sz w:val="24"/>
                <w:szCs w:val="24"/>
              </w:rPr>
              <w:t>30/06/2017</w:t>
            </w:r>
          </w:p>
        </w:tc>
      </w:tr>
      <w:tr w:rsidR="00B0200A" w:rsidRPr="00F60F3D" w14:paraId="5064E847" w14:textId="77777777" w:rsidTr="00A9140E">
        <w:tc>
          <w:tcPr>
            <w:tcW w:w="10802" w:type="dxa"/>
            <w:vAlign w:val="center"/>
          </w:tcPr>
          <w:p w14:paraId="428CB5F3" w14:textId="035D1D78" w:rsidR="00B0200A" w:rsidRPr="00F60F3D" w:rsidRDefault="00B0200A" w:rsidP="00B0200A">
            <w:pPr>
              <w:spacing w:after="0" w:line="240" w:lineRule="auto"/>
              <w:rPr>
                <w:rFonts w:ascii="Times New Roman" w:hAnsi="Times New Roman" w:cs="Times New Roman"/>
                <w:sz w:val="24"/>
                <w:szCs w:val="24"/>
              </w:rPr>
            </w:pPr>
            <w:r>
              <w:rPr>
                <w:rFonts w:ascii="Times New Roman" w:eastAsia="Calibri" w:hAnsi="Times New Roman" w:cs="Times New Roman"/>
                <w:b/>
                <w:sz w:val="24"/>
                <w:szCs w:val="24"/>
              </w:rPr>
              <w:t>Création et nomination du personnel du Secrétariat Permanent  de la RBTM</w:t>
            </w:r>
          </w:p>
        </w:tc>
        <w:tc>
          <w:tcPr>
            <w:tcW w:w="1843" w:type="dxa"/>
            <w:vAlign w:val="center"/>
          </w:tcPr>
          <w:p w14:paraId="2B2D0CC3" w14:textId="10AF07ED" w:rsidR="00B0200A" w:rsidRPr="00F60F3D" w:rsidRDefault="00B0200A" w:rsidP="00B0200A">
            <w:pPr>
              <w:spacing w:after="0" w:line="240" w:lineRule="auto"/>
              <w:rPr>
                <w:rFonts w:ascii="Times New Roman" w:hAnsi="Times New Roman" w:cs="Times New Roman"/>
                <w:sz w:val="24"/>
                <w:szCs w:val="24"/>
              </w:rPr>
            </w:pPr>
            <w:r>
              <w:rPr>
                <w:rFonts w:ascii="Times New Roman" w:hAnsi="Times New Roman" w:cs="Times New Roman"/>
                <w:sz w:val="24"/>
                <w:szCs w:val="24"/>
              </w:rPr>
              <w:t>MERF</w:t>
            </w:r>
          </w:p>
        </w:tc>
        <w:tc>
          <w:tcPr>
            <w:tcW w:w="1701" w:type="dxa"/>
            <w:vAlign w:val="center"/>
          </w:tcPr>
          <w:p w14:paraId="7A4F5460" w14:textId="281A7E36" w:rsidR="00B0200A" w:rsidRPr="00F60F3D" w:rsidRDefault="00B0200A" w:rsidP="00B0200A">
            <w:pPr>
              <w:spacing w:after="0" w:line="240" w:lineRule="auto"/>
              <w:rPr>
                <w:rFonts w:ascii="Times New Roman" w:hAnsi="Times New Roman" w:cs="Times New Roman"/>
                <w:color w:val="FF0000"/>
                <w:sz w:val="24"/>
                <w:szCs w:val="24"/>
              </w:rPr>
            </w:pPr>
            <w:r>
              <w:rPr>
                <w:rFonts w:ascii="Times New Roman" w:hAnsi="Times New Roman" w:cs="Times New Roman"/>
                <w:b/>
                <w:sz w:val="24"/>
                <w:szCs w:val="24"/>
              </w:rPr>
              <w:t>30/08/2017</w:t>
            </w:r>
          </w:p>
        </w:tc>
      </w:tr>
      <w:tr w:rsidR="00B0200A" w:rsidRPr="00F60F3D" w14:paraId="4CBAFB39" w14:textId="77777777" w:rsidTr="00A9140E">
        <w:tc>
          <w:tcPr>
            <w:tcW w:w="10802" w:type="dxa"/>
            <w:vAlign w:val="center"/>
          </w:tcPr>
          <w:p w14:paraId="72A7C6D3" w14:textId="45F66ECD" w:rsidR="00B0200A" w:rsidRPr="00F60F3D" w:rsidRDefault="00B0200A" w:rsidP="00B0200A">
            <w:pPr>
              <w:spacing w:after="0" w:line="240" w:lineRule="auto"/>
              <w:rPr>
                <w:rFonts w:ascii="Times New Roman" w:hAnsi="Times New Roman" w:cs="Times New Roman"/>
                <w:sz w:val="24"/>
                <w:szCs w:val="24"/>
              </w:rPr>
            </w:pPr>
            <w:r>
              <w:rPr>
                <w:rFonts w:ascii="Times New Roman" w:eastAsia="Calibri" w:hAnsi="Times New Roman" w:cs="Times New Roman"/>
                <w:b/>
                <w:sz w:val="24"/>
                <w:szCs w:val="24"/>
              </w:rPr>
              <w:t>Création des cellules de gestion des bases de données cartographiques et de l’IFN</w:t>
            </w:r>
          </w:p>
        </w:tc>
        <w:tc>
          <w:tcPr>
            <w:tcW w:w="1843" w:type="dxa"/>
            <w:vAlign w:val="center"/>
          </w:tcPr>
          <w:p w14:paraId="2983704F" w14:textId="3281FE09" w:rsidR="00B0200A" w:rsidRPr="00F60F3D" w:rsidRDefault="00B0200A" w:rsidP="00B0200A">
            <w:pPr>
              <w:spacing w:after="0" w:line="240" w:lineRule="auto"/>
              <w:rPr>
                <w:rFonts w:ascii="Times New Roman" w:hAnsi="Times New Roman" w:cs="Times New Roman"/>
                <w:sz w:val="24"/>
                <w:szCs w:val="24"/>
              </w:rPr>
            </w:pPr>
            <w:r>
              <w:rPr>
                <w:rFonts w:ascii="Times New Roman" w:hAnsi="Times New Roman" w:cs="Times New Roman"/>
                <w:sz w:val="24"/>
                <w:szCs w:val="24"/>
              </w:rPr>
              <w:t>MERF</w:t>
            </w:r>
          </w:p>
        </w:tc>
        <w:tc>
          <w:tcPr>
            <w:tcW w:w="1701" w:type="dxa"/>
            <w:vAlign w:val="center"/>
          </w:tcPr>
          <w:p w14:paraId="327850A8" w14:textId="1B68A361" w:rsidR="00B0200A" w:rsidRPr="00F60F3D" w:rsidRDefault="00B0200A" w:rsidP="00B0200A">
            <w:pPr>
              <w:spacing w:after="0" w:line="240" w:lineRule="auto"/>
              <w:rPr>
                <w:rFonts w:ascii="Times New Roman" w:hAnsi="Times New Roman" w:cs="Times New Roman"/>
                <w:color w:val="FF0000"/>
                <w:sz w:val="24"/>
                <w:szCs w:val="24"/>
              </w:rPr>
            </w:pPr>
            <w:r>
              <w:rPr>
                <w:rFonts w:ascii="Times New Roman" w:hAnsi="Times New Roman" w:cs="Times New Roman"/>
                <w:b/>
                <w:sz w:val="24"/>
                <w:szCs w:val="24"/>
              </w:rPr>
              <w:t>2016</w:t>
            </w:r>
          </w:p>
        </w:tc>
      </w:tr>
      <w:tr w:rsidR="00D61FC5" w:rsidRPr="00F60F3D" w14:paraId="6CB4448A" w14:textId="77777777" w:rsidTr="00B0200A">
        <w:tc>
          <w:tcPr>
            <w:tcW w:w="10802" w:type="dxa"/>
            <w:vAlign w:val="center"/>
          </w:tcPr>
          <w:p w14:paraId="5E669CBE"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hAnsi="Times New Roman" w:cs="Times New Roman"/>
                <w:sz w:val="24"/>
                <w:szCs w:val="24"/>
              </w:rPr>
              <w:t>Intégration de la réserve de biosphère du Mono dans le Programme MAB-UNESCO</w:t>
            </w:r>
          </w:p>
        </w:tc>
        <w:tc>
          <w:tcPr>
            <w:tcW w:w="1843" w:type="dxa"/>
            <w:vMerge w:val="restart"/>
            <w:vAlign w:val="center"/>
          </w:tcPr>
          <w:p w14:paraId="21980E86"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hAnsi="Times New Roman" w:cs="Times New Roman"/>
                <w:sz w:val="24"/>
                <w:szCs w:val="24"/>
              </w:rPr>
              <w:t>MERF/Direction des ressources forestières (DRF)</w:t>
            </w:r>
          </w:p>
        </w:tc>
        <w:tc>
          <w:tcPr>
            <w:tcW w:w="1701" w:type="dxa"/>
            <w:vAlign w:val="center"/>
          </w:tcPr>
          <w:p w14:paraId="6171FAED" w14:textId="77777777" w:rsidR="00D61FC5" w:rsidRPr="00F60F3D" w:rsidRDefault="00D61FC5" w:rsidP="00E056B1">
            <w:pPr>
              <w:spacing w:after="0" w:line="240" w:lineRule="auto"/>
              <w:rPr>
                <w:rFonts w:ascii="Times New Roman" w:hAnsi="Times New Roman" w:cs="Times New Roman"/>
                <w:sz w:val="24"/>
                <w:szCs w:val="24"/>
              </w:rPr>
            </w:pPr>
            <w:r w:rsidRPr="00633731">
              <w:rPr>
                <w:rFonts w:ascii="Times New Roman" w:hAnsi="Times New Roman" w:cs="Times New Roman"/>
                <w:sz w:val="24"/>
                <w:szCs w:val="24"/>
              </w:rPr>
              <w:t>14</w:t>
            </w:r>
            <w:r w:rsidR="00B03F28" w:rsidRPr="00633731">
              <w:rPr>
                <w:rFonts w:ascii="Times New Roman" w:hAnsi="Times New Roman" w:cs="Times New Roman"/>
                <w:sz w:val="24"/>
                <w:szCs w:val="24"/>
              </w:rPr>
              <w:t xml:space="preserve"> juin 2017</w:t>
            </w:r>
          </w:p>
        </w:tc>
      </w:tr>
      <w:tr w:rsidR="00D61FC5" w:rsidRPr="00F60F3D" w14:paraId="61C6C600" w14:textId="77777777" w:rsidTr="00B0200A">
        <w:tc>
          <w:tcPr>
            <w:tcW w:w="10802" w:type="dxa"/>
            <w:vAlign w:val="center"/>
          </w:tcPr>
          <w:p w14:paraId="5AB6584B" w14:textId="77777777" w:rsidR="00D61FC5" w:rsidRPr="00F60F3D" w:rsidRDefault="00D61FC5"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Adoption du moratoire de 10 ans sur l’exportation</w:t>
            </w:r>
            <w:r w:rsidR="007C72AE" w:rsidRPr="00F60F3D">
              <w:rPr>
                <w:rFonts w:ascii="Times New Roman" w:hAnsi="Times New Roman" w:cs="Times New Roman"/>
                <w:sz w:val="24"/>
                <w:szCs w:val="24"/>
              </w:rPr>
              <w:t>, l’importation, la réexploitation</w:t>
            </w:r>
            <w:r w:rsidRPr="00F60F3D">
              <w:rPr>
                <w:rFonts w:ascii="Times New Roman" w:hAnsi="Times New Roman" w:cs="Times New Roman"/>
                <w:sz w:val="24"/>
                <w:szCs w:val="24"/>
              </w:rPr>
              <w:t xml:space="preserve"> du faux teck (</w:t>
            </w:r>
            <w:r w:rsidRPr="00F60F3D">
              <w:rPr>
                <w:rFonts w:ascii="Times New Roman" w:hAnsi="Times New Roman" w:cs="Times New Roman"/>
                <w:i/>
                <w:sz w:val="24"/>
                <w:szCs w:val="24"/>
              </w:rPr>
              <w:t>Pterocarpus erinaceus</w:t>
            </w:r>
            <w:r w:rsidRPr="00F60F3D">
              <w:rPr>
                <w:rFonts w:ascii="Times New Roman" w:hAnsi="Times New Roman" w:cs="Times New Roman"/>
                <w:sz w:val="24"/>
                <w:szCs w:val="24"/>
              </w:rPr>
              <w:t>)</w:t>
            </w:r>
          </w:p>
        </w:tc>
        <w:tc>
          <w:tcPr>
            <w:tcW w:w="1843" w:type="dxa"/>
            <w:vMerge/>
            <w:vAlign w:val="center"/>
          </w:tcPr>
          <w:p w14:paraId="20662052" w14:textId="77777777" w:rsidR="00D61FC5" w:rsidRPr="00F60F3D" w:rsidRDefault="00D61FC5" w:rsidP="00E056B1">
            <w:pPr>
              <w:spacing w:after="0" w:line="240" w:lineRule="auto"/>
              <w:rPr>
                <w:rFonts w:ascii="Times New Roman" w:hAnsi="Times New Roman" w:cs="Times New Roman"/>
                <w:sz w:val="24"/>
                <w:szCs w:val="24"/>
              </w:rPr>
            </w:pPr>
          </w:p>
        </w:tc>
        <w:tc>
          <w:tcPr>
            <w:tcW w:w="1701" w:type="dxa"/>
            <w:vAlign w:val="center"/>
          </w:tcPr>
          <w:p w14:paraId="08F2B2EC" w14:textId="77777777" w:rsidR="00D61FC5" w:rsidRPr="00F60F3D" w:rsidRDefault="00D61FC5"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23 juin 2016</w:t>
            </w:r>
          </w:p>
        </w:tc>
      </w:tr>
      <w:tr w:rsidR="00D61FC5" w:rsidRPr="00F60F3D" w14:paraId="351F04EC" w14:textId="77777777" w:rsidTr="00B0200A">
        <w:tc>
          <w:tcPr>
            <w:tcW w:w="10802" w:type="dxa"/>
            <w:vAlign w:val="center"/>
          </w:tcPr>
          <w:p w14:paraId="21A6C5AB" w14:textId="77777777" w:rsidR="003C327D" w:rsidRPr="00F60F3D" w:rsidRDefault="00D61FC5">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-Elaboration du manuel de procédure de création des forêts communautaires</w:t>
            </w:r>
          </w:p>
        </w:tc>
        <w:tc>
          <w:tcPr>
            <w:tcW w:w="1843" w:type="dxa"/>
            <w:vMerge/>
            <w:vAlign w:val="center"/>
          </w:tcPr>
          <w:p w14:paraId="15F9F888" w14:textId="77777777" w:rsidR="00D61FC5" w:rsidRPr="00F60F3D" w:rsidRDefault="00D61FC5" w:rsidP="00E056B1">
            <w:pPr>
              <w:spacing w:after="0" w:line="240" w:lineRule="auto"/>
              <w:rPr>
                <w:rFonts w:ascii="Times New Roman" w:eastAsia="Calibri" w:hAnsi="Times New Roman" w:cs="Times New Roman"/>
                <w:sz w:val="24"/>
                <w:szCs w:val="24"/>
              </w:rPr>
            </w:pPr>
          </w:p>
        </w:tc>
        <w:tc>
          <w:tcPr>
            <w:tcW w:w="1701" w:type="dxa"/>
            <w:vAlign w:val="center"/>
          </w:tcPr>
          <w:p w14:paraId="31C030DB" w14:textId="77777777" w:rsidR="00D61FC5" w:rsidRPr="00F60F3D" w:rsidRDefault="00D61FC5" w:rsidP="00E056B1">
            <w:pPr>
              <w:spacing w:after="0" w:line="240" w:lineRule="auto"/>
              <w:rPr>
                <w:rFonts w:ascii="Times New Roman" w:hAnsi="Times New Roman" w:cs="Times New Roman"/>
                <w:sz w:val="24"/>
                <w:szCs w:val="24"/>
              </w:rPr>
            </w:pPr>
          </w:p>
        </w:tc>
      </w:tr>
      <w:tr w:rsidR="009626B8" w:rsidRPr="00F60F3D" w14:paraId="6E036B46" w14:textId="77777777" w:rsidTr="00B0200A">
        <w:tc>
          <w:tcPr>
            <w:tcW w:w="10802" w:type="dxa"/>
            <w:vAlign w:val="center"/>
          </w:tcPr>
          <w:p w14:paraId="020C9087" w14:textId="77777777" w:rsidR="009626B8" w:rsidRPr="00F60F3D" w:rsidRDefault="00EF3212"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Document</w:t>
            </w:r>
            <w:r w:rsidR="009626B8" w:rsidRPr="00F60F3D">
              <w:rPr>
                <w:rFonts w:ascii="Times New Roman" w:hAnsi="Times New Roman" w:cs="Times New Roman"/>
                <w:sz w:val="24"/>
                <w:szCs w:val="24"/>
              </w:rPr>
              <w:t xml:space="preserve"> de politique agricole 2016-2030</w:t>
            </w:r>
          </w:p>
        </w:tc>
        <w:tc>
          <w:tcPr>
            <w:tcW w:w="1843" w:type="dxa"/>
            <w:vAlign w:val="center"/>
          </w:tcPr>
          <w:p w14:paraId="371146C3" w14:textId="77777777" w:rsidR="009626B8" w:rsidRPr="00F60F3D" w:rsidRDefault="009626B8"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MAEP</w:t>
            </w:r>
          </w:p>
        </w:tc>
        <w:tc>
          <w:tcPr>
            <w:tcW w:w="1701" w:type="dxa"/>
            <w:vAlign w:val="center"/>
          </w:tcPr>
          <w:p w14:paraId="2CD477C4" w14:textId="77777777" w:rsidR="009626B8" w:rsidRPr="00F60F3D" w:rsidRDefault="009626B8" w:rsidP="00E056B1">
            <w:pPr>
              <w:spacing w:after="0" w:line="240" w:lineRule="auto"/>
              <w:rPr>
                <w:rFonts w:ascii="Times New Roman" w:hAnsi="Times New Roman" w:cs="Times New Roman"/>
                <w:sz w:val="24"/>
                <w:szCs w:val="24"/>
              </w:rPr>
            </w:pPr>
          </w:p>
        </w:tc>
      </w:tr>
      <w:tr w:rsidR="00D61FC5" w:rsidRPr="00F60F3D" w14:paraId="56D03356" w14:textId="77777777" w:rsidTr="00B0200A">
        <w:trPr>
          <w:trHeight w:val="230"/>
        </w:trPr>
        <w:tc>
          <w:tcPr>
            <w:tcW w:w="10802" w:type="dxa"/>
            <w:vMerge w:val="restart"/>
            <w:vAlign w:val="center"/>
          </w:tcPr>
          <w:p w14:paraId="14374ACD" w14:textId="7D389D82" w:rsidR="00D61FC5" w:rsidRPr="00F60F3D" w:rsidRDefault="00D61FC5" w:rsidP="00E056B1">
            <w:pPr>
              <w:spacing w:after="0" w:line="240" w:lineRule="auto"/>
              <w:rPr>
                <w:rFonts w:ascii="Times New Roman" w:eastAsia="Calibri" w:hAnsi="Times New Roman" w:cs="Times New Roman"/>
                <w:sz w:val="24"/>
                <w:szCs w:val="24"/>
              </w:rPr>
            </w:pPr>
            <w:bookmarkStart w:id="24" w:name="_Toc533413749"/>
            <w:r w:rsidRPr="00F60F3D">
              <w:rPr>
                <w:rStyle w:val="Titre2Car"/>
                <w:rFonts w:ascii="Times New Roman" w:eastAsia="Times New Roman" w:hAnsi="Times New Roman" w:cs="Times New Roman"/>
                <w:b w:val="0"/>
                <w:color w:val="auto"/>
                <w:sz w:val="24"/>
                <w:szCs w:val="24"/>
              </w:rPr>
              <w:t>-Politique nationale de l’environnement</w:t>
            </w:r>
            <w:bookmarkEnd w:id="24"/>
          </w:p>
          <w:p w14:paraId="283D6361" w14:textId="449040C4" w:rsidR="00A9140E" w:rsidRPr="00B0200A" w:rsidRDefault="00D61FC5"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-Politique forestière du Togo (PFT)</w:t>
            </w:r>
          </w:p>
        </w:tc>
        <w:tc>
          <w:tcPr>
            <w:tcW w:w="1843" w:type="dxa"/>
            <w:vMerge w:val="restart"/>
            <w:vAlign w:val="center"/>
          </w:tcPr>
          <w:p w14:paraId="561A4FF6"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MERF</w:t>
            </w:r>
          </w:p>
        </w:tc>
        <w:tc>
          <w:tcPr>
            <w:tcW w:w="1701" w:type="dxa"/>
            <w:vAlign w:val="center"/>
          </w:tcPr>
          <w:p w14:paraId="4A7A7465" w14:textId="77777777" w:rsidR="00D61FC5" w:rsidRPr="00F60F3D" w:rsidRDefault="00D61FC5" w:rsidP="00E056B1">
            <w:pPr>
              <w:spacing w:after="0" w:line="240" w:lineRule="auto"/>
              <w:rPr>
                <w:rFonts w:ascii="Times New Roman" w:eastAsia="Calibri" w:hAnsi="Times New Roman" w:cs="Times New Roman"/>
                <w:sz w:val="24"/>
                <w:szCs w:val="24"/>
              </w:rPr>
            </w:pPr>
          </w:p>
        </w:tc>
      </w:tr>
      <w:tr w:rsidR="00D61FC5" w:rsidRPr="00F60F3D" w14:paraId="5208BF59" w14:textId="77777777" w:rsidTr="00B0200A">
        <w:trPr>
          <w:trHeight w:val="230"/>
        </w:trPr>
        <w:tc>
          <w:tcPr>
            <w:tcW w:w="10802" w:type="dxa"/>
            <w:vMerge/>
            <w:vAlign w:val="center"/>
          </w:tcPr>
          <w:p w14:paraId="0C4E529F" w14:textId="77777777" w:rsidR="00D61FC5" w:rsidRPr="00F60F3D" w:rsidRDefault="00D61FC5" w:rsidP="00E056B1">
            <w:pPr>
              <w:spacing w:after="0" w:line="240" w:lineRule="auto"/>
              <w:rPr>
                <w:rFonts w:ascii="Times New Roman" w:eastAsia="Calibri" w:hAnsi="Times New Roman" w:cs="Times New Roman"/>
                <w:sz w:val="24"/>
                <w:szCs w:val="24"/>
              </w:rPr>
            </w:pPr>
          </w:p>
        </w:tc>
        <w:tc>
          <w:tcPr>
            <w:tcW w:w="1843" w:type="dxa"/>
            <w:vMerge/>
            <w:vAlign w:val="center"/>
          </w:tcPr>
          <w:p w14:paraId="33C45236" w14:textId="77777777" w:rsidR="00D61FC5" w:rsidRPr="00F60F3D" w:rsidRDefault="00D61FC5" w:rsidP="00E056B1">
            <w:pPr>
              <w:spacing w:after="0" w:line="240" w:lineRule="auto"/>
              <w:rPr>
                <w:rFonts w:ascii="Times New Roman" w:hAnsi="Times New Roman" w:cs="Times New Roman"/>
                <w:sz w:val="24"/>
                <w:szCs w:val="24"/>
              </w:rPr>
            </w:pPr>
          </w:p>
        </w:tc>
        <w:tc>
          <w:tcPr>
            <w:tcW w:w="1701" w:type="dxa"/>
            <w:vAlign w:val="center"/>
          </w:tcPr>
          <w:p w14:paraId="0D92C127" w14:textId="77777777" w:rsidR="00D61FC5" w:rsidRPr="00F60F3D" w:rsidRDefault="00D61FC5" w:rsidP="00E056B1">
            <w:pPr>
              <w:spacing w:after="0" w:line="240" w:lineRule="auto"/>
              <w:rPr>
                <w:rFonts w:ascii="Times New Roman" w:hAnsi="Times New Roman" w:cs="Times New Roman"/>
                <w:sz w:val="24"/>
                <w:szCs w:val="24"/>
              </w:rPr>
            </w:pPr>
          </w:p>
        </w:tc>
      </w:tr>
      <w:tr w:rsidR="00D61FC5" w:rsidRPr="00F60F3D" w14:paraId="4CBF4936" w14:textId="77777777" w:rsidTr="00B0200A">
        <w:trPr>
          <w:trHeight w:val="237"/>
        </w:trPr>
        <w:tc>
          <w:tcPr>
            <w:tcW w:w="10802" w:type="dxa"/>
            <w:vAlign w:val="center"/>
          </w:tcPr>
          <w:p w14:paraId="34A18C6E"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Politique nationale du tourisme</w:t>
            </w:r>
          </w:p>
        </w:tc>
        <w:tc>
          <w:tcPr>
            <w:tcW w:w="1843" w:type="dxa"/>
            <w:vAlign w:val="center"/>
          </w:tcPr>
          <w:p w14:paraId="34951C4C" w14:textId="77777777" w:rsidR="00D61FC5" w:rsidRPr="00F60F3D" w:rsidRDefault="00D61FC5"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Ministère de l’industrie et du tourisme</w:t>
            </w:r>
          </w:p>
        </w:tc>
        <w:tc>
          <w:tcPr>
            <w:tcW w:w="1701" w:type="dxa"/>
            <w:vAlign w:val="center"/>
          </w:tcPr>
          <w:p w14:paraId="576B5C43" w14:textId="77777777" w:rsidR="00D61FC5" w:rsidRPr="00F60F3D" w:rsidRDefault="00D61FC5" w:rsidP="00E056B1">
            <w:pPr>
              <w:spacing w:after="0" w:line="240" w:lineRule="auto"/>
              <w:rPr>
                <w:rFonts w:ascii="Times New Roman" w:hAnsi="Times New Roman" w:cs="Times New Roman"/>
                <w:sz w:val="24"/>
                <w:szCs w:val="24"/>
              </w:rPr>
            </w:pPr>
          </w:p>
        </w:tc>
      </w:tr>
      <w:tr w:rsidR="00D61FC5" w:rsidRPr="00F60F3D" w14:paraId="46190903" w14:textId="77777777" w:rsidTr="00B0200A">
        <w:trPr>
          <w:trHeight w:val="237"/>
        </w:trPr>
        <w:tc>
          <w:tcPr>
            <w:tcW w:w="10802" w:type="dxa"/>
            <w:vAlign w:val="center"/>
          </w:tcPr>
          <w:p w14:paraId="61687269" w14:textId="77777777" w:rsidR="00D61FC5" w:rsidRPr="00F60F3D" w:rsidRDefault="00D61FC5" w:rsidP="00E056B1">
            <w:pPr>
              <w:spacing w:after="0" w:line="240" w:lineRule="auto"/>
              <w:rPr>
                <w:rFonts w:ascii="Times New Roman" w:eastAsia="Calibri" w:hAnsi="Times New Roman" w:cs="Times New Roman"/>
                <w:b/>
                <w:sz w:val="24"/>
                <w:szCs w:val="24"/>
              </w:rPr>
            </w:pPr>
            <w:r w:rsidRPr="00F60F3D">
              <w:rPr>
                <w:rFonts w:ascii="Times New Roman" w:eastAsia="Calibri" w:hAnsi="Times New Roman" w:cs="Times New Roman"/>
                <w:b/>
                <w:sz w:val="24"/>
                <w:szCs w:val="24"/>
              </w:rPr>
              <w:t>Mesures législatives</w:t>
            </w:r>
            <w:r w:rsidR="00C5672B" w:rsidRPr="00F60F3D">
              <w:rPr>
                <w:rFonts w:ascii="Times New Roman" w:eastAsia="Calibri" w:hAnsi="Times New Roman" w:cs="Times New Roman"/>
                <w:b/>
                <w:sz w:val="24"/>
                <w:szCs w:val="24"/>
              </w:rPr>
              <w:t xml:space="preserve"> et réglementaires</w:t>
            </w:r>
          </w:p>
        </w:tc>
        <w:tc>
          <w:tcPr>
            <w:tcW w:w="1843" w:type="dxa"/>
            <w:vAlign w:val="center"/>
          </w:tcPr>
          <w:p w14:paraId="7EF9FF28" w14:textId="77777777" w:rsidR="00D61FC5" w:rsidRPr="00F60F3D" w:rsidRDefault="00D61FC5" w:rsidP="00E056B1">
            <w:pPr>
              <w:spacing w:after="0" w:line="240" w:lineRule="auto"/>
              <w:jc w:val="center"/>
              <w:rPr>
                <w:rFonts w:ascii="Times New Roman" w:hAnsi="Times New Roman" w:cs="Times New Roman"/>
                <w:b/>
                <w:sz w:val="24"/>
                <w:szCs w:val="24"/>
              </w:rPr>
            </w:pPr>
          </w:p>
        </w:tc>
        <w:tc>
          <w:tcPr>
            <w:tcW w:w="1701" w:type="dxa"/>
            <w:vAlign w:val="center"/>
          </w:tcPr>
          <w:p w14:paraId="57BE99A4" w14:textId="77777777" w:rsidR="00D61FC5" w:rsidRPr="00F60F3D" w:rsidRDefault="00D61FC5" w:rsidP="00E056B1">
            <w:pPr>
              <w:spacing w:after="0" w:line="240" w:lineRule="auto"/>
              <w:rPr>
                <w:rFonts w:ascii="Times New Roman" w:hAnsi="Times New Roman" w:cs="Times New Roman"/>
                <w:b/>
                <w:sz w:val="24"/>
                <w:szCs w:val="24"/>
              </w:rPr>
            </w:pPr>
          </w:p>
        </w:tc>
      </w:tr>
      <w:tr w:rsidR="00C5672B" w:rsidRPr="00F60F3D" w14:paraId="3CE25D87" w14:textId="77777777" w:rsidTr="00B0200A">
        <w:trPr>
          <w:trHeight w:val="237"/>
        </w:trPr>
        <w:tc>
          <w:tcPr>
            <w:tcW w:w="10802" w:type="dxa"/>
            <w:vAlign w:val="center"/>
          </w:tcPr>
          <w:p w14:paraId="497B8929" w14:textId="77777777" w:rsidR="00C5672B" w:rsidRPr="00F60F3D" w:rsidRDefault="00C5672B"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-Adoption des textes fixant les conditions d’attribution ou de création des forêts communautaires</w:t>
            </w:r>
          </w:p>
        </w:tc>
        <w:tc>
          <w:tcPr>
            <w:tcW w:w="1843" w:type="dxa"/>
            <w:vAlign w:val="center"/>
          </w:tcPr>
          <w:p w14:paraId="2349D844" w14:textId="77777777" w:rsidR="00C5672B" w:rsidRPr="00F60F3D" w:rsidRDefault="00C5672B" w:rsidP="00E056B1">
            <w:pPr>
              <w:spacing w:after="0" w:line="240" w:lineRule="auto"/>
              <w:jc w:val="center"/>
              <w:rPr>
                <w:rFonts w:ascii="Times New Roman" w:hAnsi="Times New Roman" w:cs="Times New Roman"/>
                <w:sz w:val="24"/>
                <w:szCs w:val="24"/>
              </w:rPr>
            </w:pPr>
          </w:p>
        </w:tc>
        <w:tc>
          <w:tcPr>
            <w:tcW w:w="1701" w:type="dxa"/>
            <w:vAlign w:val="center"/>
          </w:tcPr>
          <w:p w14:paraId="62FA7188" w14:textId="77777777" w:rsidR="00C5672B" w:rsidRPr="00F60F3D" w:rsidRDefault="00C5672B"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Juin 2016</w:t>
            </w:r>
          </w:p>
        </w:tc>
      </w:tr>
      <w:tr w:rsidR="00D61FC5" w:rsidRPr="00F60F3D" w14:paraId="49F18FED" w14:textId="77777777" w:rsidTr="00B0200A">
        <w:tc>
          <w:tcPr>
            <w:tcW w:w="10802" w:type="dxa"/>
            <w:vAlign w:val="center"/>
          </w:tcPr>
          <w:p w14:paraId="532AC5D4"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hAnsi="Times New Roman" w:cs="Times New Roman"/>
                <w:sz w:val="24"/>
                <w:szCs w:val="24"/>
              </w:rPr>
              <w:t xml:space="preserve">Ratification du protocole de Nagoya sur l’APA et le protocole de Nagoya-Kuala Lumpur sur la responsabilité et la réparation en cas de dommage résultant de l’utilisation des biotechnologies modernes </w:t>
            </w:r>
          </w:p>
        </w:tc>
        <w:tc>
          <w:tcPr>
            <w:tcW w:w="1843" w:type="dxa"/>
            <w:vAlign w:val="center"/>
          </w:tcPr>
          <w:p w14:paraId="2AF4424A"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hAnsi="Times New Roman" w:cs="Times New Roman"/>
                <w:sz w:val="24"/>
                <w:szCs w:val="24"/>
              </w:rPr>
              <w:t>MERF/Direction des ressources forestières (DRF)</w:t>
            </w:r>
          </w:p>
        </w:tc>
        <w:tc>
          <w:tcPr>
            <w:tcW w:w="1701" w:type="dxa"/>
            <w:vAlign w:val="center"/>
          </w:tcPr>
          <w:p w14:paraId="779FD66A" w14:textId="77777777" w:rsidR="00D61FC5" w:rsidRPr="00F60F3D" w:rsidRDefault="00D61FC5"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9 février 2016</w:t>
            </w:r>
          </w:p>
        </w:tc>
      </w:tr>
      <w:tr w:rsidR="00D61FC5" w:rsidRPr="00F60F3D" w14:paraId="6E919AD4" w14:textId="77777777" w:rsidTr="00B0200A">
        <w:tc>
          <w:tcPr>
            <w:tcW w:w="10802" w:type="dxa"/>
            <w:vAlign w:val="center"/>
          </w:tcPr>
          <w:p w14:paraId="532B54D5" w14:textId="77777777" w:rsidR="00D61FC5" w:rsidRPr="00F60F3D" w:rsidRDefault="003C327D" w:rsidP="003C327D">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P</w:t>
            </w:r>
            <w:r w:rsidR="00E1712F">
              <w:rPr>
                <w:rFonts w:ascii="Times New Roman" w:hAnsi="Times New Roman" w:cs="Times New Roman"/>
                <w:sz w:val="24"/>
                <w:szCs w:val="24"/>
              </w:rPr>
              <w:t>r</w:t>
            </w:r>
            <w:r w:rsidRPr="00F60F3D">
              <w:rPr>
                <w:rFonts w:ascii="Times New Roman" w:hAnsi="Times New Roman" w:cs="Times New Roman"/>
                <w:sz w:val="24"/>
                <w:szCs w:val="24"/>
              </w:rPr>
              <w:t>ocessus de r</w:t>
            </w:r>
            <w:r w:rsidR="00D61FC5" w:rsidRPr="00F60F3D">
              <w:rPr>
                <w:rFonts w:ascii="Times New Roman" w:hAnsi="Times New Roman" w:cs="Times New Roman"/>
                <w:sz w:val="24"/>
                <w:szCs w:val="24"/>
              </w:rPr>
              <w:t xml:space="preserve">évision </w:t>
            </w:r>
            <w:r w:rsidRPr="00F60F3D">
              <w:rPr>
                <w:rFonts w:ascii="Times New Roman" w:hAnsi="Times New Roman" w:cs="Times New Roman"/>
                <w:sz w:val="24"/>
                <w:szCs w:val="24"/>
              </w:rPr>
              <w:t xml:space="preserve">en cours </w:t>
            </w:r>
            <w:r w:rsidR="00D61FC5" w:rsidRPr="00F60F3D">
              <w:rPr>
                <w:rFonts w:ascii="Times New Roman" w:hAnsi="Times New Roman" w:cs="Times New Roman"/>
                <w:sz w:val="24"/>
                <w:szCs w:val="24"/>
              </w:rPr>
              <w:t>de la loi sur la biosécurité pour de loi portant prévention des risques biotechnologiques pour la prise en compte du protocole de Nagoya Kuala Lumpur sur la responsabilité et la réparation</w:t>
            </w:r>
          </w:p>
        </w:tc>
        <w:tc>
          <w:tcPr>
            <w:tcW w:w="1843" w:type="dxa"/>
            <w:vAlign w:val="center"/>
          </w:tcPr>
          <w:p w14:paraId="40625222" w14:textId="77777777" w:rsidR="00D61FC5" w:rsidRPr="00F60F3D" w:rsidRDefault="00D61FC5" w:rsidP="00E056B1">
            <w:pPr>
              <w:spacing w:after="0" w:line="240" w:lineRule="auto"/>
              <w:rPr>
                <w:rFonts w:ascii="Times New Roman" w:hAnsi="Times New Roman" w:cs="Times New Roman"/>
                <w:sz w:val="24"/>
                <w:szCs w:val="24"/>
              </w:rPr>
            </w:pPr>
          </w:p>
        </w:tc>
        <w:tc>
          <w:tcPr>
            <w:tcW w:w="1701" w:type="dxa"/>
            <w:vAlign w:val="center"/>
          </w:tcPr>
          <w:p w14:paraId="16F5CBA1" w14:textId="77777777" w:rsidR="00D61FC5" w:rsidRPr="00F60F3D" w:rsidRDefault="003C327D" w:rsidP="00E056B1">
            <w:pPr>
              <w:spacing w:after="0" w:line="240" w:lineRule="auto"/>
              <w:rPr>
                <w:rFonts w:ascii="Times New Roman" w:hAnsi="Times New Roman" w:cs="Times New Roman"/>
                <w:sz w:val="24"/>
                <w:szCs w:val="24"/>
              </w:rPr>
            </w:pPr>
            <w:r w:rsidRPr="00F60F3D">
              <w:rPr>
                <w:rFonts w:ascii="Times New Roman" w:hAnsi="Times New Roman" w:cs="Times New Roman"/>
                <w:sz w:val="24"/>
                <w:szCs w:val="24"/>
              </w:rPr>
              <w:t>2014</w:t>
            </w:r>
          </w:p>
        </w:tc>
      </w:tr>
      <w:tr w:rsidR="00D61FC5" w:rsidRPr="00F60F3D" w14:paraId="45A97AA3" w14:textId="77777777" w:rsidTr="00B0200A">
        <w:tc>
          <w:tcPr>
            <w:tcW w:w="10802" w:type="dxa"/>
            <w:vAlign w:val="center"/>
          </w:tcPr>
          <w:p w14:paraId="62EDB1D2" w14:textId="77777777" w:rsidR="00D61FC5" w:rsidRPr="00F60F3D" w:rsidRDefault="00D61FC5" w:rsidP="00E056B1">
            <w:pPr>
              <w:spacing w:after="0" w:line="240" w:lineRule="auto"/>
              <w:rPr>
                <w:rFonts w:ascii="Times New Roman" w:hAnsi="Times New Roman" w:cs="Times New Roman"/>
                <w:sz w:val="24"/>
                <w:szCs w:val="24"/>
              </w:rPr>
            </w:pPr>
            <w:r w:rsidRPr="00F60F3D">
              <w:rPr>
                <w:rFonts w:ascii="Times New Roman" w:eastAsia="Calibri" w:hAnsi="Times New Roman" w:cs="Times New Roman"/>
                <w:sz w:val="24"/>
                <w:szCs w:val="24"/>
              </w:rPr>
              <w:t>-Décret n°2017-04/PR du 23 mars 2017 fixant la procédure des études d’impact environnemental et social</w:t>
            </w:r>
          </w:p>
          <w:p w14:paraId="53CBBA67"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-Arrêté n°0149/MERF/CAB/ANGE portant conditions d’agrément de consultants en évaluations environnementales</w:t>
            </w:r>
          </w:p>
          <w:p w14:paraId="49BAD796" w14:textId="19F8C93C"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-Elaboration du plan stratégique de</w:t>
            </w:r>
            <w:r w:rsidR="00EC17E3">
              <w:rPr>
                <w:rFonts w:ascii="Times New Roman" w:eastAsia="Calibri" w:hAnsi="Times New Roman" w:cs="Times New Roman"/>
                <w:sz w:val="24"/>
                <w:szCs w:val="24"/>
              </w:rPr>
              <w:t xml:space="preserve"> </w:t>
            </w:r>
            <w:r w:rsidRPr="00F60F3D">
              <w:rPr>
                <w:rFonts w:ascii="Times New Roman" w:eastAsia="Calibri" w:hAnsi="Times New Roman" w:cs="Times New Roman"/>
                <w:sz w:val="24"/>
                <w:szCs w:val="24"/>
              </w:rPr>
              <w:t>l’ANGE 2015 – 2019</w:t>
            </w:r>
          </w:p>
          <w:p w14:paraId="1FED6AFD" w14:textId="77777777" w:rsidR="00D61FC5" w:rsidRPr="00F60F3D" w:rsidRDefault="00D61FC5" w:rsidP="00E056B1">
            <w:pPr>
              <w:spacing w:after="0" w:line="240" w:lineRule="auto"/>
              <w:rPr>
                <w:rFonts w:ascii="Times New Roman" w:eastAsia="Calibri" w:hAnsi="Times New Roman" w:cs="Times New Roman"/>
                <w:sz w:val="24"/>
                <w:szCs w:val="24"/>
              </w:rPr>
            </w:pPr>
            <w:r w:rsidRPr="00F60F3D">
              <w:rPr>
                <w:rFonts w:ascii="Times New Roman" w:eastAsia="Calibri" w:hAnsi="Times New Roman" w:cs="Times New Roman"/>
                <w:sz w:val="24"/>
                <w:szCs w:val="24"/>
              </w:rPr>
              <w:t>-Arrêté n°0150/MERF/ANGE du 22 décembre 2017 fixant les modalités de participation du public aux  EIES</w:t>
            </w:r>
          </w:p>
          <w:p w14:paraId="722E290D" w14:textId="77777777" w:rsidR="00D61FC5" w:rsidRPr="00F60F3D" w:rsidRDefault="00D61FC5" w:rsidP="003C327D">
            <w:pPr>
              <w:spacing w:after="0" w:line="240" w:lineRule="auto"/>
              <w:rPr>
                <w:rFonts w:ascii="Times New Roman" w:hAnsi="Times New Roman" w:cs="Times New Roman"/>
                <w:sz w:val="24"/>
                <w:szCs w:val="24"/>
              </w:rPr>
            </w:pPr>
            <w:r w:rsidRPr="00F60F3D">
              <w:rPr>
                <w:rFonts w:ascii="Times New Roman" w:eastAsia="Calibri" w:hAnsi="Times New Roman" w:cs="Times New Roman"/>
                <w:sz w:val="24"/>
                <w:szCs w:val="24"/>
              </w:rPr>
              <w:t>-Arrêté n°0151/MERF/ANGE du 22 décembre 2017 fixant la liste des activités et projets soumis à EIES</w:t>
            </w:r>
          </w:p>
        </w:tc>
        <w:tc>
          <w:tcPr>
            <w:tcW w:w="1843" w:type="dxa"/>
            <w:vAlign w:val="center"/>
          </w:tcPr>
          <w:p w14:paraId="6FE9B9F3" w14:textId="77777777" w:rsidR="00D61FC5" w:rsidRPr="00F60F3D" w:rsidRDefault="00D61FC5" w:rsidP="00E056B1">
            <w:pPr>
              <w:spacing w:after="0" w:line="240" w:lineRule="auto"/>
              <w:rPr>
                <w:rFonts w:ascii="Times New Roman" w:hAnsi="Times New Roman" w:cs="Times New Roman"/>
                <w:sz w:val="24"/>
                <w:szCs w:val="24"/>
              </w:rPr>
            </w:pPr>
            <w:r w:rsidRPr="00F60F3D">
              <w:rPr>
                <w:rFonts w:ascii="Times New Roman" w:eastAsia="Calibri" w:hAnsi="Times New Roman" w:cs="Times New Roman"/>
                <w:sz w:val="24"/>
                <w:szCs w:val="24"/>
              </w:rPr>
              <w:t>MERF/Agence Nationale de Gestion de l’Environnement (ANGE)</w:t>
            </w:r>
          </w:p>
        </w:tc>
        <w:tc>
          <w:tcPr>
            <w:tcW w:w="1701" w:type="dxa"/>
            <w:vAlign w:val="center"/>
          </w:tcPr>
          <w:p w14:paraId="748FA492" w14:textId="77777777" w:rsidR="00D61FC5" w:rsidRPr="00F60F3D" w:rsidRDefault="00D61FC5" w:rsidP="00E056B1">
            <w:pPr>
              <w:spacing w:after="0" w:line="240" w:lineRule="auto"/>
              <w:rPr>
                <w:rFonts w:ascii="Times New Roman" w:eastAsia="Calibri" w:hAnsi="Times New Roman" w:cs="Times New Roman"/>
                <w:sz w:val="24"/>
                <w:szCs w:val="24"/>
              </w:rPr>
            </w:pPr>
          </w:p>
        </w:tc>
      </w:tr>
      <w:tr w:rsidR="00D61FC5" w:rsidRPr="00F60F3D" w14:paraId="2521DB16" w14:textId="77777777" w:rsidTr="00B0200A">
        <w:tc>
          <w:tcPr>
            <w:tcW w:w="10802" w:type="dxa"/>
            <w:vAlign w:val="center"/>
          </w:tcPr>
          <w:p w14:paraId="11D293F6" w14:textId="77777777" w:rsidR="00D61FC5" w:rsidRPr="00F60F3D" w:rsidRDefault="00D61FC5" w:rsidP="00E056B1">
            <w:pPr>
              <w:spacing w:after="0" w:line="240" w:lineRule="auto"/>
              <w:rPr>
                <w:rFonts w:ascii="Times New Roman" w:eastAsia="Calibri" w:hAnsi="Times New Roman" w:cs="Times New Roman"/>
                <w:b/>
                <w:sz w:val="24"/>
                <w:szCs w:val="24"/>
              </w:rPr>
            </w:pPr>
            <w:r w:rsidRPr="00F60F3D">
              <w:rPr>
                <w:rFonts w:ascii="Times New Roman" w:eastAsia="Calibri" w:hAnsi="Times New Roman" w:cs="Times New Roman"/>
                <w:b/>
                <w:sz w:val="24"/>
                <w:szCs w:val="24"/>
              </w:rPr>
              <w:t>Mesures institutionnelles</w:t>
            </w:r>
          </w:p>
        </w:tc>
        <w:tc>
          <w:tcPr>
            <w:tcW w:w="1843" w:type="dxa"/>
            <w:vAlign w:val="center"/>
          </w:tcPr>
          <w:p w14:paraId="5683088D" w14:textId="77777777" w:rsidR="00D61FC5" w:rsidRPr="00F60F3D" w:rsidRDefault="00D61FC5" w:rsidP="00E056B1">
            <w:pPr>
              <w:spacing w:after="0" w:line="240" w:lineRule="auto"/>
              <w:jc w:val="center"/>
              <w:rPr>
                <w:rFonts w:ascii="Times New Roman" w:hAnsi="Times New Roman" w:cs="Times New Roman"/>
                <w:b/>
                <w:sz w:val="24"/>
                <w:szCs w:val="24"/>
              </w:rPr>
            </w:pPr>
            <w:r w:rsidRPr="00F60F3D">
              <w:rPr>
                <w:rFonts w:ascii="Times New Roman" w:hAnsi="Times New Roman" w:cs="Times New Roman"/>
                <w:b/>
                <w:sz w:val="24"/>
                <w:szCs w:val="24"/>
              </w:rPr>
              <w:t>Structure</w:t>
            </w:r>
          </w:p>
        </w:tc>
        <w:tc>
          <w:tcPr>
            <w:tcW w:w="1701" w:type="dxa"/>
            <w:vAlign w:val="center"/>
          </w:tcPr>
          <w:p w14:paraId="7BEBEE4C" w14:textId="77777777" w:rsidR="00D61FC5" w:rsidRPr="00F60F3D" w:rsidRDefault="00D61FC5" w:rsidP="00E056B1">
            <w:pPr>
              <w:spacing w:after="0" w:line="240" w:lineRule="auto"/>
              <w:rPr>
                <w:rFonts w:ascii="Times New Roman" w:hAnsi="Times New Roman" w:cs="Times New Roman"/>
                <w:b/>
                <w:sz w:val="24"/>
                <w:szCs w:val="24"/>
              </w:rPr>
            </w:pPr>
            <w:r w:rsidRPr="00F60F3D">
              <w:rPr>
                <w:rFonts w:ascii="Times New Roman" w:hAnsi="Times New Roman" w:cs="Times New Roman"/>
                <w:b/>
                <w:sz w:val="24"/>
                <w:szCs w:val="24"/>
              </w:rPr>
              <w:t xml:space="preserve">Date de mise en œuvre </w:t>
            </w:r>
          </w:p>
        </w:tc>
      </w:tr>
      <w:tr w:rsidR="0013293A" w:rsidRPr="00F971D4" w:rsidDel="0013293A" w14:paraId="22481EC9" w14:textId="77777777" w:rsidTr="00B0200A">
        <w:tc>
          <w:tcPr>
            <w:tcW w:w="10802" w:type="dxa"/>
            <w:vAlign w:val="center"/>
          </w:tcPr>
          <w:p w14:paraId="1EDEB00A" w14:textId="77777777" w:rsidR="0013293A" w:rsidRPr="00F60F3D" w:rsidDel="0013293A" w:rsidRDefault="0013293A" w:rsidP="00E056B1">
            <w:pPr>
              <w:spacing w:after="0" w:line="240" w:lineRule="auto"/>
              <w:rPr>
                <w:rFonts w:ascii="Times New Roman" w:eastAsia="Calibri" w:hAnsi="Times New Roman" w:cs="Times New Roman"/>
                <w:sz w:val="24"/>
                <w:szCs w:val="24"/>
              </w:rPr>
            </w:pPr>
            <w:r w:rsidRPr="00F60F3D">
              <w:rPr>
                <w:rFonts w:ascii="Times New Roman" w:hAnsi="Times New Roman" w:cs="Times New Roman"/>
                <w:sz w:val="24"/>
                <w:szCs w:val="24"/>
              </w:rPr>
              <w:t>Nomination de l’autorité nationale de publication du centre d’échange APA</w:t>
            </w:r>
          </w:p>
        </w:tc>
        <w:tc>
          <w:tcPr>
            <w:tcW w:w="1843" w:type="dxa"/>
            <w:vAlign w:val="center"/>
          </w:tcPr>
          <w:p w14:paraId="60142953" w14:textId="77777777" w:rsidR="0013293A" w:rsidRPr="00F60F3D" w:rsidDel="0013293A" w:rsidRDefault="0013293A" w:rsidP="00E056B1">
            <w:pPr>
              <w:spacing w:after="0" w:line="240" w:lineRule="auto"/>
              <w:rPr>
                <w:rStyle w:val="st"/>
                <w:rFonts w:ascii="Times New Roman" w:hAnsi="Times New Roman" w:cs="Times New Roman"/>
                <w:sz w:val="24"/>
                <w:szCs w:val="24"/>
              </w:rPr>
            </w:pPr>
            <w:r w:rsidRPr="00F60F3D">
              <w:rPr>
                <w:rFonts w:ascii="Times New Roman" w:hAnsi="Times New Roman" w:cs="Times New Roman"/>
                <w:sz w:val="24"/>
                <w:szCs w:val="24"/>
              </w:rPr>
              <w:t>MERF</w:t>
            </w:r>
          </w:p>
        </w:tc>
        <w:tc>
          <w:tcPr>
            <w:tcW w:w="1701" w:type="dxa"/>
            <w:vAlign w:val="center"/>
          </w:tcPr>
          <w:p w14:paraId="0082501D" w14:textId="77777777" w:rsidR="0013293A" w:rsidRPr="00F971D4" w:rsidDel="0013293A" w:rsidRDefault="0013293A" w:rsidP="00E056B1">
            <w:pPr>
              <w:spacing w:after="0" w:line="240" w:lineRule="auto"/>
              <w:rPr>
                <w:rFonts w:ascii="Times New Roman" w:eastAsia="Calibri" w:hAnsi="Times New Roman" w:cs="Times New Roman"/>
                <w:sz w:val="24"/>
                <w:szCs w:val="24"/>
              </w:rPr>
            </w:pPr>
            <w:r w:rsidRPr="00F60F3D">
              <w:rPr>
                <w:rFonts w:ascii="Times New Roman" w:hAnsi="Times New Roman" w:cs="Times New Roman"/>
                <w:sz w:val="24"/>
                <w:szCs w:val="24"/>
              </w:rPr>
              <w:t>2018</w:t>
            </w:r>
          </w:p>
        </w:tc>
      </w:tr>
      <w:tr w:rsidR="0013293A" w:rsidRPr="00F971D4" w:rsidDel="0013293A" w14:paraId="7ECE9114" w14:textId="77777777" w:rsidTr="00B0200A">
        <w:tc>
          <w:tcPr>
            <w:tcW w:w="10802" w:type="dxa"/>
            <w:vAlign w:val="center"/>
          </w:tcPr>
          <w:p w14:paraId="43D1CBFA" w14:textId="77777777" w:rsidR="0013293A" w:rsidRPr="00F971D4" w:rsidDel="0013293A" w:rsidRDefault="0013293A" w:rsidP="00E056B1">
            <w:pPr>
              <w:spacing w:after="0" w:line="240" w:lineRule="auto"/>
              <w:rPr>
                <w:rFonts w:ascii="Times New Roman" w:eastAsia="Calibri" w:hAnsi="Times New Roman" w:cs="Times New Roman"/>
                <w:sz w:val="24"/>
                <w:szCs w:val="24"/>
              </w:rPr>
            </w:pPr>
            <w:r w:rsidRPr="00F971D4">
              <w:rPr>
                <w:rFonts w:ascii="Times New Roman" w:hAnsi="Times New Roman" w:cs="Times New Roman"/>
                <w:sz w:val="24"/>
                <w:szCs w:val="24"/>
              </w:rPr>
              <w:t>Nomination de 2 gestionnaires du CHM</w:t>
            </w:r>
          </w:p>
        </w:tc>
        <w:tc>
          <w:tcPr>
            <w:tcW w:w="1843" w:type="dxa"/>
            <w:vAlign w:val="center"/>
          </w:tcPr>
          <w:p w14:paraId="628B1BAF" w14:textId="77777777" w:rsidR="0013293A" w:rsidRPr="00F971D4" w:rsidDel="0013293A" w:rsidRDefault="0013293A" w:rsidP="00E056B1">
            <w:pPr>
              <w:spacing w:after="0" w:line="240" w:lineRule="auto"/>
              <w:rPr>
                <w:rStyle w:val="st"/>
                <w:rFonts w:ascii="Times New Roman" w:hAnsi="Times New Roman" w:cs="Times New Roman"/>
                <w:sz w:val="24"/>
                <w:szCs w:val="24"/>
              </w:rPr>
            </w:pPr>
            <w:r w:rsidRPr="00F971D4">
              <w:rPr>
                <w:rFonts w:ascii="Times New Roman" w:hAnsi="Times New Roman" w:cs="Times New Roman"/>
                <w:sz w:val="24"/>
                <w:szCs w:val="24"/>
              </w:rPr>
              <w:t>MERF</w:t>
            </w:r>
          </w:p>
        </w:tc>
        <w:tc>
          <w:tcPr>
            <w:tcW w:w="1701" w:type="dxa"/>
            <w:vAlign w:val="center"/>
          </w:tcPr>
          <w:p w14:paraId="0DB1F347" w14:textId="77777777" w:rsidR="0013293A" w:rsidRPr="00F971D4" w:rsidDel="0013293A" w:rsidRDefault="0013293A" w:rsidP="00E056B1">
            <w:pPr>
              <w:spacing w:after="0" w:line="240" w:lineRule="auto"/>
              <w:rPr>
                <w:rFonts w:ascii="Times New Roman" w:eastAsia="Calibri" w:hAnsi="Times New Roman" w:cs="Times New Roman"/>
                <w:sz w:val="24"/>
                <w:szCs w:val="24"/>
              </w:rPr>
            </w:pPr>
            <w:r w:rsidRPr="00F971D4">
              <w:rPr>
                <w:rFonts w:ascii="Times New Roman" w:hAnsi="Times New Roman" w:cs="Times New Roman"/>
                <w:sz w:val="24"/>
                <w:szCs w:val="24"/>
              </w:rPr>
              <w:t>2015</w:t>
            </w:r>
          </w:p>
        </w:tc>
      </w:tr>
      <w:tr w:rsidR="00D61FC5" w:rsidRPr="00F971D4" w14:paraId="79CA0ADD" w14:textId="77777777" w:rsidTr="00B0200A">
        <w:tc>
          <w:tcPr>
            <w:tcW w:w="10802" w:type="dxa"/>
            <w:vAlign w:val="center"/>
          </w:tcPr>
          <w:p w14:paraId="55A0A580" w14:textId="77777777" w:rsidR="00D61FC5" w:rsidRPr="00F971D4" w:rsidRDefault="00D61FC5" w:rsidP="00E056B1">
            <w:pPr>
              <w:spacing w:after="0" w:line="240" w:lineRule="auto"/>
              <w:rPr>
                <w:rFonts w:ascii="Times New Roman" w:eastAsia="Calibri" w:hAnsi="Times New Roman" w:cs="Times New Roman"/>
                <w:b/>
                <w:sz w:val="24"/>
                <w:szCs w:val="24"/>
              </w:rPr>
            </w:pPr>
            <w:r w:rsidRPr="00F971D4">
              <w:rPr>
                <w:rFonts w:ascii="Times New Roman" w:eastAsia="Calibri" w:hAnsi="Times New Roman" w:cs="Times New Roman"/>
                <w:b/>
                <w:sz w:val="24"/>
                <w:szCs w:val="24"/>
              </w:rPr>
              <w:t>Mesures financières</w:t>
            </w:r>
          </w:p>
        </w:tc>
        <w:tc>
          <w:tcPr>
            <w:tcW w:w="1843" w:type="dxa"/>
            <w:vAlign w:val="center"/>
          </w:tcPr>
          <w:p w14:paraId="0EF9F572" w14:textId="77777777" w:rsidR="00D61FC5" w:rsidRPr="00F971D4" w:rsidRDefault="00D61FC5" w:rsidP="00E056B1">
            <w:pPr>
              <w:spacing w:after="0" w:line="240" w:lineRule="auto"/>
              <w:jc w:val="center"/>
              <w:rPr>
                <w:rFonts w:ascii="Times New Roman" w:hAnsi="Times New Roman" w:cs="Times New Roman"/>
                <w:b/>
                <w:sz w:val="24"/>
                <w:szCs w:val="24"/>
              </w:rPr>
            </w:pPr>
            <w:r w:rsidRPr="00F971D4">
              <w:rPr>
                <w:rFonts w:ascii="Times New Roman" w:hAnsi="Times New Roman" w:cs="Times New Roman"/>
                <w:b/>
                <w:sz w:val="24"/>
                <w:szCs w:val="24"/>
              </w:rPr>
              <w:t>Structure</w:t>
            </w:r>
          </w:p>
        </w:tc>
        <w:tc>
          <w:tcPr>
            <w:tcW w:w="1701" w:type="dxa"/>
            <w:vAlign w:val="center"/>
          </w:tcPr>
          <w:p w14:paraId="2649D701" w14:textId="77777777" w:rsidR="00D61FC5" w:rsidRPr="00F971D4" w:rsidRDefault="00D61FC5" w:rsidP="00E056B1">
            <w:pPr>
              <w:spacing w:after="0" w:line="240" w:lineRule="auto"/>
              <w:rPr>
                <w:rFonts w:ascii="Times New Roman" w:hAnsi="Times New Roman" w:cs="Times New Roman"/>
                <w:b/>
                <w:sz w:val="24"/>
                <w:szCs w:val="24"/>
              </w:rPr>
            </w:pPr>
            <w:r w:rsidRPr="00F971D4">
              <w:rPr>
                <w:rFonts w:ascii="Times New Roman" w:hAnsi="Times New Roman" w:cs="Times New Roman"/>
                <w:b/>
                <w:sz w:val="24"/>
                <w:szCs w:val="24"/>
              </w:rPr>
              <w:t xml:space="preserve">Date de mise en œuvre </w:t>
            </w:r>
          </w:p>
        </w:tc>
      </w:tr>
      <w:tr w:rsidR="00D61FC5" w:rsidRPr="00F971D4" w14:paraId="1ACF09B6" w14:textId="77777777" w:rsidTr="00B0200A">
        <w:tc>
          <w:tcPr>
            <w:tcW w:w="10802" w:type="dxa"/>
            <w:vAlign w:val="center"/>
          </w:tcPr>
          <w:p w14:paraId="570FC7C1" w14:textId="77777777" w:rsidR="00D61FC5" w:rsidRPr="00F971D4" w:rsidRDefault="00D61FC5" w:rsidP="009F6DB0">
            <w:pPr>
              <w:spacing w:after="0" w:line="240" w:lineRule="auto"/>
              <w:rPr>
                <w:rFonts w:ascii="Times New Roman" w:eastAsia="Calibri" w:hAnsi="Times New Roman" w:cs="Times New Roman"/>
                <w:sz w:val="24"/>
                <w:szCs w:val="24"/>
              </w:rPr>
            </w:pPr>
            <w:r w:rsidRPr="00F971D4">
              <w:rPr>
                <w:rFonts w:ascii="Times New Roman" w:eastAsia="Calibri" w:hAnsi="Times New Roman" w:cs="Times New Roman"/>
                <w:sz w:val="24"/>
                <w:szCs w:val="24"/>
              </w:rPr>
              <w:t xml:space="preserve">Fonds national </w:t>
            </w:r>
            <w:r w:rsidR="009F6DB0" w:rsidRPr="00F971D4">
              <w:rPr>
                <w:rFonts w:ascii="Times New Roman" w:eastAsia="Calibri" w:hAnsi="Times New Roman" w:cs="Times New Roman"/>
                <w:sz w:val="24"/>
                <w:szCs w:val="24"/>
              </w:rPr>
              <w:t>de développement forestier FNDF</w:t>
            </w:r>
          </w:p>
        </w:tc>
        <w:tc>
          <w:tcPr>
            <w:tcW w:w="1843" w:type="dxa"/>
            <w:vAlign w:val="center"/>
          </w:tcPr>
          <w:p w14:paraId="136F208A"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MERF</w:t>
            </w:r>
          </w:p>
        </w:tc>
        <w:tc>
          <w:tcPr>
            <w:tcW w:w="1701" w:type="dxa"/>
            <w:vAlign w:val="center"/>
          </w:tcPr>
          <w:p w14:paraId="2940176A" w14:textId="77777777" w:rsidR="00D61FC5" w:rsidRPr="00F971D4" w:rsidRDefault="00D61FC5" w:rsidP="00E056B1">
            <w:pPr>
              <w:spacing w:after="0" w:line="240" w:lineRule="auto"/>
              <w:rPr>
                <w:rFonts w:ascii="Times New Roman" w:hAnsi="Times New Roman" w:cs="Times New Roman"/>
                <w:b/>
                <w:sz w:val="24"/>
                <w:szCs w:val="24"/>
              </w:rPr>
            </w:pPr>
            <w:r w:rsidRPr="00F971D4">
              <w:rPr>
                <w:rFonts w:ascii="Times New Roman" w:hAnsi="Times New Roman" w:cs="Times New Roman"/>
                <w:b/>
                <w:sz w:val="24"/>
                <w:szCs w:val="24"/>
              </w:rPr>
              <w:t>-</w:t>
            </w:r>
          </w:p>
        </w:tc>
      </w:tr>
      <w:tr w:rsidR="00D61FC5" w:rsidRPr="00F971D4" w14:paraId="0F121034" w14:textId="77777777" w:rsidTr="00B0200A">
        <w:tc>
          <w:tcPr>
            <w:tcW w:w="10802" w:type="dxa"/>
            <w:vAlign w:val="center"/>
          </w:tcPr>
          <w:p w14:paraId="13B45A8B" w14:textId="77777777" w:rsidR="00D61FC5" w:rsidRPr="00F971D4" w:rsidRDefault="00D61FC5" w:rsidP="00E056B1">
            <w:pPr>
              <w:spacing w:after="0" w:line="240" w:lineRule="auto"/>
              <w:rPr>
                <w:rFonts w:ascii="Times New Roman" w:eastAsia="Calibri" w:hAnsi="Times New Roman" w:cs="Times New Roman"/>
                <w:b/>
                <w:sz w:val="24"/>
                <w:szCs w:val="24"/>
              </w:rPr>
            </w:pPr>
            <w:r w:rsidRPr="00F971D4">
              <w:rPr>
                <w:rFonts w:ascii="Times New Roman" w:eastAsia="Calibri" w:hAnsi="Times New Roman" w:cs="Times New Roman"/>
                <w:b/>
                <w:sz w:val="24"/>
                <w:szCs w:val="24"/>
              </w:rPr>
              <w:t>Stratégies/plans/programmes/projets</w:t>
            </w:r>
          </w:p>
        </w:tc>
        <w:tc>
          <w:tcPr>
            <w:tcW w:w="1843" w:type="dxa"/>
            <w:vAlign w:val="center"/>
          </w:tcPr>
          <w:p w14:paraId="09024EA8" w14:textId="77777777" w:rsidR="00D61FC5" w:rsidRPr="00F971D4" w:rsidRDefault="00D61FC5" w:rsidP="00E056B1">
            <w:pPr>
              <w:spacing w:after="0" w:line="240" w:lineRule="auto"/>
              <w:jc w:val="center"/>
              <w:rPr>
                <w:rFonts w:ascii="Times New Roman" w:hAnsi="Times New Roman" w:cs="Times New Roman"/>
                <w:b/>
                <w:sz w:val="24"/>
                <w:szCs w:val="24"/>
              </w:rPr>
            </w:pPr>
            <w:r w:rsidRPr="00F971D4">
              <w:rPr>
                <w:rFonts w:ascii="Times New Roman" w:hAnsi="Times New Roman" w:cs="Times New Roman"/>
                <w:b/>
                <w:sz w:val="24"/>
                <w:szCs w:val="24"/>
              </w:rPr>
              <w:t>Structure</w:t>
            </w:r>
          </w:p>
        </w:tc>
        <w:tc>
          <w:tcPr>
            <w:tcW w:w="1701" w:type="dxa"/>
            <w:vAlign w:val="center"/>
          </w:tcPr>
          <w:p w14:paraId="38903370" w14:textId="77777777" w:rsidR="00D61FC5" w:rsidRPr="00F971D4" w:rsidRDefault="00D61FC5" w:rsidP="00E056B1">
            <w:pPr>
              <w:spacing w:after="0" w:line="240" w:lineRule="auto"/>
              <w:rPr>
                <w:rFonts w:ascii="Times New Roman" w:hAnsi="Times New Roman" w:cs="Times New Roman"/>
                <w:b/>
                <w:sz w:val="24"/>
                <w:szCs w:val="24"/>
              </w:rPr>
            </w:pPr>
            <w:r w:rsidRPr="00F971D4">
              <w:rPr>
                <w:rFonts w:ascii="Times New Roman" w:hAnsi="Times New Roman" w:cs="Times New Roman"/>
                <w:b/>
                <w:sz w:val="24"/>
                <w:szCs w:val="24"/>
              </w:rPr>
              <w:t xml:space="preserve">Date de mise en œuvre </w:t>
            </w:r>
          </w:p>
        </w:tc>
      </w:tr>
      <w:tr w:rsidR="00D61FC5" w:rsidRPr="00F971D4" w14:paraId="6246C8AE" w14:textId="77777777" w:rsidTr="00B0200A">
        <w:tc>
          <w:tcPr>
            <w:tcW w:w="10802" w:type="dxa"/>
            <w:vAlign w:val="center"/>
          </w:tcPr>
          <w:p w14:paraId="43045D6D"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-Projet gestion intégrée des catastrophes et des terres (</w:t>
            </w:r>
            <w:r w:rsidRPr="00F971D4">
              <w:rPr>
                <w:rFonts w:ascii="Times New Roman" w:hAnsi="Times New Roman" w:cs="Times New Roman"/>
                <w:b/>
                <w:sz w:val="24"/>
                <w:szCs w:val="24"/>
              </w:rPr>
              <w:t>PGICT</w:t>
            </w:r>
            <w:r w:rsidRPr="00F971D4">
              <w:rPr>
                <w:rFonts w:ascii="Times New Roman" w:hAnsi="Times New Roman" w:cs="Times New Roman"/>
                <w:sz w:val="24"/>
                <w:szCs w:val="24"/>
              </w:rPr>
              <w:t xml:space="preserve">) : </w:t>
            </w:r>
          </w:p>
          <w:p w14:paraId="198103D4" w14:textId="77777777" w:rsidR="00D61FC5" w:rsidRPr="00F971D4" w:rsidRDefault="00D61FC5" w:rsidP="00E50666">
            <w:pPr>
              <w:pStyle w:val="Paragraphedeliste"/>
              <w:numPr>
                <w:ilvl w:val="0"/>
                <w:numId w:val="16"/>
              </w:numPr>
              <w:spacing w:after="0" w:line="240" w:lineRule="auto"/>
              <w:ind w:left="318" w:hanging="142"/>
              <w:rPr>
                <w:rFonts w:ascii="Times New Roman" w:hAnsi="Times New Roman" w:cs="Times New Roman"/>
                <w:sz w:val="24"/>
                <w:szCs w:val="24"/>
              </w:rPr>
            </w:pPr>
            <w:r w:rsidRPr="00F971D4">
              <w:rPr>
                <w:rFonts w:ascii="Times New Roman" w:hAnsi="Times New Roman" w:cs="Times New Roman"/>
                <w:sz w:val="24"/>
                <w:szCs w:val="24"/>
              </w:rPr>
              <w:t>Elaboration d’une mallette pédagogique intégrée « gestion durable des terres</w:t>
            </w:r>
          </w:p>
          <w:p w14:paraId="057C9EB5" w14:textId="77777777" w:rsidR="009F6DB0" w:rsidRPr="00F971D4" w:rsidRDefault="009F6DB0" w:rsidP="00E50666">
            <w:pPr>
              <w:pStyle w:val="Paragraphedeliste"/>
              <w:numPr>
                <w:ilvl w:val="0"/>
                <w:numId w:val="16"/>
              </w:numPr>
              <w:spacing w:after="0" w:line="240" w:lineRule="auto"/>
              <w:ind w:left="318" w:hanging="142"/>
              <w:rPr>
                <w:rFonts w:ascii="Times New Roman" w:hAnsi="Times New Roman" w:cs="Times New Roman"/>
                <w:sz w:val="24"/>
                <w:szCs w:val="24"/>
              </w:rPr>
            </w:pPr>
            <w:r w:rsidRPr="00F971D4">
              <w:rPr>
                <w:rFonts w:ascii="Times New Roman" w:hAnsi="Times New Roman" w:cs="Times New Roman"/>
                <w:sz w:val="24"/>
                <w:szCs w:val="24"/>
              </w:rPr>
              <w:t>Elaboration du guide simplifié des bonnes pratiques agricoles en matière de gestion durable des terres</w:t>
            </w:r>
          </w:p>
          <w:p w14:paraId="18E12C32" w14:textId="007D5AFA" w:rsidR="00EF3212" w:rsidRPr="00F971D4" w:rsidRDefault="00EF3212" w:rsidP="00E50666">
            <w:pPr>
              <w:pStyle w:val="Paragraphedeliste"/>
              <w:numPr>
                <w:ilvl w:val="0"/>
                <w:numId w:val="16"/>
              </w:numPr>
              <w:spacing w:after="0" w:line="240" w:lineRule="auto"/>
              <w:ind w:left="318" w:hanging="142"/>
              <w:rPr>
                <w:rFonts w:ascii="Times New Roman" w:hAnsi="Times New Roman" w:cs="Times New Roman"/>
                <w:sz w:val="24"/>
                <w:szCs w:val="24"/>
              </w:rPr>
            </w:pPr>
            <w:r w:rsidRPr="00F971D4">
              <w:rPr>
                <w:rFonts w:ascii="Times New Roman" w:hAnsi="Times New Roman" w:cs="Times New Roman"/>
                <w:sz w:val="24"/>
                <w:szCs w:val="24"/>
              </w:rPr>
              <w:t xml:space="preserve">Stratégie nationale </w:t>
            </w:r>
            <w:r w:rsidR="00E1712F">
              <w:rPr>
                <w:rFonts w:ascii="Times New Roman" w:hAnsi="Times New Roman" w:cs="Times New Roman"/>
                <w:sz w:val="24"/>
                <w:szCs w:val="24"/>
              </w:rPr>
              <w:t>pour</w:t>
            </w:r>
            <w:r w:rsidRPr="00F971D4">
              <w:rPr>
                <w:rFonts w:ascii="Times New Roman" w:hAnsi="Times New Roman" w:cs="Times New Roman"/>
                <w:sz w:val="24"/>
                <w:szCs w:val="24"/>
              </w:rPr>
              <w:t xml:space="preserve"> la mer et </w:t>
            </w:r>
            <w:r w:rsidR="00E1712F">
              <w:rPr>
                <w:rFonts w:ascii="Times New Roman" w:hAnsi="Times New Roman" w:cs="Times New Roman"/>
                <w:sz w:val="24"/>
                <w:szCs w:val="24"/>
              </w:rPr>
              <w:t>le</w:t>
            </w:r>
            <w:r w:rsidRPr="00F971D4">
              <w:rPr>
                <w:rFonts w:ascii="Times New Roman" w:hAnsi="Times New Roman" w:cs="Times New Roman"/>
                <w:sz w:val="24"/>
                <w:szCs w:val="24"/>
              </w:rPr>
              <w:t xml:space="preserve"> littoral (2016-2020)</w:t>
            </w:r>
          </w:p>
          <w:p w14:paraId="1169349C" w14:textId="6417C750" w:rsidR="005A001A" w:rsidRPr="00F971D4" w:rsidRDefault="005A001A" w:rsidP="00E50666">
            <w:pPr>
              <w:pStyle w:val="Paragraphedeliste"/>
              <w:numPr>
                <w:ilvl w:val="0"/>
                <w:numId w:val="16"/>
              </w:numPr>
              <w:spacing w:after="0" w:line="240" w:lineRule="auto"/>
              <w:ind w:left="318" w:hanging="142"/>
              <w:rPr>
                <w:rFonts w:ascii="Times New Roman" w:hAnsi="Times New Roman" w:cs="Times New Roman"/>
                <w:sz w:val="24"/>
                <w:szCs w:val="24"/>
              </w:rPr>
            </w:pPr>
            <w:r w:rsidRPr="00F971D4">
              <w:rPr>
                <w:rFonts w:ascii="Times New Roman" w:hAnsi="Times New Roman" w:cs="Times New Roman"/>
                <w:sz w:val="24"/>
                <w:szCs w:val="24"/>
              </w:rPr>
              <w:t xml:space="preserve">Cadre stratégique pour le développement de l’économie </w:t>
            </w:r>
            <w:r w:rsidR="00E1712F">
              <w:rPr>
                <w:rFonts w:ascii="Times New Roman" w:hAnsi="Times New Roman" w:cs="Times New Roman"/>
                <w:sz w:val="24"/>
                <w:szCs w:val="24"/>
              </w:rPr>
              <w:t>maritime et cotière</w:t>
            </w:r>
            <w:r w:rsidRPr="00F971D4">
              <w:rPr>
                <w:rFonts w:ascii="Times New Roman" w:hAnsi="Times New Roman" w:cs="Times New Roman"/>
                <w:sz w:val="24"/>
                <w:szCs w:val="24"/>
              </w:rPr>
              <w:t xml:space="preserve"> (élaboré en 2016)</w:t>
            </w:r>
          </w:p>
          <w:p w14:paraId="0C14123A" w14:textId="77777777" w:rsidR="00D61FC5" w:rsidRPr="00F971D4" w:rsidRDefault="00D61FC5" w:rsidP="00E50666">
            <w:pPr>
              <w:pStyle w:val="Paragraphedeliste"/>
              <w:numPr>
                <w:ilvl w:val="0"/>
                <w:numId w:val="16"/>
              </w:numPr>
              <w:spacing w:after="0" w:line="240" w:lineRule="auto"/>
              <w:ind w:left="318" w:hanging="142"/>
              <w:rPr>
                <w:rFonts w:ascii="Times New Roman" w:hAnsi="Times New Roman" w:cs="Times New Roman"/>
                <w:sz w:val="24"/>
                <w:szCs w:val="24"/>
              </w:rPr>
            </w:pPr>
            <w:r w:rsidRPr="00F971D4">
              <w:rPr>
                <w:rFonts w:ascii="Times New Roman" w:hAnsi="Times New Roman" w:cs="Times New Roman"/>
                <w:sz w:val="24"/>
                <w:szCs w:val="24"/>
              </w:rPr>
              <w:t>Gestion des risques de catastrophes</w:t>
            </w:r>
          </w:p>
          <w:p w14:paraId="790BEE78" w14:textId="77777777" w:rsidR="009F6DB0" w:rsidRPr="00F971D4" w:rsidRDefault="00D61FC5" w:rsidP="00E50666">
            <w:pPr>
              <w:pStyle w:val="Paragraphedeliste"/>
              <w:numPr>
                <w:ilvl w:val="0"/>
                <w:numId w:val="16"/>
              </w:numPr>
              <w:spacing w:after="0" w:line="240" w:lineRule="auto"/>
              <w:ind w:left="318" w:hanging="142"/>
              <w:rPr>
                <w:rFonts w:ascii="Times New Roman" w:hAnsi="Times New Roman" w:cs="Times New Roman"/>
                <w:sz w:val="24"/>
                <w:szCs w:val="24"/>
              </w:rPr>
            </w:pPr>
            <w:r w:rsidRPr="00F971D4">
              <w:rPr>
                <w:rFonts w:ascii="Times New Roman" w:hAnsi="Times New Roman" w:cs="Times New Roman"/>
                <w:sz w:val="24"/>
                <w:szCs w:val="24"/>
              </w:rPr>
              <w:t>Adaptation aux changements climatiques»</w:t>
            </w:r>
          </w:p>
          <w:p w14:paraId="59C862A9" w14:textId="77777777" w:rsidR="00D61FC5" w:rsidRPr="00F971D4" w:rsidRDefault="009F6DB0" w:rsidP="008C258A">
            <w:pPr>
              <w:pStyle w:val="Paragraphedeliste"/>
              <w:spacing w:after="0" w:line="240" w:lineRule="auto"/>
              <w:ind w:left="318"/>
              <w:rPr>
                <w:rFonts w:ascii="Times New Roman" w:hAnsi="Times New Roman" w:cs="Times New Roman"/>
                <w:sz w:val="24"/>
                <w:szCs w:val="24"/>
              </w:rPr>
            </w:pPr>
            <w:r w:rsidRPr="00F971D4">
              <w:rPr>
                <w:rFonts w:ascii="Times New Roman" w:hAnsi="Times New Roman" w:cs="Times New Roman"/>
                <w:sz w:val="24"/>
                <w:szCs w:val="24"/>
              </w:rPr>
              <w:t>-</w:t>
            </w:r>
            <w:r w:rsidR="00D61FC5" w:rsidRPr="00F971D4">
              <w:rPr>
                <w:rFonts w:ascii="Times New Roman" w:hAnsi="Times New Roman" w:cs="Times New Roman"/>
                <w:b/>
                <w:bCs/>
                <w:sz w:val="24"/>
                <w:szCs w:val="24"/>
              </w:rPr>
              <w:t>projet TCP/TOG/3604</w:t>
            </w:r>
            <w:r w:rsidR="00D61FC5" w:rsidRPr="00F971D4">
              <w:rPr>
                <w:rFonts w:ascii="Times New Roman" w:hAnsi="Times New Roman" w:cs="Times New Roman"/>
                <w:bCs/>
                <w:sz w:val="24"/>
                <w:szCs w:val="24"/>
              </w:rPr>
              <w:t xml:space="preserve"> «</w:t>
            </w:r>
            <w:r w:rsidR="00D61FC5" w:rsidRPr="00F971D4">
              <w:rPr>
                <w:rFonts w:ascii="Times New Roman" w:hAnsi="Times New Roman" w:cs="Times New Roman"/>
                <w:bCs/>
                <w:i/>
                <w:iCs/>
                <w:sz w:val="24"/>
                <w:szCs w:val="24"/>
              </w:rPr>
              <w:t>Appui à la valorisation et à la modernisation des filières des produits forestiers non ligneux au Togo»</w:t>
            </w:r>
          </w:p>
          <w:p w14:paraId="777DCAFA"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-Programme Appui au REDD+-READINESS et Réhabilitation de forêts au Togo (Pro REDD</w:t>
            </w:r>
          </w:p>
          <w:p w14:paraId="2FE0D401" w14:textId="77777777" w:rsidR="00D61FC5" w:rsidRPr="00F971D4" w:rsidRDefault="00D61FC5" w:rsidP="00E50666">
            <w:pPr>
              <w:pStyle w:val="Paragraphedeliste"/>
              <w:numPr>
                <w:ilvl w:val="0"/>
                <w:numId w:val="16"/>
              </w:numPr>
              <w:spacing w:after="0" w:line="240" w:lineRule="auto"/>
              <w:ind w:left="176" w:hanging="142"/>
              <w:rPr>
                <w:rFonts w:ascii="Times New Roman" w:hAnsi="Times New Roman" w:cs="Times New Roman"/>
                <w:sz w:val="24"/>
                <w:szCs w:val="24"/>
              </w:rPr>
            </w:pPr>
            <w:r w:rsidRPr="00F971D4">
              <w:rPr>
                <w:rFonts w:ascii="Times New Roman" w:hAnsi="Times New Roman" w:cs="Times New Roman"/>
                <w:sz w:val="24"/>
                <w:szCs w:val="24"/>
              </w:rPr>
              <w:t xml:space="preserve">Stratégie nationale REDD+ assortie des options stratégiques en cours d’élaboration </w:t>
            </w:r>
          </w:p>
          <w:p w14:paraId="5F31F584" w14:textId="77777777" w:rsidR="00730900" w:rsidRPr="00F971D4" w:rsidRDefault="009F6DB0" w:rsidP="008C258A">
            <w:pPr>
              <w:pStyle w:val="Paragraphedeliste"/>
              <w:spacing w:after="0" w:line="240" w:lineRule="auto"/>
              <w:ind w:left="176"/>
              <w:rPr>
                <w:rFonts w:ascii="Times New Roman" w:hAnsi="Times New Roman" w:cs="Times New Roman"/>
                <w:sz w:val="24"/>
                <w:szCs w:val="24"/>
              </w:rPr>
            </w:pPr>
            <w:r w:rsidRPr="00F971D4">
              <w:rPr>
                <w:rFonts w:ascii="Times New Roman" w:hAnsi="Times New Roman" w:cs="Times New Roman"/>
                <w:sz w:val="24"/>
                <w:szCs w:val="24"/>
              </w:rPr>
              <w:t>-Projet ADAPT</w:t>
            </w:r>
            <w:r w:rsidR="008C258A" w:rsidRPr="00F971D4">
              <w:rPr>
                <w:rFonts w:ascii="Times New Roman" w:hAnsi="Times New Roman" w:cs="Times New Roman"/>
                <w:sz w:val="24"/>
                <w:szCs w:val="24"/>
              </w:rPr>
              <w:t xml:space="preserve"> : </w:t>
            </w:r>
            <w:r w:rsidR="00730900" w:rsidRPr="00F971D4">
              <w:rPr>
                <w:rFonts w:ascii="Times New Roman" w:hAnsi="Times New Roman" w:cs="Times New Roman"/>
                <w:sz w:val="24"/>
                <w:szCs w:val="24"/>
              </w:rPr>
              <w:t>Mesures d’adaptation des systèmes de production aux changements climatiques</w:t>
            </w:r>
          </w:p>
          <w:p w14:paraId="1AA4A9EA" w14:textId="0A2B6C16"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-Projet de renforcement du rôle de conservation du système national de</w:t>
            </w:r>
            <w:r w:rsidR="000B16F2">
              <w:rPr>
                <w:rFonts w:ascii="Times New Roman" w:hAnsi="Times New Roman" w:cs="Times New Roman"/>
                <w:sz w:val="24"/>
                <w:szCs w:val="24"/>
              </w:rPr>
              <w:t>s</w:t>
            </w:r>
            <w:r w:rsidRPr="00F971D4">
              <w:rPr>
                <w:rFonts w:ascii="Times New Roman" w:hAnsi="Times New Roman" w:cs="Times New Roman"/>
                <w:sz w:val="24"/>
                <w:szCs w:val="24"/>
              </w:rPr>
              <w:t xml:space="preserve"> aires projets au Togo (PRA</w:t>
            </w:r>
            <w:r w:rsidR="009F6DB0" w:rsidRPr="00F971D4">
              <w:rPr>
                <w:rFonts w:ascii="Times New Roman" w:hAnsi="Times New Roman" w:cs="Times New Roman"/>
                <w:sz w:val="24"/>
                <w:szCs w:val="24"/>
              </w:rPr>
              <w:t>P</w:t>
            </w:r>
            <w:r w:rsidRPr="00F971D4">
              <w:rPr>
                <w:rFonts w:ascii="Times New Roman" w:hAnsi="Times New Roman" w:cs="Times New Roman"/>
                <w:sz w:val="24"/>
                <w:szCs w:val="24"/>
              </w:rPr>
              <w:t>T)</w:t>
            </w:r>
          </w:p>
          <w:p w14:paraId="3A172B22" w14:textId="77777777" w:rsidR="00D61FC5" w:rsidRPr="00F971D4" w:rsidRDefault="00D61FC5" w:rsidP="00E056B1">
            <w:pPr>
              <w:spacing w:after="0" w:line="240" w:lineRule="auto"/>
              <w:rPr>
                <w:rFonts w:ascii="Times New Roman" w:eastAsia="Calibri" w:hAnsi="Times New Roman" w:cs="Times New Roman"/>
                <w:b/>
                <w:sz w:val="24"/>
                <w:szCs w:val="24"/>
              </w:rPr>
            </w:pPr>
            <w:r w:rsidRPr="00F971D4">
              <w:rPr>
                <w:rFonts w:ascii="Times New Roman" w:eastAsia="Calibri" w:hAnsi="Times New Roman" w:cs="Times New Roman"/>
                <w:sz w:val="24"/>
                <w:szCs w:val="24"/>
              </w:rPr>
              <w:t>-</w:t>
            </w:r>
            <w:r w:rsidR="004C7097" w:rsidRPr="00F971D4">
              <w:rPr>
                <w:rFonts w:ascii="Times New Roman" w:eastAsia="Calibri" w:hAnsi="Times New Roman" w:cs="Times New Roman"/>
                <w:sz w:val="24"/>
                <w:szCs w:val="24"/>
              </w:rPr>
              <w:t>Cadre Stratégique</w:t>
            </w:r>
            <w:r w:rsidRPr="00F971D4">
              <w:rPr>
                <w:rFonts w:ascii="Times New Roman" w:eastAsia="Calibri" w:hAnsi="Times New Roman" w:cs="Times New Roman"/>
                <w:sz w:val="24"/>
                <w:szCs w:val="24"/>
              </w:rPr>
              <w:t xml:space="preserve">  d’Investissements</w:t>
            </w:r>
            <w:r w:rsidR="004C7097" w:rsidRPr="00F971D4">
              <w:rPr>
                <w:rFonts w:ascii="Times New Roman" w:eastAsia="Calibri" w:hAnsi="Times New Roman" w:cs="Times New Roman"/>
                <w:sz w:val="24"/>
                <w:szCs w:val="24"/>
              </w:rPr>
              <w:t xml:space="preserve"> et de gestion de</w:t>
            </w:r>
            <w:r w:rsidRPr="00F971D4">
              <w:rPr>
                <w:rFonts w:ascii="Times New Roman" w:eastAsia="Calibri" w:hAnsi="Times New Roman" w:cs="Times New Roman"/>
                <w:sz w:val="24"/>
                <w:szCs w:val="24"/>
              </w:rPr>
              <w:t xml:space="preserve"> l’Environnement et les Ressources Naturelles au Togo (</w:t>
            </w:r>
            <w:r w:rsidR="004C7097" w:rsidRPr="00F971D4">
              <w:rPr>
                <w:rFonts w:ascii="Times New Roman" w:eastAsia="Calibri" w:hAnsi="Times New Roman" w:cs="Times New Roman"/>
                <w:sz w:val="24"/>
                <w:szCs w:val="24"/>
              </w:rPr>
              <w:t>CSIGERN</w:t>
            </w:r>
            <w:r w:rsidRPr="00F971D4">
              <w:rPr>
                <w:rFonts w:ascii="Times New Roman" w:eastAsia="Calibri" w:hAnsi="Times New Roman" w:cs="Times New Roman"/>
                <w:sz w:val="24"/>
                <w:szCs w:val="24"/>
              </w:rPr>
              <w:t>)</w:t>
            </w:r>
          </w:p>
          <w:p w14:paraId="25DE88E0"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eastAsia="Calibri" w:hAnsi="Times New Roman" w:cs="Times New Roman"/>
                <w:sz w:val="24"/>
                <w:szCs w:val="24"/>
              </w:rPr>
              <w:t>-</w:t>
            </w:r>
            <w:r w:rsidRPr="00F971D4">
              <w:rPr>
                <w:rFonts w:ascii="Times New Roman" w:hAnsi="Times New Roman" w:cs="Times New Roman"/>
                <w:sz w:val="24"/>
                <w:szCs w:val="24"/>
              </w:rPr>
              <w:t>Programme National du Reboisement</w:t>
            </w:r>
          </w:p>
          <w:p w14:paraId="6535C4D3"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hAnsi="Times New Roman" w:cs="Times New Roman"/>
                <w:b/>
                <w:color w:val="0070C0"/>
                <w:sz w:val="24"/>
                <w:szCs w:val="24"/>
              </w:rPr>
              <w:t>-</w:t>
            </w:r>
            <w:r w:rsidRPr="00F971D4">
              <w:rPr>
                <w:rFonts w:ascii="Times New Roman" w:hAnsi="Times New Roman" w:cs="Times New Roman"/>
                <w:sz w:val="24"/>
                <w:szCs w:val="24"/>
              </w:rPr>
              <w:t>Programme d'Appui à la Lutte contre le Changement Climatique (PALCC)</w:t>
            </w:r>
          </w:p>
          <w:p w14:paraId="5ACCCF7B" w14:textId="77777777" w:rsidR="004C7097" w:rsidRPr="00F971D4" w:rsidRDefault="004C7097" w:rsidP="00E056B1">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-Projet de réserve de biosphère transfrontalière du delta du Mono (RBTDM)</w:t>
            </w:r>
          </w:p>
          <w:p w14:paraId="7E40930C" w14:textId="77777777" w:rsidR="00C5672B" w:rsidRPr="00F971D4" w:rsidRDefault="00C5672B" w:rsidP="00C5672B">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-Création de quatre forêts communautaires dans la préfecture de Tchamba</w:t>
            </w:r>
          </w:p>
          <w:p w14:paraId="0E562CBF" w14:textId="77777777" w:rsidR="00C5672B" w:rsidRPr="00F971D4" w:rsidRDefault="00C5672B" w:rsidP="00C5672B">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-Conduite des études ayant abouti à l’élaboration du plan d’aménagement et de gestion de la Réserve de Faune d’Abdoulaye</w:t>
            </w:r>
            <w:r w:rsidR="009C7085" w:rsidRPr="00F971D4">
              <w:rPr>
                <w:rFonts w:ascii="Times New Roman" w:hAnsi="Times New Roman" w:cs="Times New Roman"/>
                <w:sz w:val="24"/>
                <w:szCs w:val="24"/>
              </w:rPr>
              <w:t> ;</w:t>
            </w:r>
          </w:p>
          <w:p w14:paraId="1AFF58C1" w14:textId="77777777" w:rsidR="00C5672B" w:rsidRPr="00F971D4" w:rsidRDefault="00C5672B" w:rsidP="00C5672B">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-Elaboration des plans d’aménagement des forêts communautaires</w:t>
            </w:r>
          </w:p>
        </w:tc>
        <w:tc>
          <w:tcPr>
            <w:tcW w:w="1843" w:type="dxa"/>
            <w:vAlign w:val="center"/>
          </w:tcPr>
          <w:p w14:paraId="50FCB4E3" w14:textId="77777777" w:rsidR="00D61FC5" w:rsidRPr="00F971D4" w:rsidRDefault="00D61FC5" w:rsidP="00E056B1">
            <w:pPr>
              <w:spacing w:after="0" w:line="240" w:lineRule="auto"/>
              <w:rPr>
                <w:rFonts w:ascii="Times New Roman" w:eastAsia="Calibri" w:hAnsi="Times New Roman" w:cs="Times New Roman"/>
                <w:sz w:val="24"/>
                <w:szCs w:val="24"/>
              </w:rPr>
            </w:pPr>
            <w:r w:rsidRPr="00F971D4">
              <w:rPr>
                <w:rFonts w:ascii="Times New Roman" w:hAnsi="Times New Roman" w:cs="Times New Roman"/>
                <w:sz w:val="24"/>
                <w:szCs w:val="24"/>
              </w:rPr>
              <w:t>MERF</w:t>
            </w:r>
          </w:p>
        </w:tc>
        <w:tc>
          <w:tcPr>
            <w:tcW w:w="1701" w:type="dxa"/>
            <w:vAlign w:val="center"/>
          </w:tcPr>
          <w:p w14:paraId="09B43AF7" w14:textId="77777777" w:rsidR="00D61FC5" w:rsidRPr="00F971D4" w:rsidRDefault="00D61FC5" w:rsidP="00E056B1">
            <w:pPr>
              <w:spacing w:after="0" w:line="240" w:lineRule="auto"/>
              <w:rPr>
                <w:rFonts w:ascii="Times New Roman" w:hAnsi="Times New Roman" w:cs="Times New Roman"/>
                <w:sz w:val="24"/>
                <w:szCs w:val="24"/>
              </w:rPr>
            </w:pPr>
          </w:p>
        </w:tc>
      </w:tr>
      <w:tr w:rsidR="00D61FC5" w:rsidRPr="00F971D4" w14:paraId="10E152BB" w14:textId="77777777" w:rsidTr="00B0200A">
        <w:tc>
          <w:tcPr>
            <w:tcW w:w="10802" w:type="dxa"/>
            <w:vAlign w:val="center"/>
          </w:tcPr>
          <w:p w14:paraId="508DA8D5" w14:textId="7F46457D" w:rsidR="00D61FC5" w:rsidRPr="00F971D4" w:rsidRDefault="00D61FC5" w:rsidP="00E056B1">
            <w:pPr>
              <w:spacing w:after="0" w:line="240" w:lineRule="auto"/>
              <w:rPr>
                <w:rFonts w:ascii="Times New Roman" w:eastAsia="Calibri" w:hAnsi="Times New Roman" w:cs="Times New Roman"/>
                <w:sz w:val="24"/>
                <w:szCs w:val="24"/>
              </w:rPr>
            </w:pPr>
            <w:r w:rsidRPr="00F971D4">
              <w:rPr>
                <w:rFonts w:ascii="Times New Roman" w:eastAsia="Calibri" w:hAnsi="Times New Roman" w:cs="Times New Roman"/>
                <w:sz w:val="24"/>
                <w:szCs w:val="24"/>
              </w:rPr>
              <w:t>-Projet de revalorisation de la forêt sacrée de Tchavad</w:t>
            </w:r>
            <w:r w:rsidR="005A65CC">
              <w:rPr>
                <w:rFonts w:ascii="Times New Roman" w:eastAsia="Calibri" w:hAnsi="Times New Roman" w:cs="Times New Roman"/>
                <w:sz w:val="24"/>
                <w:szCs w:val="24"/>
              </w:rPr>
              <w:t>è</w:t>
            </w:r>
            <w:r w:rsidRPr="00F971D4">
              <w:rPr>
                <w:rFonts w:ascii="Times New Roman" w:eastAsia="Calibri" w:hAnsi="Times New Roman" w:cs="Times New Roman"/>
                <w:sz w:val="24"/>
                <w:szCs w:val="24"/>
              </w:rPr>
              <w:t xml:space="preserve"> (Tchaoudjo)</w:t>
            </w:r>
          </w:p>
          <w:p w14:paraId="6592C340"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eastAsia="Calibri" w:hAnsi="Times New Roman" w:cs="Times New Roman"/>
                <w:sz w:val="24"/>
                <w:szCs w:val="24"/>
              </w:rPr>
              <w:t>-Restauration et valorisation de la forêt communautaire de Koussountou </w:t>
            </w:r>
          </w:p>
        </w:tc>
        <w:tc>
          <w:tcPr>
            <w:tcW w:w="1843" w:type="dxa"/>
            <w:vAlign w:val="center"/>
          </w:tcPr>
          <w:p w14:paraId="4A596037" w14:textId="77777777" w:rsidR="00D61FC5" w:rsidRPr="00F971D4" w:rsidRDefault="00D61FC5" w:rsidP="00E056B1">
            <w:pPr>
              <w:spacing w:after="0" w:line="240" w:lineRule="auto"/>
              <w:rPr>
                <w:rFonts w:ascii="Times New Roman" w:eastAsia="Calibri" w:hAnsi="Times New Roman" w:cs="Times New Roman"/>
                <w:sz w:val="24"/>
                <w:szCs w:val="24"/>
              </w:rPr>
            </w:pPr>
            <w:r w:rsidRPr="00F971D4">
              <w:rPr>
                <w:rFonts w:ascii="Times New Roman" w:eastAsia="Calibri" w:hAnsi="Times New Roman" w:cs="Times New Roman"/>
                <w:sz w:val="24"/>
                <w:szCs w:val="24"/>
              </w:rPr>
              <w:t>Action Base de Développement (ABAD)</w:t>
            </w:r>
          </w:p>
        </w:tc>
        <w:tc>
          <w:tcPr>
            <w:tcW w:w="1701" w:type="dxa"/>
            <w:vAlign w:val="center"/>
          </w:tcPr>
          <w:p w14:paraId="61CD0262" w14:textId="77777777" w:rsidR="00D61FC5" w:rsidRPr="00F971D4" w:rsidRDefault="00D61FC5" w:rsidP="00E056B1">
            <w:pPr>
              <w:spacing w:after="0" w:line="240" w:lineRule="auto"/>
              <w:rPr>
                <w:rFonts w:ascii="Times New Roman" w:eastAsia="Calibri" w:hAnsi="Times New Roman" w:cs="Times New Roman"/>
                <w:sz w:val="24"/>
                <w:szCs w:val="24"/>
              </w:rPr>
            </w:pPr>
          </w:p>
        </w:tc>
      </w:tr>
      <w:tr w:rsidR="00D61FC5" w:rsidRPr="00F971D4" w14:paraId="24B9B189" w14:textId="77777777" w:rsidTr="00B0200A">
        <w:tc>
          <w:tcPr>
            <w:tcW w:w="10802" w:type="dxa"/>
            <w:vAlign w:val="center"/>
          </w:tcPr>
          <w:p w14:paraId="2F2F7D57" w14:textId="77777777" w:rsidR="00D61FC5" w:rsidRDefault="00D61FC5" w:rsidP="00E056B1">
            <w:pPr>
              <w:spacing w:after="0" w:line="240" w:lineRule="auto"/>
              <w:rPr>
                <w:rFonts w:ascii="Times New Roman" w:eastAsia="Calibri" w:hAnsi="Times New Roman" w:cs="Times New Roman"/>
                <w:sz w:val="24"/>
                <w:szCs w:val="24"/>
              </w:rPr>
            </w:pPr>
            <w:r w:rsidRPr="00F971D4">
              <w:rPr>
                <w:rFonts w:ascii="Times New Roman" w:eastAsia="Calibri" w:hAnsi="Times New Roman" w:cs="Times New Roman"/>
                <w:sz w:val="24"/>
                <w:szCs w:val="24"/>
              </w:rPr>
              <w:t>-Programme de Développement Rural y compris Agriculture (ProDRA) : Volet III: Promotion de l’agroforesterie et de l’énergie rurale</w:t>
            </w:r>
          </w:p>
          <w:p w14:paraId="6F90C530" w14:textId="298961AC" w:rsidR="005A65CC" w:rsidRPr="00F971D4" w:rsidRDefault="005A65CC" w:rsidP="00E056B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Pr="00F971D4">
              <w:rPr>
                <w:rFonts w:ascii="Times New Roman" w:eastAsia="Calibri" w:hAnsi="Times New Roman" w:cs="Times New Roman"/>
                <w:sz w:val="24"/>
                <w:szCs w:val="24"/>
              </w:rPr>
              <w:t>Programme National d’Investissement Agricole et de Sécurité Alimentaire (PNIASA)</w:t>
            </w:r>
          </w:p>
          <w:p w14:paraId="4BE84F4B" w14:textId="2BF7A1FB" w:rsidR="005A65CC" w:rsidRPr="00B0200A" w:rsidRDefault="00D61FC5" w:rsidP="00E056B1">
            <w:pPr>
              <w:spacing w:after="0" w:line="240" w:lineRule="auto"/>
              <w:rPr>
                <w:rFonts w:ascii="Times New Roman" w:eastAsia="Calibri" w:hAnsi="Times New Roman" w:cs="Times New Roman"/>
                <w:sz w:val="24"/>
                <w:szCs w:val="24"/>
              </w:rPr>
            </w:pPr>
            <w:r w:rsidRPr="00F971D4">
              <w:rPr>
                <w:rFonts w:ascii="Times New Roman" w:eastAsia="Calibri" w:hAnsi="Times New Roman" w:cs="Times New Roman"/>
                <w:sz w:val="24"/>
                <w:szCs w:val="24"/>
              </w:rPr>
              <w:t xml:space="preserve">-Programme National d’Investissement Agricole et de Sécurité Alimentaire </w:t>
            </w:r>
            <w:r w:rsidR="004C7097" w:rsidRPr="00F971D4">
              <w:rPr>
                <w:rFonts w:ascii="Times New Roman" w:eastAsia="Calibri" w:hAnsi="Times New Roman" w:cs="Times New Roman"/>
                <w:sz w:val="24"/>
                <w:szCs w:val="24"/>
              </w:rPr>
              <w:t xml:space="preserve">et nutritionnelle </w:t>
            </w:r>
            <w:r w:rsidRPr="00F971D4">
              <w:rPr>
                <w:rFonts w:ascii="Times New Roman" w:eastAsia="Calibri" w:hAnsi="Times New Roman" w:cs="Times New Roman"/>
                <w:sz w:val="24"/>
                <w:szCs w:val="24"/>
              </w:rPr>
              <w:t>(PNIASA</w:t>
            </w:r>
            <w:r w:rsidR="004C7097" w:rsidRPr="00F971D4">
              <w:rPr>
                <w:rFonts w:ascii="Times New Roman" w:eastAsia="Calibri" w:hAnsi="Times New Roman" w:cs="Times New Roman"/>
                <w:sz w:val="24"/>
                <w:szCs w:val="24"/>
              </w:rPr>
              <w:t>N</w:t>
            </w:r>
            <w:r w:rsidRPr="00F971D4">
              <w:rPr>
                <w:rFonts w:ascii="Times New Roman" w:eastAsia="Calibri" w:hAnsi="Times New Roman" w:cs="Times New Roman"/>
                <w:sz w:val="24"/>
                <w:szCs w:val="24"/>
              </w:rPr>
              <w:t>)</w:t>
            </w:r>
          </w:p>
        </w:tc>
        <w:tc>
          <w:tcPr>
            <w:tcW w:w="1843" w:type="dxa"/>
            <w:vAlign w:val="center"/>
          </w:tcPr>
          <w:p w14:paraId="2A36BE2C" w14:textId="77777777" w:rsidR="00D61FC5" w:rsidRPr="00F971D4" w:rsidRDefault="00D61FC5" w:rsidP="004C7097">
            <w:pPr>
              <w:spacing w:after="0" w:line="240" w:lineRule="auto"/>
              <w:rPr>
                <w:rFonts w:ascii="Times New Roman" w:eastAsia="Calibri" w:hAnsi="Times New Roman" w:cs="Times New Roman"/>
                <w:sz w:val="24"/>
                <w:szCs w:val="24"/>
              </w:rPr>
            </w:pPr>
            <w:r w:rsidRPr="00F971D4">
              <w:rPr>
                <w:rStyle w:val="st"/>
                <w:rFonts w:ascii="Times New Roman" w:hAnsi="Times New Roman" w:cs="Times New Roman"/>
                <w:sz w:val="24"/>
                <w:szCs w:val="24"/>
              </w:rPr>
              <w:t>M</w:t>
            </w:r>
            <w:r w:rsidRPr="00F971D4">
              <w:rPr>
                <w:rStyle w:val="Accentuation"/>
                <w:rFonts w:ascii="Times New Roman" w:hAnsi="Times New Roman" w:cs="Times New Roman"/>
                <w:i w:val="0"/>
                <w:sz w:val="24"/>
                <w:szCs w:val="24"/>
              </w:rPr>
              <w:t>inistère de l'Agriculture</w:t>
            </w:r>
            <w:r w:rsidRPr="00F971D4">
              <w:rPr>
                <w:rStyle w:val="st"/>
                <w:rFonts w:ascii="Times New Roman" w:hAnsi="Times New Roman" w:cs="Times New Roman"/>
                <w:sz w:val="24"/>
                <w:szCs w:val="24"/>
              </w:rPr>
              <w:t>, de l'Elevage et de la Pêche</w:t>
            </w:r>
          </w:p>
        </w:tc>
        <w:tc>
          <w:tcPr>
            <w:tcW w:w="1701" w:type="dxa"/>
            <w:vAlign w:val="center"/>
          </w:tcPr>
          <w:p w14:paraId="112A743B" w14:textId="34320FF3" w:rsidR="00D61FC5" w:rsidRPr="00F971D4" w:rsidRDefault="005A65CC" w:rsidP="00E056B1">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Novembre 2014</w:t>
            </w:r>
          </w:p>
        </w:tc>
      </w:tr>
      <w:tr w:rsidR="00D61FC5" w:rsidRPr="00F971D4" w14:paraId="62E962D6" w14:textId="77777777" w:rsidTr="00B0200A">
        <w:tc>
          <w:tcPr>
            <w:tcW w:w="10802" w:type="dxa"/>
            <w:vAlign w:val="center"/>
          </w:tcPr>
          <w:p w14:paraId="02DC8DCB"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eastAsia="Calibri" w:hAnsi="Times New Roman" w:cs="Times New Roman"/>
                <w:sz w:val="24"/>
                <w:szCs w:val="24"/>
              </w:rPr>
              <w:t>Formation des jeunes sur l’agroécologie et la transformation agroalimentaire</w:t>
            </w:r>
          </w:p>
        </w:tc>
        <w:tc>
          <w:tcPr>
            <w:tcW w:w="1843" w:type="dxa"/>
            <w:vAlign w:val="center"/>
          </w:tcPr>
          <w:p w14:paraId="623860FD" w14:textId="77777777" w:rsidR="00D61FC5" w:rsidRPr="00F971D4" w:rsidRDefault="00D61FC5" w:rsidP="00E056B1">
            <w:pPr>
              <w:spacing w:after="0" w:line="240" w:lineRule="auto"/>
              <w:rPr>
                <w:rFonts w:ascii="Times New Roman" w:hAnsi="Times New Roman" w:cs="Times New Roman"/>
                <w:sz w:val="24"/>
                <w:szCs w:val="24"/>
              </w:rPr>
            </w:pPr>
            <w:r w:rsidRPr="00F971D4">
              <w:rPr>
                <w:rFonts w:ascii="Times New Roman" w:eastAsia="Calibri" w:hAnsi="Times New Roman" w:cs="Times New Roman"/>
                <w:sz w:val="24"/>
                <w:szCs w:val="24"/>
              </w:rPr>
              <w:t>Action, Base de Développement (ABAD)</w:t>
            </w:r>
          </w:p>
        </w:tc>
        <w:tc>
          <w:tcPr>
            <w:tcW w:w="1701" w:type="dxa"/>
            <w:vAlign w:val="center"/>
          </w:tcPr>
          <w:p w14:paraId="27EDA540" w14:textId="77777777" w:rsidR="00D61FC5" w:rsidRPr="00F971D4" w:rsidRDefault="00D61FC5" w:rsidP="00E056B1">
            <w:pPr>
              <w:spacing w:after="0" w:line="240" w:lineRule="auto"/>
              <w:rPr>
                <w:rFonts w:ascii="Times New Roman" w:eastAsia="Calibri" w:hAnsi="Times New Roman" w:cs="Times New Roman"/>
                <w:sz w:val="24"/>
                <w:szCs w:val="24"/>
              </w:rPr>
            </w:pPr>
          </w:p>
        </w:tc>
      </w:tr>
      <w:tr w:rsidR="00D61FC5" w:rsidRPr="00F971D4" w14:paraId="7FFD0E29" w14:textId="77777777" w:rsidTr="00B0200A">
        <w:tc>
          <w:tcPr>
            <w:tcW w:w="10802" w:type="dxa"/>
            <w:vAlign w:val="center"/>
          </w:tcPr>
          <w:p w14:paraId="2E819CBC" w14:textId="412A8F4D" w:rsidR="00D61FC5" w:rsidRPr="00F971D4" w:rsidRDefault="00D61FC5" w:rsidP="00E056B1">
            <w:pPr>
              <w:spacing w:after="0" w:line="240" w:lineRule="auto"/>
              <w:rPr>
                <w:rFonts w:ascii="Times New Roman" w:eastAsia="Calibri" w:hAnsi="Times New Roman" w:cs="Times New Roman"/>
                <w:sz w:val="24"/>
                <w:szCs w:val="24"/>
              </w:rPr>
            </w:pPr>
            <w:r w:rsidRPr="00F971D4">
              <w:rPr>
                <w:rFonts w:ascii="Times New Roman" w:hAnsi="Times New Roman" w:cs="Times New Roman"/>
                <w:sz w:val="24"/>
                <w:szCs w:val="24"/>
              </w:rPr>
              <w:t>Aménagement de</w:t>
            </w:r>
            <w:r w:rsidRPr="00F971D4">
              <w:rPr>
                <w:rFonts w:ascii="Times New Roman" w:eastAsia="Calibri" w:hAnsi="Times New Roman" w:cs="Times New Roman"/>
                <w:sz w:val="24"/>
                <w:szCs w:val="24"/>
              </w:rPr>
              <w:t xml:space="preserve"> forêts communautaires d’Alibi</w:t>
            </w:r>
            <w:r w:rsidR="00BB2C19">
              <w:rPr>
                <w:rFonts w:ascii="Times New Roman" w:eastAsia="Calibri" w:hAnsi="Times New Roman" w:cs="Times New Roman"/>
                <w:sz w:val="24"/>
                <w:szCs w:val="24"/>
              </w:rPr>
              <w:t>, Koussountou,</w:t>
            </w:r>
            <w:r w:rsidRPr="00F971D4">
              <w:rPr>
                <w:rFonts w:ascii="Times New Roman" w:eastAsia="Calibri" w:hAnsi="Times New Roman" w:cs="Times New Roman"/>
                <w:sz w:val="24"/>
                <w:szCs w:val="24"/>
              </w:rPr>
              <w:t xml:space="preserve"> </w:t>
            </w:r>
            <w:r w:rsidR="00BB2C19">
              <w:rPr>
                <w:rFonts w:ascii="Times New Roman" w:eastAsia="Calibri" w:hAnsi="Times New Roman" w:cs="Times New Roman"/>
                <w:sz w:val="24"/>
                <w:szCs w:val="24"/>
              </w:rPr>
              <w:t xml:space="preserve">Bago </w:t>
            </w:r>
            <w:r w:rsidRPr="00F971D4">
              <w:rPr>
                <w:rFonts w:ascii="Times New Roman" w:eastAsia="Calibri" w:hAnsi="Times New Roman" w:cs="Times New Roman"/>
                <w:sz w:val="24"/>
                <w:szCs w:val="24"/>
              </w:rPr>
              <w:t xml:space="preserve">(Préfecture de Tchamba), </w:t>
            </w:r>
            <w:r w:rsidRPr="00F971D4">
              <w:rPr>
                <w:rStyle w:val="lev"/>
                <w:rFonts w:ascii="Times New Roman" w:eastAsia="Calibri" w:hAnsi="Times New Roman" w:cs="Times New Roman"/>
                <w:b w:val="0"/>
                <w:sz w:val="24"/>
                <w:szCs w:val="24"/>
              </w:rPr>
              <w:t xml:space="preserve">Agnedi (Préfecture de Kloto), </w:t>
            </w:r>
            <w:r w:rsidRPr="00F971D4">
              <w:rPr>
                <w:rFonts w:ascii="Times New Roman" w:eastAsia="Calibri" w:hAnsi="Times New Roman" w:cs="Times New Roman"/>
                <w:sz w:val="24"/>
                <w:szCs w:val="24"/>
              </w:rPr>
              <w:t>Ando Kpomey (Préfecture de l’Av</w:t>
            </w:r>
            <w:r w:rsidR="00BB2C19">
              <w:rPr>
                <w:rFonts w:ascii="Times New Roman" w:eastAsia="Calibri" w:hAnsi="Times New Roman" w:cs="Times New Roman"/>
                <w:sz w:val="24"/>
                <w:szCs w:val="24"/>
              </w:rPr>
              <w:t>é)</w:t>
            </w:r>
            <w:r w:rsidRPr="00F971D4">
              <w:rPr>
                <w:rFonts w:ascii="Times New Roman" w:eastAsia="Calibri" w:hAnsi="Times New Roman" w:cs="Times New Roman"/>
                <w:sz w:val="24"/>
                <w:szCs w:val="24"/>
              </w:rPr>
              <w:t>, Djérégou (Préfecture de Doufelgou), Kéméni (Préfecture de Tchaoudjo), Womeve et Zionou (Préfecture d’Agou), etc.</w:t>
            </w:r>
          </w:p>
        </w:tc>
        <w:tc>
          <w:tcPr>
            <w:tcW w:w="1843" w:type="dxa"/>
            <w:vAlign w:val="center"/>
          </w:tcPr>
          <w:p w14:paraId="3D66AED7" w14:textId="77777777" w:rsidR="00D61FC5" w:rsidRPr="00F971D4" w:rsidRDefault="00D61FC5" w:rsidP="00E056B1">
            <w:pPr>
              <w:spacing w:after="0" w:line="240" w:lineRule="auto"/>
              <w:rPr>
                <w:rFonts w:ascii="Times New Roman" w:eastAsia="Calibri" w:hAnsi="Times New Roman" w:cs="Times New Roman"/>
                <w:sz w:val="24"/>
                <w:szCs w:val="24"/>
              </w:rPr>
            </w:pPr>
            <w:r w:rsidRPr="00F971D4">
              <w:rPr>
                <w:rFonts w:ascii="Times New Roman" w:eastAsia="Calibri" w:hAnsi="Times New Roman" w:cs="Times New Roman"/>
                <w:sz w:val="24"/>
                <w:szCs w:val="24"/>
              </w:rPr>
              <w:t>Communautés locales</w:t>
            </w:r>
          </w:p>
        </w:tc>
        <w:tc>
          <w:tcPr>
            <w:tcW w:w="1701" w:type="dxa"/>
            <w:vAlign w:val="center"/>
          </w:tcPr>
          <w:p w14:paraId="274E4014" w14:textId="77777777" w:rsidR="00D61FC5" w:rsidRPr="00F971D4" w:rsidRDefault="00D61FC5" w:rsidP="00E056B1">
            <w:pPr>
              <w:spacing w:after="0" w:line="240" w:lineRule="auto"/>
              <w:rPr>
                <w:rFonts w:ascii="Times New Roman" w:eastAsia="Calibri" w:hAnsi="Times New Roman" w:cs="Times New Roman"/>
                <w:sz w:val="24"/>
                <w:szCs w:val="24"/>
              </w:rPr>
            </w:pPr>
          </w:p>
        </w:tc>
      </w:tr>
      <w:tr w:rsidR="00EC67DE" w:rsidRPr="00F971D4" w14:paraId="6434D6DE" w14:textId="77777777" w:rsidTr="00B0200A">
        <w:tc>
          <w:tcPr>
            <w:tcW w:w="10802" w:type="dxa"/>
            <w:vAlign w:val="center"/>
          </w:tcPr>
          <w:p w14:paraId="2A15455D" w14:textId="77777777" w:rsidR="00EC67DE" w:rsidRPr="00F971D4" w:rsidRDefault="00EC67DE" w:rsidP="00E056B1">
            <w:pPr>
              <w:spacing w:after="0" w:line="240" w:lineRule="auto"/>
              <w:rPr>
                <w:rFonts w:ascii="Times New Roman" w:hAnsi="Times New Roman" w:cs="Times New Roman"/>
                <w:sz w:val="24"/>
                <w:szCs w:val="24"/>
              </w:rPr>
            </w:pPr>
            <w:r w:rsidRPr="00F971D4">
              <w:rPr>
                <w:rFonts w:ascii="Times New Roman" w:hAnsi="Times New Roman" w:cs="Times New Roman"/>
                <w:sz w:val="24"/>
                <w:szCs w:val="24"/>
              </w:rPr>
              <w:t>Etude de base des indicateurs de communication, éducation et sensibilisation de la population sur la conservation durable de la biodiversité</w:t>
            </w:r>
          </w:p>
        </w:tc>
        <w:tc>
          <w:tcPr>
            <w:tcW w:w="1843" w:type="dxa"/>
            <w:vAlign w:val="center"/>
          </w:tcPr>
          <w:p w14:paraId="0D12CE0A" w14:textId="77777777" w:rsidR="00EC67DE" w:rsidRPr="00F971D4" w:rsidRDefault="00EC67DE" w:rsidP="00E056B1">
            <w:pPr>
              <w:spacing w:after="0" w:line="240" w:lineRule="auto"/>
              <w:rPr>
                <w:rFonts w:ascii="Times New Roman" w:eastAsia="Calibri" w:hAnsi="Times New Roman" w:cs="Times New Roman"/>
                <w:sz w:val="24"/>
                <w:szCs w:val="24"/>
              </w:rPr>
            </w:pPr>
            <w:r w:rsidRPr="00F971D4">
              <w:rPr>
                <w:rFonts w:ascii="Times New Roman" w:hAnsi="Times New Roman" w:cs="Times New Roman"/>
                <w:sz w:val="24"/>
                <w:szCs w:val="24"/>
              </w:rPr>
              <w:t>MERF</w:t>
            </w:r>
          </w:p>
        </w:tc>
        <w:tc>
          <w:tcPr>
            <w:tcW w:w="1701" w:type="dxa"/>
            <w:vAlign w:val="center"/>
          </w:tcPr>
          <w:p w14:paraId="25771387" w14:textId="77777777" w:rsidR="00EC67DE" w:rsidRPr="00F971D4" w:rsidRDefault="00EC67DE" w:rsidP="00E056B1">
            <w:pPr>
              <w:spacing w:after="0" w:line="240" w:lineRule="auto"/>
              <w:rPr>
                <w:rFonts w:ascii="Times New Roman" w:eastAsia="Calibri" w:hAnsi="Times New Roman" w:cs="Times New Roman"/>
                <w:sz w:val="24"/>
                <w:szCs w:val="24"/>
              </w:rPr>
            </w:pPr>
            <w:r w:rsidRPr="00F971D4">
              <w:rPr>
                <w:rFonts w:ascii="Times New Roman" w:hAnsi="Times New Roman" w:cs="Times New Roman"/>
                <w:sz w:val="24"/>
                <w:szCs w:val="24"/>
              </w:rPr>
              <w:t>2018</w:t>
            </w:r>
          </w:p>
        </w:tc>
      </w:tr>
    </w:tbl>
    <w:p w14:paraId="5A23DEA9" w14:textId="77777777" w:rsidR="00D61FC5" w:rsidRPr="00E056B1" w:rsidRDefault="00D61FC5" w:rsidP="00E056B1">
      <w:pPr>
        <w:spacing w:after="0" w:line="240" w:lineRule="auto"/>
        <w:jc w:val="both"/>
        <w:rPr>
          <w:rFonts w:ascii="Times New Roman" w:hAnsi="Times New Roman" w:cs="Times New Roman"/>
          <w:iCs/>
          <w:lang w:val="fr-CA"/>
        </w:rPr>
      </w:pPr>
    </w:p>
    <w:p w14:paraId="2D21D555" w14:textId="77777777" w:rsidR="009A27C1" w:rsidRDefault="009A27C1" w:rsidP="00E056B1">
      <w:pPr>
        <w:spacing w:after="0" w:line="240" w:lineRule="auto"/>
        <w:jc w:val="both"/>
        <w:rPr>
          <w:rFonts w:ascii="Times New Roman" w:hAnsi="Times New Roman" w:cs="Times New Roman"/>
          <w:sz w:val="24"/>
          <w:szCs w:val="24"/>
        </w:rPr>
        <w:sectPr w:rsidR="009A27C1" w:rsidSect="00F60F3D">
          <w:pgSz w:w="16838" w:h="11906" w:orient="landscape"/>
          <w:pgMar w:top="1418" w:right="1418" w:bottom="1418" w:left="1418" w:header="709" w:footer="709" w:gutter="0"/>
          <w:cols w:space="708"/>
          <w:docGrid w:linePitch="360"/>
        </w:sectPr>
      </w:pPr>
    </w:p>
    <w:p w14:paraId="0601F2DA" w14:textId="784CC794" w:rsidR="005C0254" w:rsidRDefault="00ED5B35" w:rsidP="00E056B1">
      <w:pPr>
        <w:spacing w:after="0" w:line="240" w:lineRule="auto"/>
        <w:jc w:val="both"/>
        <w:rPr>
          <w:rFonts w:ascii="Times New Roman" w:hAnsi="Times New Roman" w:cs="Times New Roman"/>
          <w:sz w:val="24"/>
          <w:szCs w:val="24"/>
        </w:rPr>
      </w:pPr>
      <w:r w:rsidRPr="00E056B1">
        <w:rPr>
          <w:rFonts w:ascii="Times New Roman" w:hAnsi="Times New Roman" w:cs="Times New Roman"/>
          <w:sz w:val="24"/>
          <w:szCs w:val="24"/>
        </w:rPr>
        <w:t xml:space="preserve">La cartographie des </w:t>
      </w:r>
      <w:r w:rsidR="00D32398" w:rsidRPr="00E056B1">
        <w:rPr>
          <w:rFonts w:ascii="Times New Roman" w:hAnsi="Times New Roman" w:cs="Times New Roman"/>
          <w:sz w:val="24"/>
          <w:szCs w:val="24"/>
        </w:rPr>
        <w:t>acteurs</w:t>
      </w:r>
      <w:r w:rsidRPr="00E056B1">
        <w:rPr>
          <w:rFonts w:ascii="Times New Roman" w:hAnsi="Times New Roman" w:cs="Times New Roman"/>
          <w:sz w:val="24"/>
          <w:szCs w:val="24"/>
        </w:rPr>
        <w:t xml:space="preserve"> qui interviennent dans </w:t>
      </w:r>
      <w:r w:rsidRPr="00E056B1">
        <w:rPr>
          <w:rFonts w:ascii="Times New Roman" w:hAnsi="Times New Roman" w:cs="Times New Roman"/>
          <w:iCs/>
          <w:sz w:val="24"/>
          <w:szCs w:val="24"/>
          <w:lang w:val="fr-CA"/>
        </w:rPr>
        <w:t>l’application de la str</w:t>
      </w:r>
      <w:r w:rsidR="00D61FC5" w:rsidRPr="00E056B1">
        <w:rPr>
          <w:rFonts w:ascii="Times New Roman" w:hAnsi="Times New Roman" w:cs="Times New Roman"/>
          <w:iCs/>
          <w:sz w:val="24"/>
          <w:szCs w:val="24"/>
          <w:lang w:val="fr-CA"/>
        </w:rPr>
        <w:t>atégie et plan d’action</w:t>
      </w:r>
      <w:r w:rsidR="00986D95">
        <w:rPr>
          <w:rFonts w:ascii="Times New Roman" w:hAnsi="Times New Roman" w:cs="Times New Roman"/>
          <w:iCs/>
          <w:sz w:val="24"/>
          <w:szCs w:val="24"/>
          <w:lang w:val="fr-CA"/>
        </w:rPr>
        <w:t>s</w:t>
      </w:r>
      <w:r w:rsidR="00D61FC5" w:rsidRPr="00E056B1">
        <w:rPr>
          <w:rFonts w:ascii="Times New Roman" w:hAnsi="Times New Roman" w:cs="Times New Roman"/>
          <w:iCs/>
          <w:sz w:val="24"/>
          <w:szCs w:val="24"/>
          <w:lang w:val="fr-CA"/>
        </w:rPr>
        <w:t xml:space="preserve"> nationaux</w:t>
      </w:r>
      <w:r w:rsidRPr="00E056B1">
        <w:rPr>
          <w:rFonts w:ascii="Times New Roman" w:hAnsi="Times New Roman" w:cs="Times New Roman"/>
          <w:iCs/>
          <w:sz w:val="24"/>
          <w:szCs w:val="24"/>
          <w:lang w:val="fr-CA"/>
        </w:rPr>
        <w:t xml:space="preserve"> pour la diversité biologique </w:t>
      </w:r>
      <w:r w:rsidRPr="00E056B1">
        <w:rPr>
          <w:rFonts w:ascii="Times New Roman" w:hAnsi="Times New Roman" w:cs="Times New Roman"/>
          <w:sz w:val="24"/>
          <w:szCs w:val="24"/>
        </w:rPr>
        <w:t>proviennent d’</w:t>
      </w:r>
      <w:r w:rsidR="00986D95">
        <w:rPr>
          <w:rFonts w:ascii="Times New Roman" w:hAnsi="Times New Roman" w:cs="Times New Roman"/>
          <w:sz w:val="24"/>
          <w:szCs w:val="24"/>
        </w:rPr>
        <w:t>i</w:t>
      </w:r>
      <w:r w:rsidRPr="00E056B1">
        <w:rPr>
          <w:rFonts w:ascii="Times New Roman" w:hAnsi="Times New Roman" w:cs="Times New Roman"/>
          <w:sz w:val="24"/>
          <w:szCs w:val="24"/>
        </w:rPr>
        <w:t xml:space="preserve">nstitutions diverses : Etat, </w:t>
      </w:r>
      <w:r w:rsidR="00D32398" w:rsidRPr="00E056B1">
        <w:rPr>
          <w:rFonts w:ascii="Times New Roman" w:hAnsi="Times New Roman" w:cs="Times New Roman"/>
          <w:sz w:val="24"/>
          <w:szCs w:val="24"/>
        </w:rPr>
        <w:t xml:space="preserve">ONG, </w:t>
      </w:r>
      <w:r w:rsidR="00EC67DE">
        <w:rPr>
          <w:rFonts w:ascii="Times New Roman" w:hAnsi="Times New Roman" w:cs="Times New Roman"/>
          <w:sz w:val="24"/>
          <w:szCs w:val="24"/>
        </w:rPr>
        <w:t xml:space="preserve">institutions de </w:t>
      </w:r>
      <w:r w:rsidR="00D32398" w:rsidRPr="00E056B1">
        <w:rPr>
          <w:rFonts w:ascii="Times New Roman" w:hAnsi="Times New Roman" w:cs="Times New Roman"/>
          <w:sz w:val="24"/>
          <w:szCs w:val="24"/>
        </w:rPr>
        <w:t>recherche et le secteur</w:t>
      </w:r>
      <w:r w:rsidR="00D71BE0">
        <w:rPr>
          <w:rFonts w:ascii="Times New Roman" w:hAnsi="Times New Roman" w:cs="Times New Roman"/>
          <w:sz w:val="24"/>
          <w:szCs w:val="24"/>
        </w:rPr>
        <w:t xml:space="preserve"> </w:t>
      </w:r>
      <w:r w:rsidR="00716434" w:rsidRPr="00E056B1">
        <w:rPr>
          <w:rFonts w:ascii="Times New Roman" w:hAnsi="Times New Roman" w:cs="Times New Roman"/>
          <w:sz w:val="24"/>
          <w:szCs w:val="24"/>
        </w:rPr>
        <w:t>privé</w:t>
      </w:r>
      <w:r w:rsidR="00D32398" w:rsidRPr="00E056B1">
        <w:rPr>
          <w:rFonts w:ascii="Times New Roman" w:hAnsi="Times New Roman" w:cs="Times New Roman"/>
          <w:sz w:val="24"/>
          <w:szCs w:val="24"/>
        </w:rPr>
        <w:t>. Ces struc</w:t>
      </w:r>
      <w:r w:rsidR="00EC17E3">
        <w:rPr>
          <w:rFonts w:ascii="Times New Roman" w:hAnsi="Times New Roman" w:cs="Times New Roman"/>
          <w:sz w:val="24"/>
          <w:szCs w:val="24"/>
        </w:rPr>
        <w:t>t</w:t>
      </w:r>
      <w:r w:rsidR="00D32398" w:rsidRPr="00E056B1">
        <w:rPr>
          <w:rFonts w:ascii="Times New Roman" w:hAnsi="Times New Roman" w:cs="Times New Roman"/>
          <w:sz w:val="24"/>
          <w:szCs w:val="24"/>
        </w:rPr>
        <w:t>ures sont</w:t>
      </w:r>
      <w:r w:rsidR="00716434" w:rsidRPr="00E056B1">
        <w:rPr>
          <w:rFonts w:ascii="Times New Roman" w:hAnsi="Times New Roman" w:cs="Times New Roman"/>
          <w:sz w:val="24"/>
          <w:szCs w:val="24"/>
        </w:rPr>
        <w:t xml:space="preserve"> basées dans toutes </w:t>
      </w:r>
      <w:r w:rsidR="00D61FC5" w:rsidRPr="00E056B1">
        <w:rPr>
          <w:rFonts w:ascii="Times New Roman" w:hAnsi="Times New Roman" w:cs="Times New Roman"/>
          <w:sz w:val="24"/>
          <w:szCs w:val="24"/>
        </w:rPr>
        <w:t xml:space="preserve">les </w:t>
      </w:r>
      <w:r w:rsidR="00716434" w:rsidRPr="00E056B1">
        <w:rPr>
          <w:rFonts w:ascii="Times New Roman" w:hAnsi="Times New Roman" w:cs="Times New Roman"/>
          <w:sz w:val="24"/>
          <w:szCs w:val="24"/>
        </w:rPr>
        <w:t>régions administratives du Togo (</w:t>
      </w:r>
      <w:r w:rsidRPr="00E056B1">
        <w:rPr>
          <w:rFonts w:ascii="Times New Roman" w:hAnsi="Times New Roman" w:cs="Times New Roman"/>
          <w:sz w:val="24"/>
          <w:szCs w:val="24"/>
        </w:rPr>
        <w:t>Figure</w:t>
      </w:r>
      <w:r w:rsidR="00F00DB1">
        <w:rPr>
          <w:rFonts w:ascii="Times New Roman" w:hAnsi="Times New Roman" w:cs="Times New Roman"/>
          <w:sz w:val="24"/>
          <w:szCs w:val="24"/>
        </w:rPr>
        <w:t xml:space="preserve"> 3</w:t>
      </w:r>
      <w:r w:rsidRPr="00E056B1">
        <w:rPr>
          <w:rFonts w:ascii="Times New Roman" w:hAnsi="Times New Roman" w:cs="Times New Roman"/>
          <w:sz w:val="24"/>
          <w:szCs w:val="24"/>
        </w:rPr>
        <w:t>)</w:t>
      </w:r>
      <w:r w:rsidR="00716434" w:rsidRPr="00E056B1">
        <w:rPr>
          <w:rFonts w:ascii="Times New Roman" w:hAnsi="Times New Roman" w:cs="Times New Roman"/>
          <w:sz w:val="24"/>
          <w:szCs w:val="24"/>
        </w:rPr>
        <w:t>.</w:t>
      </w:r>
      <w:r w:rsidR="005C0254" w:rsidRPr="00E056B1">
        <w:rPr>
          <w:rFonts w:ascii="Times New Roman" w:hAnsi="Times New Roman" w:cs="Times New Roman"/>
          <w:sz w:val="24"/>
          <w:szCs w:val="24"/>
        </w:rPr>
        <w:t xml:space="preserve"> Les domaines d’intervention sont </w:t>
      </w:r>
      <w:r w:rsidR="00036E2D">
        <w:rPr>
          <w:rFonts w:ascii="Times New Roman" w:hAnsi="Times New Roman" w:cs="Times New Roman"/>
          <w:sz w:val="24"/>
          <w:szCs w:val="24"/>
        </w:rPr>
        <w:t>entre autre</w:t>
      </w:r>
      <w:r w:rsidR="00986D95">
        <w:rPr>
          <w:rFonts w:ascii="Times New Roman" w:hAnsi="Times New Roman" w:cs="Times New Roman"/>
          <w:sz w:val="24"/>
          <w:szCs w:val="24"/>
        </w:rPr>
        <w:t>s</w:t>
      </w:r>
      <w:r w:rsidR="005C0254" w:rsidRPr="00E056B1">
        <w:rPr>
          <w:rFonts w:ascii="Times New Roman" w:eastAsia="Times New Roman" w:hAnsi="Times New Roman" w:cs="Times New Roman"/>
          <w:sz w:val="24"/>
          <w:szCs w:val="24"/>
          <w:lang w:eastAsia="fr-FR"/>
        </w:rPr>
        <w:t xml:space="preserve"> l’environnement, l</w:t>
      </w:r>
      <w:r w:rsidR="00036E2D">
        <w:rPr>
          <w:rFonts w:ascii="Times New Roman" w:eastAsia="Times New Roman" w:hAnsi="Times New Roman" w:cs="Times New Roman"/>
          <w:sz w:val="24"/>
          <w:szCs w:val="24"/>
          <w:lang w:eastAsia="fr-FR"/>
        </w:rPr>
        <w:t>a</w:t>
      </w:r>
      <w:r w:rsidR="005C0254" w:rsidRPr="00E056B1">
        <w:rPr>
          <w:rFonts w:ascii="Times New Roman" w:eastAsia="Times New Roman" w:hAnsi="Times New Roman" w:cs="Times New Roman"/>
          <w:sz w:val="24"/>
          <w:szCs w:val="24"/>
          <w:lang w:eastAsia="fr-FR"/>
        </w:rPr>
        <w:t xml:space="preserve"> foresterie, la formation, l</w:t>
      </w:r>
      <w:r w:rsidR="00036E2D">
        <w:rPr>
          <w:rFonts w:ascii="Times New Roman" w:eastAsia="Times New Roman" w:hAnsi="Times New Roman" w:cs="Times New Roman"/>
          <w:sz w:val="24"/>
          <w:szCs w:val="24"/>
          <w:lang w:eastAsia="fr-FR"/>
        </w:rPr>
        <w:t>a</w:t>
      </w:r>
      <w:r w:rsidR="005C0254" w:rsidRPr="00E056B1">
        <w:rPr>
          <w:rFonts w:ascii="Times New Roman" w:eastAsia="Times New Roman" w:hAnsi="Times New Roman" w:cs="Times New Roman"/>
          <w:sz w:val="24"/>
          <w:szCs w:val="24"/>
          <w:lang w:eastAsia="fr-FR"/>
        </w:rPr>
        <w:t xml:space="preserve"> </w:t>
      </w:r>
      <w:r w:rsidR="00986D95">
        <w:rPr>
          <w:rFonts w:ascii="Times New Roman" w:eastAsia="Times New Roman" w:hAnsi="Times New Roman" w:cs="Times New Roman"/>
          <w:sz w:val="24"/>
          <w:szCs w:val="24"/>
          <w:lang w:eastAsia="fr-FR"/>
        </w:rPr>
        <w:t>r</w:t>
      </w:r>
      <w:r w:rsidR="005C0254" w:rsidRPr="00E056B1">
        <w:rPr>
          <w:rFonts w:ascii="Times New Roman" w:eastAsia="Times New Roman" w:hAnsi="Times New Roman" w:cs="Times New Roman"/>
          <w:sz w:val="24"/>
          <w:szCs w:val="24"/>
          <w:lang w:eastAsia="fr-FR"/>
        </w:rPr>
        <w:t>echerche</w:t>
      </w:r>
      <w:r w:rsidR="00036E2D">
        <w:rPr>
          <w:rFonts w:ascii="Times New Roman" w:eastAsia="Times New Roman" w:hAnsi="Times New Roman" w:cs="Times New Roman"/>
          <w:sz w:val="24"/>
          <w:szCs w:val="24"/>
          <w:lang w:eastAsia="fr-FR"/>
        </w:rPr>
        <w:t>, le d</w:t>
      </w:r>
      <w:r w:rsidR="005C0254" w:rsidRPr="00E056B1">
        <w:rPr>
          <w:rFonts w:ascii="Times New Roman" w:eastAsia="Times New Roman" w:hAnsi="Times New Roman" w:cs="Times New Roman"/>
          <w:sz w:val="24"/>
          <w:szCs w:val="24"/>
          <w:lang w:eastAsia="fr-FR"/>
        </w:rPr>
        <w:t>éveloppement, l’agriculture, l’élevage, la pêche et autres (</w:t>
      </w:r>
      <w:r w:rsidR="005C0254" w:rsidRPr="00E056B1">
        <w:rPr>
          <w:rFonts w:ascii="Times New Roman" w:hAnsi="Times New Roman" w:cs="Times New Roman"/>
          <w:sz w:val="24"/>
          <w:szCs w:val="24"/>
        </w:rPr>
        <w:t xml:space="preserve">assainissement, </w:t>
      </w:r>
      <w:r w:rsidR="00E5517C" w:rsidRPr="00E056B1">
        <w:rPr>
          <w:rFonts w:ascii="Times New Roman" w:hAnsi="Times New Roman" w:cs="Times New Roman"/>
          <w:sz w:val="24"/>
          <w:szCs w:val="24"/>
        </w:rPr>
        <w:t>industrie et tourisme, planification économique, planification spatiale, coopération bilatérale et multilatérale, communication, agroforesterie ;</w:t>
      </w:r>
      <w:r w:rsidR="00733A91" w:rsidRPr="00E056B1">
        <w:rPr>
          <w:rFonts w:ascii="Times New Roman" w:eastAsia="Calibri" w:hAnsi="Times New Roman" w:cs="Times New Roman"/>
          <w:sz w:val="24"/>
          <w:szCs w:val="24"/>
        </w:rPr>
        <w:t>éducation, écotourisme, culture, plan de développement aux communautés</w:t>
      </w:r>
      <w:r w:rsidR="00733A91" w:rsidRPr="00E056B1">
        <w:rPr>
          <w:rFonts w:ascii="Times New Roman" w:hAnsi="Times New Roman" w:cs="Times New Roman"/>
          <w:sz w:val="24"/>
          <w:szCs w:val="24"/>
        </w:rPr>
        <w:t xml:space="preserve">, </w:t>
      </w:r>
      <w:r w:rsidR="00733A91" w:rsidRPr="00E056B1">
        <w:rPr>
          <w:rFonts w:ascii="Times New Roman" w:eastAsia="Times New Roman" w:hAnsi="Times New Roman" w:cs="Times New Roman"/>
          <w:sz w:val="24"/>
          <w:szCs w:val="24"/>
          <w:lang w:eastAsia="fr-FR"/>
        </w:rPr>
        <w:t>genre, promotion de la femme, protection des enfants, santé, appui-accompagnement aux organisations communautaires,</w:t>
      </w:r>
      <w:r w:rsidR="00733A91" w:rsidRPr="00E056B1">
        <w:rPr>
          <w:rFonts w:ascii="Times New Roman" w:hAnsi="Times New Roman" w:cs="Times New Roman"/>
          <w:sz w:val="24"/>
          <w:szCs w:val="24"/>
        </w:rPr>
        <w:t xml:space="preserve"> droits Humains, organisation communautaire, etc)</w:t>
      </w:r>
      <w:r w:rsidR="00F00DB1">
        <w:rPr>
          <w:rFonts w:ascii="Times New Roman" w:hAnsi="Times New Roman" w:cs="Times New Roman"/>
          <w:sz w:val="24"/>
          <w:szCs w:val="24"/>
        </w:rPr>
        <w:t xml:space="preserve"> (Figure 3</w:t>
      </w:r>
      <w:r w:rsidR="005C38C7" w:rsidRPr="00E056B1">
        <w:rPr>
          <w:rFonts w:ascii="Times New Roman" w:hAnsi="Times New Roman" w:cs="Times New Roman"/>
          <w:sz w:val="24"/>
          <w:szCs w:val="24"/>
        </w:rPr>
        <w:t>)</w:t>
      </w:r>
      <w:r w:rsidR="00733A91" w:rsidRPr="00E056B1">
        <w:rPr>
          <w:rFonts w:ascii="Times New Roman" w:hAnsi="Times New Roman" w:cs="Times New Roman"/>
          <w:sz w:val="24"/>
          <w:szCs w:val="24"/>
        </w:rPr>
        <w:t>.</w:t>
      </w:r>
    </w:p>
    <w:p w14:paraId="13CE47ED" w14:textId="77777777" w:rsidR="00DD7927" w:rsidRDefault="00DD7927" w:rsidP="00E056B1">
      <w:pPr>
        <w:spacing w:after="0" w:line="240" w:lineRule="auto"/>
        <w:jc w:val="both"/>
        <w:rPr>
          <w:rFonts w:ascii="Times New Roman" w:hAnsi="Times New Roman" w:cs="Times New Roman"/>
          <w:sz w:val="24"/>
          <w:szCs w:val="24"/>
        </w:rPr>
      </w:pPr>
    </w:p>
    <w:p w14:paraId="6BAA0172" w14:textId="77777777" w:rsidR="00DD7927" w:rsidRPr="00733A91" w:rsidRDefault="00DD7927" w:rsidP="00DD7927">
      <w:pPr>
        <w:autoSpaceDE w:val="0"/>
        <w:autoSpaceDN w:val="0"/>
        <w:adjustRightInd w:val="0"/>
        <w:spacing w:after="0" w:line="240" w:lineRule="auto"/>
        <w:jc w:val="center"/>
        <w:rPr>
          <w:rFonts w:ascii="Times New Roman" w:hAnsi="Times New Roman" w:cs="Times New Roman"/>
          <w:sz w:val="24"/>
          <w:szCs w:val="24"/>
        </w:rPr>
      </w:pPr>
      <w:r w:rsidRPr="001218B8">
        <w:rPr>
          <w:noProof/>
          <w:lang w:eastAsia="fr-FR"/>
        </w:rPr>
        <w:drawing>
          <wp:inline distT="0" distB="0" distL="0" distR="0" wp14:anchorId="5829654F" wp14:editId="47207578">
            <wp:extent cx="5759450" cy="1870248"/>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5759450" cy="1870248"/>
                    </a:xfrm>
                    <a:prstGeom prst="rect">
                      <a:avLst/>
                    </a:prstGeom>
                    <a:noFill/>
                    <a:ln>
                      <a:noFill/>
                    </a:ln>
                  </pic:spPr>
                </pic:pic>
              </a:graphicData>
            </a:graphic>
          </wp:inline>
        </w:drawing>
      </w:r>
    </w:p>
    <w:p w14:paraId="74067503" w14:textId="77777777" w:rsidR="005D71D2" w:rsidRPr="00E056B1" w:rsidRDefault="005D71D2" w:rsidP="00E056B1">
      <w:pPr>
        <w:autoSpaceDE w:val="0"/>
        <w:autoSpaceDN w:val="0"/>
        <w:adjustRightInd w:val="0"/>
        <w:spacing w:after="0" w:line="240" w:lineRule="auto"/>
        <w:jc w:val="both"/>
        <w:rPr>
          <w:rFonts w:ascii="Times New Roman" w:hAnsi="Times New Roman" w:cs="Times New Roman"/>
          <w:color w:val="000000"/>
          <w:sz w:val="24"/>
          <w:szCs w:val="24"/>
        </w:rPr>
      </w:pPr>
    </w:p>
    <w:p w14:paraId="36C3E502" w14:textId="5C88BED9" w:rsidR="005C38C7" w:rsidRPr="00F00DB1" w:rsidRDefault="00F00DB1" w:rsidP="00F00DB1">
      <w:pPr>
        <w:pStyle w:val="Lgende"/>
        <w:rPr>
          <w:rFonts w:ascii="Times New Roman" w:hAnsi="Times New Roman"/>
          <w:iCs/>
          <w:sz w:val="24"/>
          <w:szCs w:val="24"/>
          <w:lang w:val="fr-CA"/>
        </w:rPr>
      </w:pPr>
      <w:bookmarkStart w:id="25" w:name="_Toc533413491"/>
      <w:r w:rsidRPr="00F00DB1">
        <w:rPr>
          <w:rFonts w:ascii="Times New Roman" w:hAnsi="Times New Roman"/>
          <w:sz w:val="24"/>
          <w:szCs w:val="24"/>
        </w:rPr>
        <w:t xml:space="preserve">Figure </w:t>
      </w:r>
      <w:r w:rsidR="00620BEA" w:rsidRPr="00F00DB1">
        <w:rPr>
          <w:rFonts w:ascii="Times New Roman" w:hAnsi="Times New Roman"/>
          <w:sz w:val="24"/>
          <w:szCs w:val="24"/>
        </w:rPr>
        <w:fldChar w:fldCharType="begin"/>
      </w:r>
      <w:r w:rsidRPr="00F00DB1">
        <w:rPr>
          <w:rFonts w:ascii="Times New Roman" w:hAnsi="Times New Roman"/>
          <w:sz w:val="24"/>
          <w:szCs w:val="24"/>
        </w:rPr>
        <w:instrText xml:space="preserve"> SEQ Figure \* ARABIC </w:instrText>
      </w:r>
      <w:r w:rsidR="00620BEA" w:rsidRPr="00F00DB1">
        <w:rPr>
          <w:rFonts w:ascii="Times New Roman" w:hAnsi="Times New Roman"/>
          <w:sz w:val="24"/>
          <w:szCs w:val="24"/>
        </w:rPr>
        <w:fldChar w:fldCharType="separate"/>
      </w:r>
      <w:r w:rsidR="00C47BFF">
        <w:rPr>
          <w:rFonts w:ascii="Times New Roman" w:hAnsi="Times New Roman"/>
          <w:noProof/>
          <w:sz w:val="24"/>
          <w:szCs w:val="24"/>
        </w:rPr>
        <w:t>3</w:t>
      </w:r>
      <w:r w:rsidR="00620BEA" w:rsidRPr="00F00DB1">
        <w:rPr>
          <w:rFonts w:ascii="Times New Roman" w:hAnsi="Times New Roman"/>
          <w:sz w:val="24"/>
          <w:szCs w:val="24"/>
        </w:rPr>
        <w:fldChar w:fldCharType="end"/>
      </w:r>
      <w:r w:rsidRPr="00F00DB1">
        <w:rPr>
          <w:rFonts w:ascii="Times New Roman" w:hAnsi="Times New Roman"/>
          <w:sz w:val="24"/>
          <w:szCs w:val="24"/>
        </w:rPr>
        <w:t>: Répartition des acteurs</w:t>
      </w:r>
      <w:r w:rsidR="0088160D">
        <w:rPr>
          <w:rFonts w:ascii="Times New Roman" w:hAnsi="Times New Roman"/>
          <w:sz w:val="24"/>
          <w:szCs w:val="24"/>
        </w:rPr>
        <w:t xml:space="preserve"> et domaine d’</w:t>
      </w:r>
      <w:r w:rsidRPr="00F00DB1">
        <w:rPr>
          <w:rFonts w:ascii="Times New Roman" w:hAnsi="Times New Roman"/>
          <w:sz w:val="24"/>
          <w:szCs w:val="24"/>
        </w:rPr>
        <w:t>intervenant dans la mise en œuvre de la SPANB du Togo</w:t>
      </w:r>
      <w:bookmarkEnd w:id="25"/>
    </w:p>
    <w:p w14:paraId="14354D61" w14:textId="77777777" w:rsidR="001E4060" w:rsidRPr="00E056B1" w:rsidRDefault="009465C8" w:rsidP="003A74BD">
      <w:pPr>
        <w:autoSpaceDE w:val="0"/>
        <w:autoSpaceDN w:val="0"/>
        <w:adjustRightInd w:val="0"/>
        <w:spacing w:after="0" w:line="240" w:lineRule="auto"/>
        <w:outlineLvl w:val="1"/>
        <w:rPr>
          <w:rFonts w:ascii="Times New Roman" w:hAnsi="Times New Roman" w:cs="Times New Roman"/>
          <w:b/>
          <w:color w:val="000000"/>
          <w:sz w:val="24"/>
          <w:szCs w:val="24"/>
        </w:rPr>
      </w:pPr>
      <w:bookmarkStart w:id="26" w:name="_Toc533413750"/>
      <w:r w:rsidRPr="00E056B1">
        <w:rPr>
          <w:rFonts w:ascii="Times New Roman" w:hAnsi="Times New Roman" w:cs="Times New Roman"/>
          <w:b/>
          <w:color w:val="000000"/>
          <w:sz w:val="24"/>
          <w:szCs w:val="24"/>
        </w:rPr>
        <w:t>2</w:t>
      </w:r>
      <w:r w:rsidR="00F9674D">
        <w:rPr>
          <w:rFonts w:ascii="Times New Roman" w:hAnsi="Times New Roman" w:cs="Times New Roman"/>
          <w:b/>
          <w:color w:val="000000"/>
          <w:sz w:val="24"/>
          <w:szCs w:val="24"/>
        </w:rPr>
        <w:t>.3</w:t>
      </w:r>
      <w:r w:rsidRPr="00E056B1">
        <w:rPr>
          <w:rFonts w:ascii="Times New Roman" w:hAnsi="Times New Roman" w:cs="Times New Roman"/>
          <w:b/>
          <w:color w:val="000000"/>
          <w:sz w:val="24"/>
          <w:szCs w:val="24"/>
        </w:rPr>
        <w:t>. Évaluation de l’efficacité des mesures prises</w:t>
      </w:r>
      <w:bookmarkEnd w:id="26"/>
    </w:p>
    <w:p w14:paraId="5BE638EF" w14:textId="77777777" w:rsidR="001D5C21" w:rsidRPr="00E056B1" w:rsidRDefault="001D5C21" w:rsidP="00E056B1">
      <w:pPr>
        <w:autoSpaceDE w:val="0"/>
        <w:autoSpaceDN w:val="0"/>
        <w:adjustRightInd w:val="0"/>
        <w:spacing w:after="0" w:line="240" w:lineRule="auto"/>
        <w:jc w:val="both"/>
        <w:rPr>
          <w:rFonts w:ascii="Times New Roman" w:hAnsi="Times New Roman" w:cs="Times New Roman"/>
          <w:b/>
          <w:color w:val="000000"/>
          <w:sz w:val="24"/>
          <w:szCs w:val="24"/>
        </w:rPr>
      </w:pPr>
    </w:p>
    <w:p w14:paraId="2A231998" w14:textId="77777777" w:rsidR="00E072DB" w:rsidRPr="00E056B1" w:rsidRDefault="00F9674D" w:rsidP="003A74BD">
      <w:pPr>
        <w:autoSpaceDE w:val="0"/>
        <w:autoSpaceDN w:val="0"/>
        <w:adjustRightInd w:val="0"/>
        <w:spacing w:after="0" w:line="240" w:lineRule="auto"/>
        <w:outlineLvl w:val="2"/>
        <w:rPr>
          <w:rFonts w:ascii="Times New Roman" w:hAnsi="Times New Roman" w:cs="Times New Roman"/>
          <w:b/>
          <w:color w:val="000000"/>
          <w:sz w:val="24"/>
          <w:szCs w:val="24"/>
        </w:rPr>
      </w:pPr>
      <w:bookmarkStart w:id="27" w:name="_Toc533413751"/>
      <w:r>
        <w:rPr>
          <w:rFonts w:ascii="Times New Roman" w:hAnsi="Times New Roman" w:cs="Times New Roman"/>
          <w:b/>
          <w:color w:val="000000"/>
          <w:sz w:val="24"/>
          <w:szCs w:val="24"/>
        </w:rPr>
        <w:t>2.3</w:t>
      </w:r>
      <w:r w:rsidR="00E072DB" w:rsidRPr="00E056B1">
        <w:rPr>
          <w:rFonts w:ascii="Times New Roman" w:hAnsi="Times New Roman" w:cs="Times New Roman"/>
          <w:b/>
          <w:color w:val="000000"/>
          <w:sz w:val="24"/>
          <w:szCs w:val="24"/>
        </w:rPr>
        <w:t xml:space="preserve">.1. </w:t>
      </w:r>
      <w:r w:rsidR="00E072DB" w:rsidRPr="00E056B1">
        <w:rPr>
          <w:rFonts w:ascii="Times New Roman" w:hAnsi="Times New Roman" w:cs="Times New Roman"/>
          <w:b/>
          <w:iCs/>
          <w:sz w:val="24"/>
          <w:szCs w:val="24"/>
        </w:rPr>
        <w:t>E</w:t>
      </w:r>
      <w:r w:rsidR="00BD572F" w:rsidRPr="00E056B1">
        <w:rPr>
          <w:rFonts w:ascii="Times New Roman" w:hAnsi="Times New Roman" w:cs="Times New Roman"/>
          <w:b/>
          <w:iCs/>
          <w:sz w:val="24"/>
          <w:szCs w:val="24"/>
        </w:rPr>
        <w:t xml:space="preserve">fficacité des </w:t>
      </w:r>
      <w:r w:rsidR="00E072DB" w:rsidRPr="00E056B1">
        <w:rPr>
          <w:rFonts w:ascii="Times New Roman" w:hAnsi="Times New Roman" w:cs="Times New Roman"/>
          <w:b/>
          <w:iCs/>
          <w:sz w:val="24"/>
          <w:szCs w:val="24"/>
        </w:rPr>
        <w:t>mesure</w:t>
      </w:r>
      <w:r w:rsidR="00BD572F" w:rsidRPr="00E056B1">
        <w:rPr>
          <w:rFonts w:ascii="Times New Roman" w:hAnsi="Times New Roman" w:cs="Times New Roman"/>
          <w:b/>
          <w:iCs/>
          <w:sz w:val="24"/>
          <w:szCs w:val="24"/>
        </w:rPr>
        <w:t>s</w:t>
      </w:r>
      <w:r w:rsidR="00E072DB" w:rsidRPr="00E056B1">
        <w:rPr>
          <w:rFonts w:ascii="Times New Roman" w:hAnsi="Times New Roman" w:cs="Times New Roman"/>
          <w:b/>
          <w:iCs/>
          <w:sz w:val="24"/>
          <w:szCs w:val="24"/>
        </w:rPr>
        <w:t xml:space="preserve"> à créer le changement </w:t>
      </w:r>
      <w:r w:rsidR="00BD572F" w:rsidRPr="00E056B1">
        <w:rPr>
          <w:rFonts w:ascii="Times New Roman" w:hAnsi="Times New Roman" w:cs="Times New Roman"/>
          <w:b/>
          <w:iCs/>
          <w:sz w:val="24"/>
          <w:szCs w:val="24"/>
        </w:rPr>
        <w:t>dans l’état ou la tendance en matière de diversité biologique</w:t>
      </w:r>
      <w:bookmarkEnd w:id="27"/>
    </w:p>
    <w:p w14:paraId="1F999DDC" w14:textId="77777777" w:rsidR="00E072DB" w:rsidRPr="009C7085" w:rsidRDefault="00E072DB" w:rsidP="00E056B1">
      <w:pPr>
        <w:autoSpaceDE w:val="0"/>
        <w:autoSpaceDN w:val="0"/>
        <w:adjustRightInd w:val="0"/>
        <w:spacing w:after="0" w:line="240" w:lineRule="auto"/>
        <w:jc w:val="both"/>
        <w:rPr>
          <w:rFonts w:ascii="Times New Roman" w:hAnsi="Times New Roman" w:cs="Times New Roman"/>
          <w:color w:val="000000"/>
          <w:sz w:val="24"/>
          <w:szCs w:val="24"/>
        </w:rPr>
      </w:pPr>
    </w:p>
    <w:p w14:paraId="6349B8E4" w14:textId="7FE981B3" w:rsidR="001D5C21" w:rsidRPr="00E056B1" w:rsidRDefault="009C7085" w:rsidP="00E056B1">
      <w:pPr>
        <w:autoSpaceDE w:val="0"/>
        <w:autoSpaceDN w:val="0"/>
        <w:adjustRightInd w:val="0"/>
        <w:spacing w:after="0" w:line="240" w:lineRule="auto"/>
        <w:jc w:val="both"/>
        <w:rPr>
          <w:rFonts w:ascii="Times New Roman" w:hAnsi="Times New Roman" w:cs="Times New Roman"/>
          <w:b/>
          <w:color w:val="000000"/>
          <w:sz w:val="24"/>
          <w:szCs w:val="24"/>
        </w:rPr>
      </w:pPr>
      <w:r>
        <w:rPr>
          <w:rFonts w:ascii="Times New Roman" w:hAnsi="Times New Roman" w:cs="Times New Roman"/>
          <w:color w:val="000000"/>
          <w:sz w:val="24"/>
          <w:szCs w:val="24"/>
        </w:rPr>
        <w:t xml:space="preserve">Au total, </w:t>
      </w:r>
      <w:r w:rsidR="00F05A20" w:rsidRPr="00F05A20">
        <w:rPr>
          <w:rFonts w:ascii="Times New Roman" w:hAnsi="Times New Roman" w:cs="Times New Roman"/>
          <w:color w:val="000000"/>
          <w:sz w:val="24"/>
          <w:szCs w:val="24"/>
        </w:rPr>
        <w:t xml:space="preserve">46,4% des acteurs enquêtés estiment </w:t>
      </w:r>
      <w:r w:rsidR="005C38C7" w:rsidRPr="00E056B1">
        <w:rPr>
          <w:rFonts w:ascii="Times New Roman" w:hAnsi="Times New Roman" w:cs="Times New Roman"/>
          <w:color w:val="000000"/>
          <w:sz w:val="24"/>
          <w:szCs w:val="24"/>
        </w:rPr>
        <w:t>que les mes</w:t>
      </w:r>
      <w:r w:rsidR="001D5C21" w:rsidRPr="00E056B1">
        <w:rPr>
          <w:rFonts w:ascii="Times New Roman" w:hAnsi="Times New Roman" w:cs="Times New Roman"/>
          <w:color w:val="000000"/>
          <w:sz w:val="24"/>
          <w:szCs w:val="24"/>
        </w:rPr>
        <w:t>ures prises</w:t>
      </w:r>
      <w:r w:rsidR="0088160D">
        <w:rPr>
          <w:rFonts w:ascii="Times New Roman" w:hAnsi="Times New Roman" w:cs="Times New Roman"/>
          <w:color w:val="000000"/>
          <w:sz w:val="24"/>
          <w:szCs w:val="24"/>
        </w:rPr>
        <w:t xml:space="preserve"> </w:t>
      </w:r>
      <w:r w:rsidR="001D5C21" w:rsidRPr="00E056B1">
        <w:rPr>
          <w:rFonts w:ascii="Times New Roman" w:hAnsi="Times New Roman" w:cs="Times New Roman"/>
          <w:color w:val="000000"/>
          <w:sz w:val="24"/>
          <w:szCs w:val="24"/>
        </w:rPr>
        <w:t xml:space="preserve">pour appliquer </w:t>
      </w:r>
      <w:r w:rsidR="001D5C21" w:rsidRPr="00E056B1">
        <w:rPr>
          <w:rFonts w:ascii="Times New Roman" w:hAnsi="Times New Roman" w:cs="Times New Roman"/>
          <w:iCs/>
          <w:sz w:val="24"/>
          <w:szCs w:val="24"/>
          <w:lang w:val="fr-CA"/>
        </w:rPr>
        <w:t>la stratégie et plan d’action nationa</w:t>
      </w:r>
      <w:r w:rsidR="005C38C7" w:rsidRPr="00E056B1">
        <w:rPr>
          <w:rFonts w:ascii="Times New Roman" w:hAnsi="Times New Roman" w:cs="Times New Roman"/>
          <w:iCs/>
          <w:sz w:val="24"/>
          <w:szCs w:val="24"/>
          <w:lang w:val="fr-CA"/>
        </w:rPr>
        <w:t>ux</w:t>
      </w:r>
      <w:r w:rsidR="001D5C21" w:rsidRPr="00E056B1">
        <w:rPr>
          <w:rFonts w:ascii="Times New Roman" w:hAnsi="Times New Roman" w:cs="Times New Roman"/>
          <w:iCs/>
          <w:sz w:val="24"/>
          <w:szCs w:val="24"/>
          <w:lang w:val="fr-CA"/>
        </w:rPr>
        <w:t xml:space="preserve"> pour la diversité biologique sont en partie efficaces </w:t>
      </w:r>
      <w:r w:rsidR="00A775C2" w:rsidRPr="00E056B1">
        <w:rPr>
          <w:rFonts w:ascii="Times New Roman" w:hAnsi="Times New Roman" w:cs="Times New Roman"/>
          <w:iCs/>
          <w:sz w:val="24"/>
          <w:szCs w:val="24"/>
          <w:lang w:val="fr-CA"/>
        </w:rPr>
        <w:t>et peuvent</w:t>
      </w:r>
      <w:r w:rsidR="00E23162" w:rsidRPr="00E056B1">
        <w:rPr>
          <w:rFonts w:ascii="Times New Roman" w:hAnsi="Times New Roman" w:cs="Times New Roman"/>
          <w:iCs/>
          <w:sz w:val="24"/>
          <w:szCs w:val="24"/>
          <w:lang w:val="fr-CA"/>
        </w:rPr>
        <w:t xml:space="preserve"> introduire des changements dans </w:t>
      </w:r>
      <w:r w:rsidR="00E23162" w:rsidRPr="00E056B1">
        <w:rPr>
          <w:rFonts w:ascii="Times New Roman" w:hAnsi="Times New Roman" w:cs="Times New Roman"/>
          <w:iCs/>
          <w:sz w:val="24"/>
          <w:szCs w:val="24"/>
        </w:rPr>
        <w:t>l’état ou la tendance en matière de diversité biologique</w:t>
      </w:r>
      <w:r w:rsidR="00131823" w:rsidRPr="00E056B1">
        <w:rPr>
          <w:rFonts w:ascii="Times New Roman" w:hAnsi="Times New Roman" w:cs="Times New Roman"/>
          <w:iCs/>
          <w:sz w:val="24"/>
          <w:szCs w:val="24"/>
        </w:rPr>
        <w:t>,</w:t>
      </w:r>
      <w:r w:rsidR="00131823" w:rsidRPr="00E056B1">
        <w:rPr>
          <w:rFonts w:ascii="Times New Roman" w:hAnsi="Times New Roman" w:cs="Times New Roman"/>
          <w:iCs/>
          <w:sz w:val="24"/>
          <w:szCs w:val="24"/>
          <w:lang w:val="fr-CA"/>
        </w:rPr>
        <w:t xml:space="preserve"> tandis</w:t>
      </w:r>
      <w:r w:rsidR="0088160D">
        <w:rPr>
          <w:rFonts w:ascii="Times New Roman" w:hAnsi="Times New Roman" w:cs="Times New Roman"/>
          <w:iCs/>
          <w:sz w:val="24"/>
          <w:szCs w:val="24"/>
          <w:lang w:val="fr-CA"/>
        </w:rPr>
        <w:t xml:space="preserve"> que</w:t>
      </w:r>
      <w:r w:rsidR="001D5C21" w:rsidRPr="00E056B1">
        <w:rPr>
          <w:rFonts w:ascii="Times New Roman" w:hAnsi="Times New Roman" w:cs="Times New Roman"/>
          <w:iCs/>
          <w:sz w:val="24"/>
          <w:szCs w:val="24"/>
          <w:lang w:val="fr-CA"/>
        </w:rPr>
        <w:t xml:space="preserve"> 28% jugent ces mesures efficaces, 19</w:t>
      </w:r>
      <w:r w:rsidR="00D67970" w:rsidRPr="00E056B1">
        <w:rPr>
          <w:rFonts w:ascii="Times New Roman" w:hAnsi="Times New Roman" w:cs="Times New Roman"/>
          <w:iCs/>
          <w:sz w:val="24"/>
          <w:szCs w:val="24"/>
          <w:lang w:val="fr-CA"/>
        </w:rPr>
        <w:t xml:space="preserve">,2 % inefficaces et 6,4 </w:t>
      </w:r>
      <w:r w:rsidR="001D5C21" w:rsidRPr="00E056B1">
        <w:rPr>
          <w:rFonts w:ascii="Times New Roman" w:hAnsi="Times New Roman" w:cs="Times New Roman"/>
          <w:iCs/>
          <w:sz w:val="24"/>
          <w:szCs w:val="24"/>
          <w:lang w:val="fr-CA"/>
        </w:rPr>
        <w:t xml:space="preserve">% n’ont aucune connaissance </w:t>
      </w:r>
      <w:r w:rsidR="00E23162" w:rsidRPr="00E056B1">
        <w:rPr>
          <w:rFonts w:ascii="Times New Roman" w:hAnsi="Times New Roman" w:cs="Times New Roman"/>
          <w:iCs/>
          <w:sz w:val="24"/>
          <w:szCs w:val="24"/>
          <w:lang w:val="fr-CA"/>
        </w:rPr>
        <w:t>de la SPANB (Figure</w:t>
      </w:r>
      <w:r w:rsidR="00A775C2" w:rsidRPr="00E056B1">
        <w:rPr>
          <w:rFonts w:ascii="Times New Roman" w:hAnsi="Times New Roman" w:cs="Times New Roman"/>
          <w:iCs/>
          <w:sz w:val="24"/>
          <w:szCs w:val="24"/>
          <w:lang w:val="fr-CA"/>
        </w:rPr>
        <w:t xml:space="preserve"> 4</w:t>
      </w:r>
      <w:r w:rsidR="00E23162" w:rsidRPr="00E056B1">
        <w:rPr>
          <w:rFonts w:ascii="Times New Roman" w:hAnsi="Times New Roman" w:cs="Times New Roman"/>
          <w:iCs/>
          <w:sz w:val="24"/>
          <w:szCs w:val="24"/>
          <w:lang w:val="fr-CA"/>
        </w:rPr>
        <w:t>).</w:t>
      </w:r>
    </w:p>
    <w:p w14:paraId="1E46F6F8" w14:textId="77777777" w:rsidR="001D5C21" w:rsidRPr="00E056B1" w:rsidRDefault="001D5C21" w:rsidP="00E056B1">
      <w:pPr>
        <w:autoSpaceDE w:val="0"/>
        <w:autoSpaceDN w:val="0"/>
        <w:adjustRightInd w:val="0"/>
        <w:spacing w:after="0" w:line="240" w:lineRule="auto"/>
        <w:jc w:val="both"/>
        <w:rPr>
          <w:rFonts w:ascii="Times New Roman" w:hAnsi="Times New Roman" w:cs="Times New Roman"/>
          <w:b/>
          <w:color w:val="000000"/>
          <w:sz w:val="24"/>
          <w:szCs w:val="24"/>
        </w:rPr>
      </w:pPr>
    </w:p>
    <w:p w14:paraId="237D5067" w14:textId="77777777" w:rsidR="001D5C21" w:rsidRPr="00E056B1" w:rsidRDefault="00D67970" w:rsidP="00F60F3D">
      <w:pPr>
        <w:autoSpaceDE w:val="0"/>
        <w:autoSpaceDN w:val="0"/>
        <w:adjustRightInd w:val="0"/>
        <w:spacing w:after="0" w:line="240" w:lineRule="auto"/>
        <w:jc w:val="center"/>
        <w:rPr>
          <w:rFonts w:ascii="Times New Roman" w:hAnsi="Times New Roman" w:cs="Times New Roman"/>
          <w:b/>
          <w:color w:val="000000"/>
          <w:sz w:val="24"/>
          <w:szCs w:val="24"/>
        </w:rPr>
      </w:pPr>
      <w:r w:rsidRPr="00E056B1">
        <w:rPr>
          <w:rFonts w:ascii="Times New Roman" w:hAnsi="Times New Roman" w:cs="Times New Roman"/>
          <w:b/>
          <w:noProof/>
          <w:color w:val="000000"/>
          <w:sz w:val="24"/>
          <w:szCs w:val="24"/>
          <w:lang w:eastAsia="fr-FR"/>
        </w:rPr>
        <w:drawing>
          <wp:inline distT="0" distB="0" distL="0" distR="0" wp14:anchorId="43475A67" wp14:editId="23640B25">
            <wp:extent cx="4572000" cy="2743200"/>
            <wp:effectExtent l="0" t="0" r="0" b="0"/>
            <wp:docPr id="21"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9823DC3" w14:textId="77777777" w:rsidR="001D5C21" w:rsidRPr="00E056B1" w:rsidRDefault="001D5C21" w:rsidP="00F60F3D">
      <w:pPr>
        <w:spacing w:after="0" w:line="240" w:lineRule="auto"/>
        <w:jc w:val="center"/>
        <w:rPr>
          <w:rFonts w:ascii="Times New Roman" w:hAnsi="Times New Roman" w:cs="Times New Roman"/>
          <w:iCs/>
          <w:highlight w:val="yellow"/>
        </w:rPr>
      </w:pPr>
    </w:p>
    <w:p w14:paraId="34881A1D" w14:textId="0CBFF25C" w:rsidR="004B0808" w:rsidRPr="004B0808" w:rsidRDefault="004B0808" w:rsidP="00F60F3D">
      <w:pPr>
        <w:pStyle w:val="Lgende"/>
        <w:jc w:val="center"/>
        <w:rPr>
          <w:rFonts w:ascii="Times New Roman" w:hAnsi="Times New Roman"/>
          <w:b w:val="0"/>
          <w:iCs/>
          <w:sz w:val="24"/>
          <w:szCs w:val="24"/>
          <w:u w:val="single"/>
        </w:rPr>
      </w:pPr>
      <w:bookmarkStart w:id="28" w:name="_Toc533413492"/>
      <w:r w:rsidRPr="004B0808">
        <w:rPr>
          <w:rFonts w:ascii="Times New Roman" w:hAnsi="Times New Roman"/>
          <w:sz w:val="24"/>
          <w:szCs w:val="24"/>
        </w:rPr>
        <w:t xml:space="preserve">Figure </w:t>
      </w:r>
      <w:r w:rsidR="00620BEA" w:rsidRPr="004B0808">
        <w:rPr>
          <w:rFonts w:ascii="Times New Roman" w:hAnsi="Times New Roman"/>
          <w:sz w:val="24"/>
          <w:szCs w:val="24"/>
        </w:rPr>
        <w:fldChar w:fldCharType="begin"/>
      </w:r>
      <w:r w:rsidRPr="004B0808">
        <w:rPr>
          <w:rFonts w:ascii="Times New Roman" w:hAnsi="Times New Roman"/>
          <w:sz w:val="24"/>
          <w:szCs w:val="24"/>
        </w:rPr>
        <w:instrText xml:space="preserve"> SEQ Figure \* ARABIC </w:instrText>
      </w:r>
      <w:r w:rsidR="00620BEA" w:rsidRPr="004B0808">
        <w:rPr>
          <w:rFonts w:ascii="Times New Roman" w:hAnsi="Times New Roman"/>
          <w:sz w:val="24"/>
          <w:szCs w:val="24"/>
        </w:rPr>
        <w:fldChar w:fldCharType="separate"/>
      </w:r>
      <w:r w:rsidR="00C47BFF">
        <w:rPr>
          <w:rFonts w:ascii="Times New Roman" w:hAnsi="Times New Roman"/>
          <w:noProof/>
          <w:sz w:val="24"/>
          <w:szCs w:val="24"/>
        </w:rPr>
        <w:t>4</w:t>
      </w:r>
      <w:r w:rsidR="00620BEA" w:rsidRPr="004B0808">
        <w:rPr>
          <w:rFonts w:ascii="Times New Roman" w:hAnsi="Times New Roman"/>
          <w:sz w:val="24"/>
          <w:szCs w:val="24"/>
        </w:rPr>
        <w:fldChar w:fldCharType="end"/>
      </w:r>
      <w:r w:rsidRPr="004B0808">
        <w:rPr>
          <w:rFonts w:ascii="Times New Roman" w:hAnsi="Times New Roman"/>
          <w:sz w:val="24"/>
          <w:szCs w:val="24"/>
        </w:rPr>
        <w:t xml:space="preserve">: </w:t>
      </w:r>
      <w:r w:rsidR="00F05A20">
        <w:rPr>
          <w:rFonts w:ascii="Times New Roman" w:hAnsi="Times New Roman"/>
          <w:sz w:val="24"/>
          <w:szCs w:val="24"/>
        </w:rPr>
        <w:t>Per</w:t>
      </w:r>
      <w:r w:rsidR="0088160D">
        <w:rPr>
          <w:rFonts w:ascii="Times New Roman" w:hAnsi="Times New Roman"/>
          <w:sz w:val="24"/>
          <w:szCs w:val="24"/>
        </w:rPr>
        <w:t>c</w:t>
      </w:r>
      <w:r w:rsidR="00F05A20">
        <w:rPr>
          <w:rFonts w:ascii="Times New Roman" w:hAnsi="Times New Roman"/>
          <w:sz w:val="24"/>
          <w:szCs w:val="24"/>
        </w:rPr>
        <w:t>eption de l’e</w:t>
      </w:r>
      <w:r w:rsidR="00F05A20" w:rsidRPr="00F05A20">
        <w:rPr>
          <w:rFonts w:ascii="Times New Roman" w:hAnsi="Times New Roman"/>
          <w:sz w:val="24"/>
          <w:szCs w:val="24"/>
        </w:rPr>
        <w:t>fficacité</w:t>
      </w:r>
      <w:r w:rsidRPr="004B0808">
        <w:rPr>
          <w:rFonts w:ascii="Times New Roman" w:hAnsi="Times New Roman"/>
          <w:sz w:val="24"/>
          <w:szCs w:val="24"/>
        </w:rPr>
        <w:t xml:space="preserve"> dans la mise en œuvre des objectifs nationaux</w:t>
      </w:r>
      <w:bookmarkEnd w:id="28"/>
    </w:p>
    <w:p w14:paraId="645E8DD2" w14:textId="197407FA" w:rsidR="003A74BD" w:rsidRDefault="009E1E35" w:rsidP="00E056B1">
      <w:p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b/>
          <w:iCs/>
          <w:sz w:val="24"/>
          <w:szCs w:val="24"/>
          <w:u w:val="single"/>
        </w:rPr>
        <w:t>En terme de</w:t>
      </w:r>
      <w:r w:rsidR="00EC17E3">
        <w:rPr>
          <w:rFonts w:ascii="Times New Roman" w:hAnsi="Times New Roman" w:cs="Times New Roman"/>
          <w:b/>
          <w:iCs/>
          <w:sz w:val="24"/>
          <w:szCs w:val="24"/>
          <w:u w:val="single"/>
        </w:rPr>
        <w:t xml:space="preserve"> </w:t>
      </w:r>
      <w:r w:rsidRPr="00E056B1">
        <w:rPr>
          <w:rFonts w:ascii="Times New Roman" w:hAnsi="Times New Roman" w:cs="Times New Roman"/>
          <w:b/>
          <w:iCs/>
          <w:sz w:val="24"/>
          <w:szCs w:val="24"/>
          <w:u w:val="single"/>
        </w:rPr>
        <w:t xml:space="preserve">mesures </w:t>
      </w:r>
      <w:r w:rsidR="0077616C" w:rsidRPr="00E056B1">
        <w:rPr>
          <w:rFonts w:ascii="Times New Roman" w:hAnsi="Times New Roman" w:cs="Times New Roman"/>
          <w:b/>
          <w:iCs/>
          <w:sz w:val="24"/>
          <w:szCs w:val="24"/>
          <w:u w:val="single"/>
        </w:rPr>
        <w:t>politique</w:t>
      </w:r>
      <w:r w:rsidRPr="00E056B1">
        <w:rPr>
          <w:rFonts w:ascii="Times New Roman" w:hAnsi="Times New Roman" w:cs="Times New Roman"/>
          <w:b/>
          <w:iCs/>
          <w:sz w:val="24"/>
          <w:szCs w:val="24"/>
          <w:u w:val="single"/>
        </w:rPr>
        <w:t>s</w:t>
      </w:r>
      <w:r w:rsidR="0077616C" w:rsidRPr="00E056B1">
        <w:rPr>
          <w:rFonts w:ascii="Times New Roman" w:hAnsi="Times New Roman" w:cs="Times New Roman"/>
          <w:iCs/>
          <w:sz w:val="24"/>
          <w:szCs w:val="24"/>
        </w:rPr>
        <w:t xml:space="preserve">, les parties prenantes </w:t>
      </w:r>
      <w:r w:rsidR="00AB1122" w:rsidRPr="00E056B1">
        <w:rPr>
          <w:rFonts w:ascii="Times New Roman" w:hAnsi="Times New Roman" w:cs="Times New Roman"/>
          <w:iCs/>
          <w:sz w:val="24"/>
          <w:szCs w:val="24"/>
        </w:rPr>
        <w:t>(</w:t>
      </w:r>
      <w:r w:rsidR="00D67970" w:rsidRPr="00E056B1">
        <w:rPr>
          <w:rFonts w:ascii="Times New Roman" w:hAnsi="Times New Roman" w:cs="Times New Roman"/>
          <w:iCs/>
          <w:sz w:val="24"/>
          <w:szCs w:val="24"/>
        </w:rPr>
        <w:t>33 %</w:t>
      </w:r>
      <w:r w:rsidR="00AB1122" w:rsidRPr="00E056B1">
        <w:rPr>
          <w:rFonts w:ascii="Times New Roman" w:hAnsi="Times New Roman" w:cs="Times New Roman"/>
          <w:iCs/>
          <w:sz w:val="24"/>
          <w:szCs w:val="24"/>
        </w:rPr>
        <w:t xml:space="preserve">) </w:t>
      </w:r>
      <w:r w:rsidR="0077616C" w:rsidRPr="00E056B1">
        <w:rPr>
          <w:rFonts w:ascii="Times New Roman" w:hAnsi="Times New Roman" w:cs="Times New Roman"/>
          <w:iCs/>
          <w:sz w:val="24"/>
          <w:szCs w:val="24"/>
        </w:rPr>
        <w:t xml:space="preserve">estiment que </w:t>
      </w:r>
      <w:r w:rsidR="00AB1122" w:rsidRPr="00E056B1">
        <w:rPr>
          <w:rFonts w:ascii="Times New Roman" w:hAnsi="Times New Roman" w:cs="Times New Roman"/>
          <w:iCs/>
          <w:sz w:val="24"/>
          <w:szCs w:val="24"/>
        </w:rPr>
        <w:t>les mesures prises sont efficace</w:t>
      </w:r>
      <w:r w:rsidR="0088160D">
        <w:rPr>
          <w:rFonts w:ascii="Times New Roman" w:hAnsi="Times New Roman" w:cs="Times New Roman"/>
          <w:iCs/>
          <w:sz w:val="24"/>
          <w:szCs w:val="24"/>
        </w:rPr>
        <w:t>s</w:t>
      </w:r>
      <w:r w:rsidR="00AB1122" w:rsidRPr="00E056B1">
        <w:rPr>
          <w:rFonts w:ascii="Times New Roman" w:hAnsi="Times New Roman" w:cs="Times New Roman"/>
          <w:iCs/>
          <w:sz w:val="24"/>
          <w:szCs w:val="24"/>
        </w:rPr>
        <w:t xml:space="preserve"> parce que </w:t>
      </w:r>
      <w:r w:rsidR="00976B9C" w:rsidRPr="00E056B1">
        <w:rPr>
          <w:rFonts w:ascii="Times New Roman" w:eastAsia="Calibri" w:hAnsi="Times New Roman" w:cs="Times New Roman"/>
          <w:sz w:val="24"/>
          <w:szCs w:val="24"/>
        </w:rPr>
        <w:t>l</w:t>
      </w:r>
      <w:r w:rsidR="00710B95" w:rsidRPr="00E056B1">
        <w:rPr>
          <w:rFonts w:ascii="Times New Roman" w:eastAsia="Calibri" w:hAnsi="Times New Roman" w:cs="Times New Roman"/>
          <w:sz w:val="24"/>
          <w:szCs w:val="24"/>
        </w:rPr>
        <w:t xml:space="preserve">a politique nationale prend largement </w:t>
      </w:r>
      <w:r w:rsidR="00976B9C" w:rsidRPr="00E056B1">
        <w:rPr>
          <w:rFonts w:ascii="Times New Roman" w:eastAsia="Calibri" w:hAnsi="Times New Roman" w:cs="Times New Roman"/>
          <w:sz w:val="24"/>
          <w:szCs w:val="24"/>
        </w:rPr>
        <w:t xml:space="preserve">en compte </w:t>
      </w:r>
      <w:r w:rsidR="00A775C2" w:rsidRPr="00E056B1">
        <w:rPr>
          <w:rFonts w:ascii="Times New Roman" w:eastAsia="Calibri" w:hAnsi="Times New Roman" w:cs="Times New Roman"/>
          <w:sz w:val="24"/>
          <w:szCs w:val="24"/>
        </w:rPr>
        <w:t>l’e</w:t>
      </w:r>
      <w:r w:rsidR="00710B95" w:rsidRPr="00E056B1">
        <w:rPr>
          <w:rFonts w:ascii="Times New Roman" w:eastAsia="Calibri" w:hAnsi="Times New Roman" w:cs="Times New Roman"/>
          <w:sz w:val="24"/>
          <w:szCs w:val="24"/>
        </w:rPr>
        <w:t xml:space="preserve">nvironnement </w:t>
      </w:r>
      <w:r w:rsidR="00976B9C" w:rsidRPr="00E056B1">
        <w:rPr>
          <w:rFonts w:ascii="Times New Roman" w:eastAsia="Calibri" w:hAnsi="Times New Roman" w:cs="Times New Roman"/>
          <w:sz w:val="24"/>
          <w:szCs w:val="24"/>
        </w:rPr>
        <w:t>de façon globale et la biodi</w:t>
      </w:r>
      <w:r w:rsidR="00A775C2" w:rsidRPr="00E056B1">
        <w:rPr>
          <w:rFonts w:ascii="Times New Roman" w:eastAsia="Calibri" w:hAnsi="Times New Roman" w:cs="Times New Roman"/>
          <w:sz w:val="24"/>
          <w:szCs w:val="24"/>
        </w:rPr>
        <w:t>v</w:t>
      </w:r>
      <w:r w:rsidR="00976B9C" w:rsidRPr="00E056B1">
        <w:rPr>
          <w:rFonts w:ascii="Times New Roman" w:eastAsia="Calibri" w:hAnsi="Times New Roman" w:cs="Times New Roman"/>
          <w:sz w:val="24"/>
          <w:szCs w:val="24"/>
        </w:rPr>
        <w:t xml:space="preserve">ersité en particulier dans les politiques </w:t>
      </w:r>
      <w:r w:rsidR="00976B9C" w:rsidRPr="00E056B1">
        <w:rPr>
          <w:rFonts w:ascii="Times New Roman" w:hAnsi="Times New Roman" w:cs="Times New Roman"/>
          <w:sz w:val="24"/>
          <w:szCs w:val="24"/>
        </w:rPr>
        <w:t>macroéconomiques</w:t>
      </w:r>
      <w:r w:rsidR="0088160D">
        <w:rPr>
          <w:rFonts w:ascii="Times New Roman" w:hAnsi="Times New Roman" w:cs="Times New Roman"/>
          <w:sz w:val="24"/>
          <w:szCs w:val="24"/>
        </w:rPr>
        <w:t xml:space="preserve"> </w:t>
      </w:r>
      <w:r w:rsidR="00710B95" w:rsidRPr="00E056B1">
        <w:rPr>
          <w:rFonts w:ascii="Times New Roman" w:eastAsia="Calibri" w:hAnsi="Times New Roman" w:cs="Times New Roman"/>
          <w:sz w:val="24"/>
          <w:szCs w:val="24"/>
        </w:rPr>
        <w:t>(DSRP, DSRP-C, SCAPE, PND)</w:t>
      </w:r>
      <w:r w:rsidR="002D49A0" w:rsidRPr="00E056B1">
        <w:rPr>
          <w:rFonts w:ascii="Times New Roman" w:eastAsia="Calibri" w:hAnsi="Times New Roman" w:cs="Times New Roman"/>
          <w:sz w:val="24"/>
          <w:szCs w:val="24"/>
        </w:rPr>
        <w:t xml:space="preserve"> (Figure 5)</w:t>
      </w:r>
      <w:r w:rsidR="00976B9C" w:rsidRPr="00E056B1">
        <w:rPr>
          <w:rFonts w:ascii="Times New Roman" w:eastAsia="Calibri" w:hAnsi="Times New Roman" w:cs="Times New Roman"/>
          <w:sz w:val="24"/>
          <w:szCs w:val="24"/>
        </w:rPr>
        <w:t xml:space="preserve">. Les politiques sectorielles </w:t>
      </w:r>
      <w:r w:rsidR="00976B9C" w:rsidRPr="00E056B1">
        <w:rPr>
          <w:rFonts w:ascii="Times New Roman" w:hAnsi="Times New Roman" w:cs="Times New Roman"/>
          <w:iCs/>
          <w:sz w:val="24"/>
          <w:szCs w:val="24"/>
        </w:rPr>
        <w:t xml:space="preserve">concourent aussi à la sauvegarde </w:t>
      </w:r>
      <w:r w:rsidR="00101C47" w:rsidRPr="00E056B1">
        <w:rPr>
          <w:rFonts w:ascii="Times New Roman" w:eastAsia="Calibri" w:hAnsi="Times New Roman" w:cs="Times New Roman"/>
          <w:sz w:val="24"/>
          <w:szCs w:val="24"/>
        </w:rPr>
        <w:t>de la biodiversité</w:t>
      </w:r>
      <w:r w:rsidR="00101C47" w:rsidRPr="00E056B1">
        <w:rPr>
          <w:rFonts w:ascii="Times New Roman" w:hAnsi="Times New Roman" w:cs="Times New Roman"/>
          <w:sz w:val="24"/>
          <w:szCs w:val="24"/>
        </w:rPr>
        <w:t xml:space="preserve">. La politique nationale forestière s’est fixée l’objectif de </w:t>
      </w:r>
      <w:r w:rsidR="00101C47" w:rsidRPr="00E056B1">
        <w:rPr>
          <w:rFonts w:ascii="Times New Roman" w:eastAsia="Calibri" w:hAnsi="Times New Roman" w:cs="Times New Roman"/>
          <w:sz w:val="24"/>
          <w:szCs w:val="24"/>
        </w:rPr>
        <w:t xml:space="preserve">porter le taux de couverture forestière à 30 % à l’horizon 2050, permettant de sauvegarder le potentiel forestier existant, stimuler son extension et susciter le développement du secteur forestier national. </w:t>
      </w:r>
      <w:r w:rsidR="00AB1122" w:rsidRPr="00E056B1">
        <w:rPr>
          <w:rFonts w:ascii="Times New Roman" w:eastAsia="Calibri" w:hAnsi="Times New Roman" w:cs="Times New Roman"/>
          <w:sz w:val="24"/>
          <w:szCs w:val="24"/>
        </w:rPr>
        <w:t xml:space="preserve">Une politique national de reboisement a été adopté à cet effet. </w:t>
      </w:r>
      <w:r w:rsidR="00101C47" w:rsidRPr="00E056B1">
        <w:rPr>
          <w:rFonts w:ascii="Times New Roman" w:eastAsia="Calibri" w:hAnsi="Times New Roman" w:cs="Times New Roman"/>
          <w:sz w:val="24"/>
          <w:szCs w:val="24"/>
        </w:rPr>
        <w:t>Pour</w:t>
      </w:r>
      <w:r w:rsidR="00EC17E3">
        <w:rPr>
          <w:rFonts w:ascii="Times New Roman" w:eastAsia="Calibri" w:hAnsi="Times New Roman" w:cs="Times New Roman"/>
          <w:sz w:val="24"/>
          <w:szCs w:val="24"/>
        </w:rPr>
        <w:t xml:space="preserve"> </w:t>
      </w:r>
      <w:r w:rsidR="00101C47" w:rsidRPr="00E056B1">
        <w:rPr>
          <w:rFonts w:ascii="Times New Roman" w:eastAsia="Calibri" w:hAnsi="Times New Roman" w:cs="Times New Roman"/>
          <w:sz w:val="24"/>
          <w:szCs w:val="24"/>
        </w:rPr>
        <w:t xml:space="preserve">atteindre cet objectif, des mesures sont prises pour impliquer davantage les communautés </w:t>
      </w:r>
      <w:r w:rsidR="00AB1122" w:rsidRPr="00E056B1">
        <w:rPr>
          <w:rFonts w:ascii="Times New Roman" w:eastAsia="Calibri" w:hAnsi="Times New Roman" w:cs="Times New Roman"/>
          <w:sz w:val="24"/>
          <w:szCs w:val="24"/>
        </w:rPr>
        <w:t>locales</w:t>
      </w:r>
      <w:r w:rsidR="00EC17E3">
        <w:rPr>
          <w:rFonts w:ascii="Times New Roman" w:eastAsia="Calibri" w:hAnsi="Times New Roman" w:cs="Times New Roman"/>
          <w:sz w:val="24"/>
          <w:szCs w:val="24"/>
        </w:rPr>
        <w:t xml:space="preserve"> </w:t>
      </w:r>
      <w:r w:rsidR="00B31930" w:rsidRPr="00E056B1">
        <w:rPr>
          <w:rFonts w:ascii="Times New Roman" w:eastAsia="Calibri" w:hAnsi="Times New Roman" w:cs="Times New Roman"/>
          <w:sz w:val="24"/>
          <w:szCs w:val="24"/>
        </w:rPr>
        <w:t>qui détiennent</w:t>
      </w:r>
      <w:r w:rsidR="00101C47" w:rsidRPr="00E056B1">
        <w:rPr>
          <w:rFonts w:ascii="Times New Roman" w:eastAsia="Calibri" w:hAnsi="Times New Roman" w:cs="Times New Roman"/>
          <w:sz w:val="24"/>
          <w:szCs w:val="24"/>
        </w:rPr>
        <w:t xml:space="preserve"> 80% des terres. C’est dans ce contexte que la représentation nationale de la FAO au Togo a doté le pays d’un manuel de création et de</w:t>
      </w:r>
      <w:r w:rsidR="00EC17E3">
        <w:rPr>
          <w:rFonts w:ascii="Times New Roman" w:eastAsia="Calibri" w:hAnsi="Times New Roman" w:cs="Times New Roman"/>
          <w:sz w:val="24"/>
          <w:szCs w:val="24"/>
        </w:rPr>
        <w:t xml:space="preserve"> </w:t>
      </w:r>
      <w:r w:rsidR="00101C47" w:rsidRPr="00E056B1">
        <w:rPr>
          <w:rFonts w:ascii="Times New Roman" w:eastAsia="Calibri" w:hAnsi="Times New Roman" w:cs="Times New Roman"/>
          <w:sz w:val="24"/>
          <w:szCs w:val="24"/>
        </w:rPr>
        <w:t>ge</w:t>
      </w:r>
      <w:r w:rsidR="00AB1122" w:rsidRPr="00E056B1">
        <w:rPr>
          <w:rFonts w:ascii="Times New Roman" w:eastAsia="Calibri" w:hAnsi="Times New Roman" w:cs="Times New Roman"/>
          <w:sz w:val="24"/>
          <w:szCs w:val="24"/>
        </w:rPr>
        <w:t>stion des forêts communautaires</w:t>
      </w:r>
      <w:r w:rsidR="00101C47" w:rsidRPr="00E056B1">
        <w:rPr>
          <w:rFonts w:ascii="Times New Roman" w:eastAsia="Calibri" w:hAnsi="Times New Roman" w:cs="Times New Roman"/>
          <w:sz w:val="24"/>
          <w:szCs w:val="24"/>
        </w:rPr>
        <w:t xml:space="preserve"> (</w:t>
      </w:r>
      <w:r w:rsidR="00527978">
        <w:rPr>
          <w:rFonts w:ascii="Times New Roman" w:eastAsia="Calibri" w:hAnsi="Times New Roman" w:cs="Times New Roman"/>
          <w:sz w:val="24"/>
          <w:szCs w:val="24"/>
        </w:rPr>
        <w:t>MAEP</w:t>
      </w:r>
      <w:r w:rsidR="00AB1122" w:rsidRPr="00E056B1">
        <w:rPr>
          <w:rFonts w:ascii="Times New Roman" w:eastAsia="Calibri" w:hAnsi="Times New Roman" w:cs="Times New Roman"/>
          <w:sz w:val="24"/>
          <w:szCs w:val="24"/>
        </w:rPr>
        <w:t>/FAO</w:t>
      </w:r>
      <w:r w:rsidR="00527978">
        <w:rPr>
          <w:rFonts w:ascii="Times New Roman" w:eastAsia="Calibri" w:hAnsi="Times New Roman" w:cs="Times New Roman"/>
          <w:sz w:val="24"/>
          <w:szCs w:val="24"/>
        </w:rPr>
        <w:t>/BAA</w:t>
      </w:r>
      <w:r w:rsidR="00101C47" w:rsidRPr="00E056B1">
        <w:rPr>
          <w:rFonts w:ascii="Times New Roman" w:eastAsia="Calibri" w:hAnsi="Times New Roman" w:cs="Times New Roman"/>
          <w:sz w:val="24"/>
          <w:szCs w:val="24"/>
        </w:rPr>
        <w:t>, 2017)</w:t>
      </w:r>
      <w:r w:rsidR="003A74BD">
        <w:rPr>
          <w:rFonts w:ascii="Times New Roman" w:eastAsia="Calibri" w:hAnsi="Times New Roman" w:cs="Times New Roman"/>
          <w:sz w:val="24"/>
          <w:szCs w:val="24"/>
        </w:rPr>
        <w:t>.</w:t>
      </w:r>
    </w:p>
    <w:p w14:paraId="1A738F7A" w14:textId="77777777" w:rsidR="003A74BD" w:rsidRDefault="003A74BD" w:rsidP="00E056B1">
      <w:pPr>
        <w:spacing w:after="0" w:line="240" w:lineRule="auto"/>
        <w:jc w:val="both"/>
        <w:rPr>
          <w:rFonts w:ascii="Times New Roman" w:eastAsia="Calibri" w:hAnsi="Times New Roman" w:cs="Times New Roman"/>
          <w:sz w:val="24"/>
          <w:szCs w:val="24"/>
        </w:rPr>
      </w:pPr>
    </w:p>
    <w:p w14:paraId="5E53FB28" w14:textId="77777777" w:rsidR="0002035D" w:rsidRPr="00E056B1" w:rsidRDefault="00AB1122" w:rsidP="00E056B1">
      <w:pPr>
        <w:spacing w:after="0" w:line="240" w:lineRule="auto"/>
        <w:jc w:val="both"/>
        <w:rPr>
          <w:rFonts w:ascii="Times New Roman" w:hAnsi="Times New Roman" w:cs="Times New Roman"/>
          <w:sz w:val="24"/>
          <w:szCs w:val="24"/>
        </w:rPr>
      </w:pPr>
      <w:r w:rsidRPr="00E056B1">
        <w:rPr>
          <w:rFonts w:ascii="Times New Roman" w:eastAsia="Calibri" w:hAnsi="Times New Roman" w:cs="Times New Roman"/>
          <w:sz w:val="24"/>
          <w:szCs w:val="24"/>
        </w:rPr>
        <w:t xml:space="preserve">Le </w:t>
      </w:r>
      <w:r w:rsidRPr="00E056B1">
        <w:rPr>
          <w:rStyle w:val="st"/>
          <w:rFonts w:ascii="Times New Roman" w:hAnsi="Times New Roman" w:cs="Times New Roman"/>
          <w:sz w:val="24"/>
          <w:szCs w:val="24"/>
        </w:rPr>
        <w:t>M</w:t>
      </w:r>
      <w:r w:rsidRPr="00E056B1">
        <w:rPr>
          <w:rStyle w:val="Accentuation"/>
          <w:rFonts w:ascii="Times New Roman" w:hAnsi="Times New Roman" w:cs="Times New Roman"/>
          <w:i w:val="0"/>
          <w:sz w:val="24"/>
          <w:szCs w:val="24"/>
        </w:rPr>
        <w:t>inistère de l</w:t>
      </w:r>
      <w:r w:rsidR="00D67970" w:rsidRPr="00E056B1">
        <w:rPr>
          <w:rStyle w:val="Accentuation"/>
          <w:rFonts w:ascii="Times New Roman" w:hAnsi="Times New Roman" w:cs="Times New Roman"/>
          <w:i w:val="0"/>
          <w:sz w:val="24"/>
          <w:szCs w:val="24"/>
        </w:rPr>
        <w:t>’</w:t>
      </w:r>
      <w:r w:rsidRPr="00E056B1">
        <w:rPr>
          <w:rStyle w:val="Accentuation"/>
          <w:rFonts w:ascii="Times New Roman" w:hAnsi="Times New Roman" w:cs="Times New Roman"/>
          <w:i w:val="0"/>
          <w:sz w:val="24"/>
          <w:szCs w:val="24"/>
        </w:rPr>
        <w:t>Agriculture</w:t>
      </w:r>
      <w:r w:rsidRPr="00E056B1">
        <w:rPr>
          <w:rStyle w:val="st"/>
          <w:rFonts w:ascii="Times New Roman" w:hAnsi="Times New Roman" w:cs="Times New Roman"/>
          <w:sz w:val="24"/>
          <w:szCs w:val="24"/>
        </w:rPr>
        <w:t>, de l</w:t>
      </w:r>
      <w:r w:rsidR="00D67970" w:rsidRPr="00E056B1">
        <w:rPr>
          <w:rStyle w:val="st"/>
          <w:rFonts w:ascii="Times New Roman" w:hAnsi="Times New Roman" w:cs="Times New Roman"/>
          <w:sz w:val="24"/>
          <w:szCs w:val="24"/>
        </w:rPr>
        <w:t>’</w:t>
      </w:r>
      <w:r w:rsidRPr="00E056B1">
        <w:rPr>
          <w:rStyle w:val="st"/>
          <w:rFonts w:ascii="Times New Roman" w:hAnsi="Times New Roman" w:cs="Times New Roman"/>
          <w:sz w:val="24"/>
          <w:szCs w:val="24"/>
        </w:rPr>
        <w:t>Elevage et de la Pêche</w:t>
      </w:r>
      <w:r w:rsidRPr="00E056B1">
        <w:rPr>
          <w:rFonts w:ascii="Times New Roman" w:eastAsia="Calibri" w:hAnsi="Times New Roman" w:cs="Times New Roman"/>
          <w:sz w:val="24"/>
          <w:szCs w:val="24"/>
        </w:rPr>
        <w:t xml:space="preserve"> a aussi adopté plusieurs programmes qui prennent en compte la sauvegarde de la diversité biologique (Programme de Développement Rural y compris Agriculture (ProDRA)</w:t>
      </w:r>
      <w:r w:rsidR="00D67970" w:rsidRPr="00E056B1">
        <w:rPr>
          <w:rFonts w:ascii="Times New Roman" w:eastAsia="Calibri" w:hAnsi="Times New Roman" w:cs="Times New Roman"/>
          <w:sz w:val="24"/>
          <w:szCs w:val="24"/>
        </w:rPr>
        <w:t> </w:t>
      </w:r>
      <w:r w:rsidRPr="00E056B1">
        <w:rPr>
          <w:rFonts w:ascii="Times New Roman" w:eastAsia="Calibri" w:hAnsi="Times New Roman" w:cs="Times New Roman"/>
          <w:sz w:val="24"/>
          <w:szCs w:val="24"/>
        </w:rPr>
        <w:t>: Volet III</w:t>
      </w:r>
      <w:r w:rsidR="00D67970" w:rsidRPr="00E056B1">
        <w:rPr>
          <w:rFonts w:ascii="Times New Roman" w:eastAsia="Calibri" w:hAnsi="Times New Roman" w:cs="Times New Roman"/>
          <w:sz w:val="24"/>
          <w:szCs w:val="24"/>
        </w:rPr>
        <w:t> </w:t>
      </w:r>
      <w:r w:rsidRPr="00E056B1">
        <w:rPr>
          <w:rFonts w:ascii="Times New Roman" w:eastAsia="Calibri" w:hAnsi="Times New Roman" w:cs="Times New Roman"/>
          <w:sz w:val="24"/>
          <w:szCs w:val="24"/>
        </w:rPr>
        <w:t>: Promotion de l’agroforesterie et de l’énergie rurale</w:t>
      </w:r>
      <w:r w:rsidR="00D67970" w:rsidRPr="00E056B1">
        <w:rPr>
          <w:rFonts w:ascii="Times New Roman" w:eastAsia="Calibri" w:hAnsi="Times New Roman" w:cs="Times New Roman"/>
          <w:sz w:val="24"/>
          <w:szCs w:val="24"/>
        </w:rPr>
        <w:t> </w:t>
      </w:r>
      <w:r w:rsidRPr="00E056B1">
        <w:rPr>
          <w:rFonts w:ascii="Times New Roman" w:eastAsia="Calibri" w:hAnsi="Times New Roman" w:cs="Times New Roman"/>
          <w:sz w:val="24"/>
          <w:szCs w:val="24"/>
        </w:rPr>
        <w:t>; Programme National d’Investissement Agricole et de Sécurité Alimentaire (PNIASA)</w:t>
      </w:r>
      <w:r w:rsidR="0000036B">
        <w:rPr>
          <w:rFonts w:ascii="Times New Roman" w:eastAsia="Calibri" w:hAnsi="Times New Roman" w:cs="Times New Roman"/>
          <w:sz w:val="24"/>
          <w:szCs w:val="24"/>
        </w:rPr>
        <w:t xml:space="preserve"> devenu aujourd’hui </w:t>
      </w:r>
      <w:r w:rsidR="0000036B" w:rsidRPr="0000036B">
        <w:rPr>
          <w:rFonts w:ascii="Times New Roman" w:eastAsia="Calibri" w:hAnsi="Times New Roman" w:cs="Times New Roman"/>
          <w:sz w:val="24"/>
          <w:szCs w:val="24"/>
        </w:rPr>
        <w:t>Programme National d’Investissement Agricole et de Sécurité Alimentaire</w:t>
      </w:r>
      <w:r w:rsidR="0000036B">
        <w:rPr>
          <w:rFonts w:ascii="Times New Roman" w:eastAsia="Calibri" w:hAnsi="Times New Roman" w:cs="Times New Roman"/>
          <w:sz w:val="24"/>
          <w:szCs w:val="24"/>
        </w:rPr>
        <w:t xml:space="preserve"> et nutritionnelle</w:t>
      </w:r>
      <w:r w:rsidR="0000036B" w:rsidRPr="0000036B">
        <w:rPr>
          <w:rFonts w:ascii="Times New Roman" w:eastAsia="Calibri" w:hAnsi="Times New Roman" w:cs="Times New Roman"/>
          <w:sz w:val="24"/>
          <w:szCs w:val="24"/>
        </w:rPr>
        <w:t xml:space="preserve"> (PNIASA</w:t>
      </w:r>
      <w:r w:rsidR="0000036B">
        <w:rPr>
          <w:rFonts w:ascii="Times New Roman" w:eastAsia="Calibri" w:hAnsi="Times New Roman" w:cs="Times New Roman"/>
          <w:sz w:val="24"/>
          <w:szCs w:val="24"/>
        </w:rPr>
        <w:t>N</w:t>
      </w:r>
      <w:r w:rsidR="0000036B" w:rsidRPr="0000036B">
        <w:rPr>
          <w:rFonts w:ascii="Times New Roman" w:eastAsia="Calibri" w:hAnsi="Times New Roman" w:cs="Times New Roman"/>
          <w:sz w:val="24"/>
          <w:szCs w:val="24"/>
        </w:rPr>
        <w:t>)</w:t>
      </w:r>
      <w:r w:rsidRPr="00E056B1">
        <w:rPr>
          <w:rFonts w:ascii="Times New Roman" w:eastAsia="Calibri" w:hAnsi="Times New Roman" w:cs="Times New Roman"/>
          <w:sz w:val="24"/>
          <w:szCs w:val="24"/>
        </w:rPr>
        <w:t xml:space="preserve">. Le ministère de l’industrie et du tourisme a </w:t>
      </w:r>
      <w:r w:rsidR="0077616C" w:rsidRPr="00E056B1">
        <w:rPr>
          <w:rFonts w:ascii="Times New Roman" w:eastAsia="Calibri" w:hAnsi="Times New Roman" w:cs="Times New Roman"/>
          <w:sz w:val="24"/>
          <w:szCs w:val="24"/>
        </w:rPr>
        <w:t>adopt</w:t>
      </w:r>
      <w:r w:rsidRPr="00E056B1">
        <w:rPr>
          <w:rFonts w:ascii="Times New Roman" w:eastAsia="Calibri" w:hAnsi="Times New Roman" w:cs="Times New Roman"/>
          <w:sz w:val="24"/>
          <w:szCs w:val="24"/>
        </w:rPr>
        <w:t>é</w:t>
      </w:r>
      <w:r w:rsidR="0077616C" w:rsidRPr="00E056B1">
        <w:rPr>
          <w:rFonts w:ascii="Times New Roman" w:eastAsia="Calibri" w:hAnsi="Times New Roman" w:cs="Times New Roman"/>
          <w:sz w:val="24"/>
          <w:szCs w:val="24"/>
        </w:rPr>
        <w:t xml:space="preserve"> et </w:t>
      </w:r>
      <w:r w:rsidRPr="00E056B1">
        <w:rPr>
          <w:rFonts w:ascii="Times New Roman" w:eastAsia="Calibri" w:hAnsi="Times New Roman" w:cs="Times New Roman"/>
          <w:sz w:val="24"/>
          <w:szCs w:val="24"/>
        </w:rPr>
        <w:t xml:space="preserve">a </w:t>
      </w:r>
      <w:r w:rsidR="0077616C" w:rsidRPr="00E056B1">
        <w:rPr>
          <w:rFonts w:ascii="Times New Roman" w:eastAsia="Calibri" w:hAnsi="Times New Roman" w:cs="Times New Roman"/>
          <w:sz w:val="24"/>
          <w:szCs w:val="24"/>
        </w:rPr>
        <w:t>mis en œuvre la politique nationale du tourisme qui donne une place de choix à l’écotourisme</w:t>
      </w:r>
      <w:r w:rsidRPr="00E056B1">
        <w:rPr>
          <w:rFonts w:ascii="Times New Roman" w:eastAsia="Calibri" w:hAnsi="Times New Roman" w:cs="Times New Roman"/>
          <w:sz w:val="24"/>
          <w:szCs w:val="24"/>
        </w:rPr>
        <w:t>.</w:t>
      </w:r>
      <w:r w:rsidR="0002035D" w:rsidRPr="00E056B1">
        <w:rPr>
          <w:rFonts w:ascii="Times New Roman" w:hAnsi="Times New Roman" w:cs="Times New Roman"/>
          <w:sz w:val="24"/>
          <w:szCs w:val="24"/>
        </w:rPr>
        <w:t xml:space="preserve"> Le ministère des infrastructures et des transports a créé en son sein une direction de la planification des études et du suivi-évaluation et une division en charge des études économique, environnementale et sociale. Il s’agit pour l</w:t>
      </w:r>
      <w:r w:rsidR="0000036B">
        <w:rPr>
          <w:rFonts w:ascii="Times New Roman" w:hAnsi="Times New Roman" w:cs="Times New Roman"/>
          <w:sz w:val="24"/>
          <w:szCs w:val="24"/>
        </w:rPr>
        <w:t>a</w:t>
      </w:r>
      <w:r w:rsidR="0002035D" w:rsidRPr="00E056B1">
        <w:rPr>
          <w:rFonts w:ascii="Times New Roman" w:hAnsi="Times New Roman" w:cs="Times New Roman"/>
          <w:sz w:val="24"/>
          <w:szCs w:val="24"/>
        </w:rPr>
        <w:t xml:space="preserve"> plupart du temps des sous composantes « plantation d’alignement » le long des routes en construction, de reboisements compensatoires des sites d’emprunts exploités dans le cadre de travaux d’infrastructures, ou des déviations ouvertes dans le cadre des travaux. A cela s’ajoute les prestations de sensibilisation</w:t>
      </w:r>
      <w:r w:rsidR="002C0119">
        <w:rPr>
          <w:rFonts w:ascii="Times New Roman" w:hAnsi="Times New Roman" w:cs="Times New Roman"/>
          <w:sz w:val="24"/>
          <w:szCs w:val="24"/>
        </w:rPr>
        <w:t>s</w:t>
      </w:r>
      <w:r w:rsidR="0002035D" w:rsidRPr="00E056B1">
        <w:rPr>
          <w:rFonts w:ascii="Times New Roman" w:hAnsi="Times New Roman" w:cs="Times New Roman"/>
          <w:sz w:val="24"/>
          <w:szCs w:val="24"/>
        </w:rPr>
        <w:t xml:space="preserve"> systématiques à tout projet d’infrastructures sur divers</w:t>
      </w:r>
      <w:r w:rsidR="002B208E">
        <w:rPr>
          <w:rFonts w:ascii="Times New Roman" w:hAnsi="Times New Roman" w:cs="Times New Roman"/>
          <w:sz w:val="24"/>
          <w:szCs w:val="24"/>
        </w:rPr>
        <w:t>es</w:t>
      </w:r>
      <w:r w:rsidR="0002035D" w:rsidRPr="00E056B1">
        <w:rPr>
          <w:rFonts w:ascii="Times New Roman" w:hAnsi="Times New Roman" w:cs="Times New Roman"/>
          <w:sz w:val="24"/>
          <w:szCs w:val="24"/>
        </w:rPr>
        <w:t xml:space="preserve"> thématiques notamment sur la protection de l’environnement et de la biodiversité. Ces prestations sont faites souvent dans le cadre du projet par les entreprises exécutantes.</w:t>
      </w:r>
    </w:p>
    <w:p w14:paraId="56D72471" w14:textId="77777777" w:rsidR="0002035D" w:rsidRPr="00E056B1" w:rsidRDefault="0002035D" w:rsidP="00E056B1">
      <w:pPr>
        <w:spacing w:after="0" w:line="240" w:lineRule="auto"/>
        <w:jc w:val="both"/>
        <w:rPr>
          <w:rFonts w:ascii="Times New Roman" w:eastAsia="Calibri" w:hAnsi="Times New Roman" w:cs="Times New Roman"/>
          <w:sz w:val="24"/>
          <w:szCs w:val="24"/>
        </w:rPr>
      </w:pPr>
    </w:p>
    <w:p w14:paraId="169DE702" w14:textId="77777777" w:rsidR="00710B95" w:rsidRPr="00E056B1" w:rsidRDefault="00D67970" w:rsidP="00F60F3D">
      <w:pPr>
        <w:spacing w:after="0" w:line="240" w:lineRule="auto"/>
        <w:jc w:val="center"/>
        <w:rPr>
          <w:rFonts w:ascii="Times New Roman" w:hAnsi="Times New Roman" w:cs="Times New Roman"/>
          <w:iCs/>
          <w:sz w:val="24"/>
          <w:szCs w:val="24"/>
        </w:rPr>
      </w:pPr>
      <w:r w:rsidRPr="00E056B1">
        <w:rPr>
          <w:rFonts w:ascii="Times New Roman" w:hAnsi="Times New Roman" w:cs="Times New Roman"/>
          <w:iCs/>
          <w:noProof/>
          <w:sz w:val="24"/>
          <w:szCs w:val="24"/>
          <w:lang w:eastAsia="fr-FR"/>
        </w:rPr>
        <w:drawing>
          <wp:inline distT="0" distB="0" distL="0" distR="0" wp14:anchorId="500C493B" wp14:editId="02623E85">
            <wp:extent cx="4572000" cy="2743200"/>
            <wp:effectExtent l="19050" t="0" r="19050" b="0"/>
            <wp:docPr id="20"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2B3F70B" w14:textId="77777777" w:rsidR="00D67970" w:rsidRPr="00E056B1" w:rsidRDefault="00D67970" w:rsidP="00F60F3D">
      <w:pPr>
        <w:spacing w:after="0" w:line="240" w:lineRule="auto"/>
        <w:jc w:val="center"/>
        <w:rPr>
          <w:rFonts w:ascii="Times New Roman" w:hAnsi="Times New Roman" w:cs="Times New Roman"/>
          <w:iCs/>
          <w:sz w:val="24"/>
          <w:szCs w:val="24"/>
        </w:rPr>
      </w:pPr>
    </w:p>
    <w:p w14:paraId="0D192722" w14:textId="1FE8E05A" w:rsidR="004B0808" w:rsidRPr="004B0808" w:rsidRDefault="004B0808" w:rsidP="00F60F3D">
      <w:pPr>
        <w:pStyle w:val="Lgende"/>
        <w:spacing w:after="0"/>
        <w:jc w:val="center"/>
        <w:rPr>
          <w:rFonts w:ascii="Times New Roman" w:hAnsi="Times New Roman"/>
          <w:sz w:val="24"/>
          <w:szCs w:val="24"/>
        </w:rPr>
      </w:pPr>
      <w:bookmarkStart w:id="29" w:name="_Toc533413493"/>
      <w:r w:rsidRPr="004B0808">
        <w:rPr>
          <w:rFonts w:ascii="Times New Roman" w:hAnsi="Times New Roman"/>
          <w:sz w:val="24"/>
          <w:szCs w:val="24"/>
        </w:rPr>
        <w:t xml:space="preserve">Figure </w:t>
      </w:r>
      <w:r w:rsidR="00620BEA" w:rsidRPr="004B0808">
        <w:rPr>
          <w:rFonts w:ascii="Times New Roman" w:hAnsi="Times New Roman"/>
          <w:sz w:val="24"/>
          <w:szCs w:val="24"/>
        </w:rPr>
        <w:fldChar w:fldCharType="begin"/>
      </w:r>
      <w:r w:rsidRPr="004B0808">
        <w:rPr>
          <w:rFonts w:ascii="Times New Roman" w:hAnsi="Times New Roman"/>
          <w:sz w:val="24"/>
          <w:szCs w:val="24"/>
        </w:rPr>
        <w:instrText xml:space="preserve"> SEQ Figure \* ARABIC </w:instrText>
      </w:r>
      <w:r w:rsidR="00620BEA" w:rsidRPr="004B0808">
        <w:rPr>
          <w:rFonts w:ascii="Times New Roman" w:hAnsi="Times New Roman"/>
          <w:sz w:val="24"/>
          <w:szCs w:val="24"/>
        </w:rPr>
        <w:fldChar w:fldCharType="separate"/>
      </w:r>
      <w:r w:rsidR="00C47BFF">
        <w:rPr>
          <w:rFonts w:ascii="Times New Roman" w:hAnsi="Times New Roman"/>
          <w:noProof/>
          <w:sz w:val="24"/>
          <w:szCs w:val="24"/>
        </w:rPr>
        <w:t>5</w:t>
      </w:r>
      <w:r w:rsidR="00620BEA" w:rsidRPr="004B0808">
        <w:rPr>
          <w:rFonts w:ascii="Times New Roman" w:hAnsi="Times New Roman"/>
          <w:sz w:val="24"/>
          <w:szCs w:val="24"/>
        </w:rPr>
        <w:fldChar w:fldCharType="end"/>
      </w:r>
      <w:r w:rsidRPr="004B0808">
        <w:rPr>
          <w:rFonts w:ascii="Times New Roman" w:hAnsi="Times New Roman"/>
          <w:sz w:val="24"/>
          <w:szCs w:val="24"/>
        </w:rPr>
        <w:t xml:space="preserve">: </w:t>
      </w:r>
      <w:r w:rsidR="009C7085">
        <w:rPr>
          <w:rFonts w:ascii="Times New Roman" w:hAnsi="Times New Roman"/>
          <w:sz w:val="24"/>
          <w:szCs w:val="24"/>
        </w:rPr>
        <w:t>Per</w:t>
      </w:r>
      <w:r w:rsidR="0088160D">
        <w:rPr>
          <w:rFonts w:ascii="Times New Roman" w:hAnsi="Times New Roman"/>
          <w:sz w:val="24"/>
          <w:szCs w:val="24"/>
        </w:rPr>
        <w:t>c</w:t>
      </w:r>
      <w:r w:rsidR="009C7085">
        <w:rPr>
          <w:rFonts w:ascii="Times New Roman" w:hAnsi="Times New Roman"/>
          <w:sz w:val="24"/>
          <w:szCs w:val="24"/>
        </w:rPr>
        <w:t>eption de l’e</w:t>
      </w:r>
      <w:r w:rsidR="009C7085" w:rsidRPr="00F05A20">
        <w:rPr>
          <w:rFonts w:ascii="Times New Roman" w:hAnsi="Times New Roman"/>
          <w:sz w:val="24"/>
          <w:szCs w:val="24"/>
        </w:rPr>
        <w:t>fficacité</w:t>
      </w:r>
      <w:r w:rsidR="009C7085">
        <w:rPr>
          <w:rFonts w:ascii="Times New Roman" w:hAnsi="Times New Roman"/>
          <w:sz w:val="24"/>
          <w:szCs w:val="24"/>
        </w:rPr>
        <w:t xml:space="preserve"> dans la mise en oeuvre</w:t>
      </w:r>
      <w:r w:rsidRPr="004B0808">
        <w:rPr>
          <w:rFonts w:ascii="Times New Roman" w:hAnsi="Times New Roman"/>
          <w:sz w:val="24"/>
          <w:szCs w:val="24"/>
        </w:rPr>
        <w:t xml:space="preserve"> des mesures politiques dans le cadre de la mise en œuvre des objectifs nationaux</w:t>
      </w:r>
      <w:bookmarkEnd w:id="29"/>
    </w:p>
    <w:p w14:paraId="18FEF76E" w14:textId="77777777" w:rsidR="004B0808" w:rsidRDefault="004B0808" w:rsidP="00E056B1">
      <w:pPr>
        <w:spacing w:after="0" w:line="240" w:lineRule="auto"/>
        <w:jc w:val="both"/>
        <w:rPr>
          <w:rFonts w:ascii="Times New Roman" w:eastAsia="Calibri" w:hAnsi="Times New Roman" w:cs="Times New Roman"/>
          <w:sz w:val="24"/>
          <w:szCs w:val="24"/>
        </w:rPr>
      </w:pPr>
    </w:p>
    <w:p w14:paraId="0866F3A8" w14:textId="1362CB67" w:rsidR="00E23162" w:rsidRPr="00E056B1" w:rsidRDefault="00710B95" w:rsidP="00E056B1">
      <w:pPr>
        <w:spacing w:after="0" w:line="240" w:lineRule="auto"/>
        <w:jc w:val="both"/>
        <w:rPr>
          <w:rFonts w:ascii="Times New Roman" w:hAnsi="Times New Roman" w:cs="Times New Roman"/>
          <w:iCs/>
          <w:sz w:val="24"/>
          <w:szCs w:val="24"/>
        </w:rPr>
      </w:pPr>
      <w:r w:rsidRPr="00E056B1">
        <w:rPr>
          <w:rFonts w:ascii="Times New Roman" w:eastAsia="Calibri" w:hAnsi="Times New Roman" w:cs="Times New Roman"/>
          <w:sz w:val="24"/>
          <w:szCs w:val="24"/>
        </w:rPr>
        <w:t xml:space="preserve">Certaines structures (publiques ou de la société civile) </w:t>
      </w:r>
      <w:r w:rsidR="00566A62" w:rsidRPr="00E056B1">
        <w:rPr>
          <w:rFonts w:ascii="Times New Roman" w:eastAsia="Calibri" w:hAnsi="Times New Roman" w:cs="Times New Roman"/>
          <w:sz w:val="24"/>
          <w:szCs w:val="24"/>
        </w:rPr>
        <w:t>jugent c</w:t>
      </w:r>
      <w:r w:rsidR="00D67970" w:rsidRPr="00E056B1">
        <w:rPr>
          <w:rFonts w:ascii="Times New Roman" w:eastAsia="Calibri" w:hAnsi="Times New Roman" w:cs="Times New Roman"/>
          <w:sz w:val="24"/>
          <w:szCs w:val="24"/>
        </w:rPr>
        <w:t>es mesures en partie efficace (5</w:t>
      </w:r>
      <w:r w:rsidR="00566A62" w:rsidRPr="00E056B1">
        <w:rPr>
          <w:rFonts w:ascii="Times New Roman" w:eastAsia="Calibri" w:hAnsi="Times New Roman" w:cs="Times New Roman"/>
          <w:sz w:val="24"/>
          <w:szCs w:val="24"/>
        </w:rPr>
        <w:t>6%) ou inefficaces (1</w:t>
      </w:r>
      <w:r w:rsidR="00D67970" w:rsidRPr="00E056B1">
        <w:rPr>
          <w:rFonts w:ascii="Times New Roman" w:eastAsia="Calibri" w:hAnsi="Times New Roman" w:cs="Times New Roman"/>
          <w:sz w:val="24"/>
          <w:szCs w:val="24"/>
        </w:rPr>
        <w:t>1</w:t>
      </w:r>
      <w:r w:rsidR="00566A62" w:rsidRPr="00E056B1">
        <w:rPr>
          <w:rFonts w:ascii="Times New Roman" w:eastAsia="Calibri" w:hAnsi="Times New Roman" w:cs="Times New Roman"/>
          <w:sz w:val="24"/>
          <w:szCs w:val="24"/>
        </w:rPr>
        <w:t xml:space="preserve"> %)</w:t>
      </w:r>
      <w:r w:rsidR="00D67970" w:rsidRPr="00E056B1">
        <w:rPr>
          <w:rFonts w:ascii="Times New Roman" w:eastAsia="Calibri" w:hAnsi="Times New Roman" w:cs="Times New Roman"/>
          <w:sz w:val="24"/>
          <w:szCs w:val="24"/>
        </w:rPr>
        <w:t> </w:t>
      </w:r>
      <w:r w:rsidR="00566A62" w:rsidRPr="00E056B1">
        <w:rPr>
          <w:rFonts w:ascii="Times New Roman" w:eastAsia="Calibri" w:hAnsi="Times New Roman" w:cs="Times New Roman"/>
          <w:sz w:val="24"/>
          <w:szCs w:val="24"/>
        </w:rPr>
        <w:t xml:space="preserve">; car elles </w:t>
      </w:r>
      <w:r w:rsidRPr="00E056B1">
        <w:rPr>
          <w:rFonts w:ascii="Times New Roman" w:eastAsia="Calibri" w:hAnsi="Times New Roman" w:cs="Times New Roman"/>
          <w:sz w:val="24"/>
          <w:szCs w:val="24"/>
        </w:rPr>
        <w:t xml:space="preserve">pensent que la politique nationale de gestion de l’environnement et la mise en œuvre </w:t>
      </w:r>
      <w:r w:rsidR="00A4567C" w:rsidRPr="00E056B1">
        <w:rPr>
          <w:rFonts w:ascii="Times New Roman" w:eastAsia="Calibri" w:hAnsi="Times New Roman" w:cs="Times New Roman"/>
          <w:sz w:val="24"/>
          <w:szCs w:val="24"/>
        </w:rPr>
        <w:t>de la politique forestiè</w:t>
      </w:r>
      <w:r w:rsidR="00A8219C" w:rsidRPr="00E056B1">
        <w:rPr>
          <w:rFonts w:ascii="Times New Roman" w:eastAsia="Calibri" w:hAnsi="Times New Roman" w:cs="Times New Roman"/>
          <w:sz w:val="24"/>
          <w:szCs w:val="24"/>
        </w:rPr>
        <w:t>re du T</w:t>
      </w:r>
      <w:r w:rsidR="00A4567C" w:rsidRPr="00E056B1">
        <w:rPr>
          <w:rFonts w:ascii="Times New Roman" w:eastAsia="Calibri" w:hAnsi="Times New Roman" w:cs="Times New Roman"/>
          <w:sz w:val="24"/>
          <w:szCs w:val="24"/>
        </w:rPr>
        <w:t xml:space="preserve">ogo (PFT), </w:t>
      </w:r>
      <w:r w:rsidRPr="00E056B1">
        <w:rPr>
          <w:rFonts w:ascii="Times New Roman" w:eastAsia="Calibri" w:hAnsi="Times New Roman" w:cs="Times New Roman"/>
          <w:sz w:val="24"/>
          <w:szCs w:val="24"/>
        </w:rPr>
        <w:t>des programmes et projets contribuant au renforcement de la gestion</w:t>
      </w:r>
      <w:r w:rsidR="00EC17E3">
        <w:rPr>
          <w:rFonts w:ascii="Times New Roman" w:eastAsia="Calibri" w:hAnsi="Times New Roman" w:cs="Times New Roman"/>
          <w:sz w:val="24"/>
          <w:szCs w:val="24"/>
        </w:rPr>
        <w:t xml:space="preserve"> </w:t>
      </w:r>
      <w:r w:rsidRPr="00E056B1">
        <w:rPr>
          <w:rFonts w:ascii="Times New Roman" w:eastAsia="Calibri" w:hAnsi="Times New Roman" w:cs="Times New Roman"/>
          <w:sz w:val="24"/>
          <w:szCs w:val="24"/>
        </w:rPr>
        <w:t xml:space="preserve">de la biodiversité et à l’amélioration du cadre de vie n’est pas territorialisée à cause du </w:t>
      </w:r>
      <w:r w:rsidRPr="009C7085">
        <w:rPr>
          <w:rFonts w:ascii="Times New Roman" w:eastAsia="Calibri" w:hAnsi="Times New Roman" w:cs="Times New Roman"/>
          <w:sz w:val="24"/>
          <w:szCs w:val="24"/>
        </w:rPr>
        <w:t>faible niveau de décentralisation</w:t>
      </w:r>
      <w:r w:rsidRPr="00E056B1">
        <w:rPr>
          <w:rFonts w:ascii="Times New Roman" w:eastAsia="Calibri" w:hAnsi="Times New Roman" w:cs="Times New Roman"/>
          <w:sz w:val="24"/>
          <w:szCs w:val="24"/>
        </w:rPr>
        <w:t xml:space="preserve">. D’autres pensent que </w:t>
      </w:r>
      <w:r w:rsidRPr="00E056B1">
        <w:rPr>
          <w:rFonts w:ascii="Times New Roman" w:eastAsia="Times New Roman" w:hAnsi="Times New Roman" w:cs="Times New Roman"/>
          <w:sz w:val="24"/>
          <w:szCs w:val="24"/>
          <w:lang w:eastAsia="fr-FR"/>
        </w:rPr>
        <w:t xml:space="preserve">ces mesures politiques </w:t>
      </w:r>
      <w:r w:rsidR="00A8219C" w:rsidRPr="00E056B1">
        <w:rPr>
          <w:rFonts w:ascii="Times New Roman" w:eastAsia="Calibri" w:hAnsi="Times New Roman" w:cs="Times New Roman"/>
          <w:sz w:val="24"/>
          <w:szCs w:val="24"/>
        </w:rPr>
        <w:t xml:space="preserve">visant à gérer les ressources naturelles (les sols, les ressources forestières, la biodiversité, les ressources en eau, les ressources halieutiques, le littoral, les eaux marines et les lagunes) </w:t>
      </w:r>
      <w:r w:rsidRPr="00E056B1">
        <w:rPr>
          <w:rFonts w:ascii="Times New Roman" w:eastAsia="Times New Roman" w:hAnsi="Times New Roman" w:cs="Times New Roman"/>
          <w:sz w:val="24"/>
          <w:szCs w:val="24"/>
          <w:lang w:eastAsia="fr-FR"/>
        </w:rPr>
        <w:t>sont insuffisantes</w:t>
      </w:r>
      <w:r w:rsidR="002C0119">
        <w:rPr>
          <w:rFonts w:ascii="Times New Roman" w:eastAsia="Times New Roman" w:hAnsi="Times New Roman" w:cs="Times New Roman"/>
          <w:sz w:val="24"/>
          <w:szCs w:val="24"/>
          <w:lang w:eastAsia="fr-FR"/>
        </w:rPr>
        <w:t xml:space="preserve"> et</w:t>
      </w:r>
      <w:r w:rsidR="00976B9C" w:rsidRPr="00E056B1">
        <w:rPr>
          <w:rFonts w:ascii="Times New Roman" w:eastAsia="Times New Roman" w:hAnsi="Times New Roman" w:cs="Times New Roman"/>
          <w:sz w:val="24"/>
          <w:szCs w:val="24"/>
          <w:lang w:eastAsia="fr-FR"/>
        </w:rPr>
        <w:t xml:space="preserve"> manquent</w:t>
      </w:r>
      <w:r w:rsidR="00976B9C" w:rsidRPr="00E056B1">
        <w:rPr>
          <w:rFonts w:ascii="Times New Roman" w:eastAsia="Calibri" w:hAnsi="Times New Roman" w:cs="Times New Roman"/>
          <w:sz w:val="24"/>
          <w:szCs w:val="24"/>
        </w:rPr>
        <w:t xml:space="preserve"> de textes d’applications</w:t>
      </w:r>
      <w:r w:rsidR="002C0119">
        <w:rPr>
          <w:rFonts w:ascii="Times New Roman" w:eastAsia="Calibri" w:hAnsi="Times New Roman" w:cs="Times New Roman"/>
          <w:sz w:val="24"/>
          <w:szCs w:val="24"/>
        </w:rPr>
        <w:t>.</w:t>
      </w:r>
    </w:p>
    <w:p w14:paraId="709E2C73" w14:textId="77777777" w:rsidR="00E23162" w:rsidRPr="00E056B1" w:rsidRDefault="00E23162" w:rsidP="00E056B1">
      <w:pPr>
        <w:spacing w:after="0" w:line="240" w:lineRule="auto"/>
        <w:jc w:val="both"/>
        <w:rPr>
          <w:rFonts w:ascii="Times New Roman" w:hAnsi="Times New Roman" w:cs="Times New Roman"/>
          <w:iCs/>
          <w:highlight w:val="yellow"/>
        </w:rPr>
      </w:pPr>
    </w:p>
    <w:p w14:paraId="7F1C2F5C" w14:textId="67B34A05" w:rsidR="00302036" w:rsidRPr="00E056B1" w:rsidRDefault="00566A62" w:rsidP="00E056B1">
      <w:pPr>
        <w:spacing w:after="0" w:line="240" w:lineRule="auto"/>
        <w:jc w:val="both"/>
        <w:rPr>
          <w:rFonts w:ascii="Times New Roman" w:hAnsi="Times New Roman" w:cs="Times New Roman"/>
          <w:sz w:val="24"/>
          <w:szCs w:val="24"/>
        </w:rPr>
      </w:pPr>
      <w:r w:rsidRPr="00B50FE0">
        <w:rPr>
          <w:rFonts w:ascii="Times New Roman" w:hAnsi="Times New Roman" w:cs="Times New Roman"/>
          <w:b/>
          <w:iCs/>
          <w:sz w:val="24"/>
          <w:szCs w:val="24"/>
        </w:rPr>
        <w:t xml:space="preserve">En ce qui concerne les mesures </w:t>
      </w:r>
      <w:r w:rsidR="002B208E" w:rsidRPr="00B50FE0">
        <w:rPr>
          <w:rFonts w:ascii="Times New Roman" w:hAnsi="Times New Roman" w:cs="Times New Roman"/>
          <w:b/>
          <w:iCs/>
          <w:sz w:val="24"/>
          <w:szCs w:val="24"/>
        </w:rPr>
        <w:t>juridiques</w:t>
      </w:r>
      <w:r w:rsidR="00D67970" w:rsidRPr="00B0200A">
        <w:rPr>
          <w:rFonts w:ascii="Times New Roman" w:hAnsi="Times New Roman" w:cs="Times New Roman"/>
          <w:b/>
          <w:iCs/>
          <w:sz w:val="24"/>
          <w:szCs w:val="24"/>
        </w:rPr>
        <w:t>,</w:t>
      </w:r>
      <w:r w:rsidR="00D67970" w:rsidRPr="00E056B1">
        <w:rPr>
          <w:rFonts w:ascii="Times New Roman" w:hAnsi="Times New Roman" w:cs="Times New Roman"/>
          <w:b/>
          <w:iCs/>
          <w:sz w:val="24"/>
          <w:szCs w:val="24"/>
        </w:rPr>
        <w:t xml:space="preserve"> </w:t>
      </w:r>
      <w:r w:rsidR="00DD67E3" w:rsidRPr="00E056B1">
        <w:rPr>
          <w:rFonts w:ascii="Times New Roman" w:hAnsi="Times New Roman" w:cs="Times New Roman"/>
          <w:iCs/>
          <w:sz w:val="24"/>
          <w:szCs w:val="24"/>
        </w:rPr>
        <w:t>25 % d</w:t>
      </w:r>
      <w:r w:rsidR="00D67970" w:rsidRPr="00E056B1">
        <w:rPr>
          <w:rFonts w:ascii="Times New Roman" w:hAnsi="Times New Roman" w:cs="Times New Roman"/>
          <w:iCs/>
          <w:sz w:val="24"/>
          <w:szCs w:val="24"/>
        </w:rPr>
        <w:t xml:space="preserve">es acteurs pensent qu’elles seront </w:t>
      </w:r>
      <w:r w:rsidR="00D67970" w:rsidRPr="00E056B1">
        <w:rPr>
          <w:rFonts w:ascii="Times New Roman" w:eastAsia="Calibri" w:hAnsi="Times New Roman" w:cs="Times New Roman"/>
          <w:sz w:val="24"/>
          <w:szCs w:val="24"/>
        </w:rPr>
        <w:t>efficace</w:t>
      </w:r>
      <w:r w:rsidR="00DD67E3" w:rsidRPr="00E056B1">
        <w:rPr>
          <w:rFonts w:ascii="Times New Roman" w:eastAsia="Calibri" w:hAnsi="Times New Roman" w:cs="Times New Roman"/>
          <w:sz w:val="24"/>
          <w:szCs w:val="24"/>
        </w:rPr>
        <w:t>s</w:t>
      </w:r>
      <w:r w:rsidR="00D67970" w:rsidRPr="00E056B1">
        <w:rPr>
          <w:rFonts w:ascii="Times New Roman" w:eastAsia="Calibri" w:hAnsi="Times New Roman" w:cs="Times New Roman"/>
          <w:sz w:val="24"/>
          <w:szCs w:val="24"/>
        </w:rPr>
        <w:t xml:space="preserve"> si elles sont mises en œuvre</w:t>
      </w:r>
      <w:r w:rsidR="002D49A0" w:rsidRPr="00E056B1">
        <w:rPr>
          <w:rFonts w:ascii="Times New Roman" w:eastAsia="Calibri" w:hAnsi="Times New Roman" w:cs="Times New Roman"/>
          <w:sz w:val="24"/>
          <w:szCs w:val="24"/>
        </w:rPr>
        <w:t xml:space="preserve"> (Figure 6)</w:t>
      </w:r>
      <w:r w:rsidR="00DD67E3" w:rsidRPr="00E056B1">
        <w:rPr>
          <w:rFonts w:ascii="Times New Roman" w:eastAsia="Calibri" w:hAnsi="Times New Roman" w:cs="Times New Roman"/>
          <w:sz w:val="24"/>
          <w:szCs w:val="24"/>
        </w:rPr>
        <w:t>.</w:t>
      </w:r>
      <w:r w:rsidR="00037634" w:rsidRPr="00E056B1">
        <w:rPr>
          <w:rFonts w:ascii="Times New Roman" w:hAnsi="Times New Roman" w:cs="Times New Roman"/>
          <w:iCs/>
          <w:sz w:val="24"/>
          <w:szCs w:val="24"/>
        </w:rPr>
        <w:t xml:space="preserve">A titre d’exemple, </w:t>
      </w:r>
      <w:r w:rsidR="00037634" w:rsidRPr="00E056B1">
        <w:rPr>
          <w:rFonts w:ascii="Times New Roman" w:eastAsia="Calibri" w:hAnsi="Times New Roman" w:cs="Times New Roman"/>
          <w:sz w:val="24"/>
          <w:szCs w:val="24"/>
        </w:rPr>
        <w:t>la loi-cadre sur l’environnement de 2008</w:t>
      </w:r>
      <w:r w:rsidR="00037634" w:rsidRPr="00E056B1">
        <w:rPr>
          <w:rFonts w:ascii="Times New Roman" w:hAnsi="Times New Roman" w:cs="Times New Roman"/>
          <w:sz w:val="24"/>
          <w:szCs w:val="24"/>
        </w:rPr>
        <w:t xml:space="preserve"> permet de r</w:t>
      </w:r>
      <w:r w:rsidR="00037634" w:rsidRPr="00E056B1">
        <w:rPr>
          <w:rFonts w:ascii="Times New Roman" w:eastAsia="Calibri" w:hAnsi="Times New Roman" w:cs="Times New Roman"/>
          <w:sz w:val="24"/>
          <w:szCs w:val="24"/>
        </w:rPr>
        <w:t xml:space="preserve">éduire les impacts négatifs sur l’environnement générés par la production agricole et promouvoir une agriculture écologique. Le législateur, à travers l’article 49 de cette loi, a institué des écolabels qui peuvent être attribués aux produits agricoles ayant un impact réduit sur l’environnement. </w:t>
      </w:r>
      <w:r w:rsidR="001125A4" w:rsidRPr="00E056B1">
        <w:rPr>
          <w:rFonts w:ascii="Times New Roman" w:eastAsia="Calibri" w:hAnsi="Times New Roman" w:cs="Times New Roman"/>
          <w:sz w:val="24"/>
          <w:szCs w:val="24"/>
        </w:rPr>
        <w:t>En outre</w:t>
      </w:r>
      <w:r w:rsidR="00037634" w:rsidRPr="00E056B1">
        <w:rPr>
          <w:rFonts w:ascii="Times New Roman" w:eastAsia="Calibri" w:hAnsi="Times New Roman" w:cs="Times New Roman"/>
          <w:sz w:val="24"/>
          <w:szCs w:val="24"/>
        </w:rPr>
        <w:t>, pour préserver la qualité des sols et réduire l’utilisation abusive de certains intrants agricoles, la loi a prévu en son article 58, l’établissement de la liste des engrais, pesticides et autres substances chimiques dont l’utilisation est autorisée ou favorisée à des fins agricoles. Elle a également défini les quantités autorisées et les modalités d’utilisation compatibles avec le maintien de la qualité du sol ou des autres milieux récepteurs et avec la préservation de l’équilibre écologique et de la santé de l’homme.</w:t>
      </w:r>
      <w:r w:rsidR="00302036" w:rsidRPr="00E056B1">
        <w:rPr>
          <w:rFonts w:ascii="Times New Roman" w:eastAsia="Calibri" w:hAnsi="Times New Roman" w:cs="Times New Roman"/>
          <w:sz w:val="24"/>
          <w:szCs w:val="24"/>
        </w:rPr>
        <w:t xml:space="preserve"> La loi sur la prévention des risques biotechnologiques permet d’assurer la prévention des risques liés au développement, à l’utilisation confinée, à l’importation, à l’exportation, au transit, à la production, au stockage, à la dissémination volontaire ou involontaire dans l’environnement et à la mise sur le marché des organismes génétiquement modifiés (OGM) /organismes vivants modifiés (OVM) et de leurs dérivés. Etant donné qu’un grand nombre d’éléments de la biodiversité font l’objet de manipulation biotechnologique, la loi définit également les mécanismes de contrôle des mouvements transfrontières des OGM/OVM et de leurs dérivés. La loi n° 2010-004 portant code de </w:t>
      </w:r>
      <w:r w:rsidR="00F545CC" w:rsidRPr="00E056B1">
        <w:rPr>
          <w:rFonts w:ascii="Times New Roman" w:eastAsia="Calibri" w:hAnsi="Times New Roman" w:cs="Times New Roman"/>
          <w:sz w:val="24"/>
          <w:szCs w:val="24"/>
        </w:rPr>
        <w:t>l’eau en</w:t>
      </w:r>
      <w:r w:rsidR="00302036" w:rsidRPr="00E056B1">
        <w:rPr>
          <w:rFonts w:ascii="Times New Roman" w:eastAsia="Calibri" w:hAnsi="Times New Roman" w:cs="Times New Roman"/>
          <w:sz w:val="24"/>
          <w:szCs w:val="24"/>
        </w:rPr>
        <w:t xml:space="preserve"> son article 98 </w:t>
      </w:r>
      <w:r w:rsidR="00557CCA">
        <w:rPr>
          <w:rFonts w:ascii="Times New Roman" w:eastAsia="Calibri" w:hAnsi="Times New Roman" w:cs="Times New Roman"/>
          <w:sz w:val="24"/>
          <w:szCs w:val="24"/>
        </w:rPr>
        <w:t xml:space="preserve">établit </w:t>
      </w:r>
      <w:r w:rsidR="00302036" w:rsidRPr="00E056B1">
        <w:rPr>
          <w:rFonts w:ascii="Times New Roman" w:eastAsia="Calibri" w:hAnsi="Times New Roman" w:cs="Times New Roman"/>
          <w:sz w:val="24"/>
          <w:szCs w:val="24"/>
        </w:rPr>
        <w:t>les conditions d’usages des points d’eau pour l’abreuvement du bétail et prévoit des dispositions réglementaires relatives à l’utilisation des eaux pour la pêche et l’aquaculture. Le code assure une protection des écosystèmes aquatiques. Un cadre institutionnel de la gestion des ressources en eau est créé.</w:t>
      </w:r>
    </w:p>
    <w:p w14:paraId="7751D8BA" w14:textId="77777777" w:rsidR="00302036" w:rsidRPr="00E056B1" w:rsidRDefault="00302036" w:rsidP="00E056B1">
      <w:pPr>
        <w:spacing w:after="0" w:line="240" w:lineRule="auto"/>
        <w:jc w:val="both"/>
        <w:rPr>
          <w:rFonts w:ascii="Times New Roman" w:hAnsi="Times New Roman" w:cs="Times New Roman"/>
          <w:sz w:val="24"/>
          <w:szCs w:val="24"/>
        </w:rPr>
      </w:pPr>
    </w:p>
    <w:p w14:paraId="19F43E99" w14:textId="02130368" w:rsidR="00302036" w:rsidRPr="00E056B1" w:rsidRDefault="00302036" w:rsidP="00E056B1">
      <w:p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sz w:val="24"/>
          <w:szCs w:val="24"/>
        </w:rPr>
        <w:t>Par ailleurs</w:t>
      </w:r>
      <w:r w:rsidR="001125A4" w:rsidRPr="00E056B1">
        <w:rPr>
          <w:rFonts w:ascii="Times New Roman" w:hAnsi="Times New Roman" w:cs="Times New Roman"/>
          <w:sz w:val="24"/>
          <w:szCs w:val="24"/>
        </w:rPr>
        <w:t>,</w:t>
      </w:r>
      <w:r w:rsidRPr="00E056B1">
        <w:rPr>
          <w:rFonts w:ascii="Times New Roman" w:hAnsi="Times New Roman" w:cs="Times New Roman"/>
          <w:sz w:val="24"/>
          <w:szCs w:val="24"/>
        </w:rPr>
        <w:t xml:space="preserve"> les parties prenantes </w:t>
      </w:r>
      <w:r w:rsidR="00557CCA">
        <w:rPr>
          <w:rFonts w:ascii="Times New Roman" w:hAnsi="Times New Roman" w:cs="Times New Roman"/>
          <w:sz w:val="24"/>
          <w:szCs w:val="24"/>
        </w:rPr>
        <w:t xml:space="preserve">ont </w:t>
      </w:r>
      <w:r w:rsidR="00F545CC">
        <w:rPr>
          <w:rFonts w:ascii="Times New Roman" w:hAnsi="Times New Roman" w:cs="Times New Roman"/>
          <w:sz w:val="24"/>
          <w:szCs w:val="24"/>
        </w:rPr>
        <w:t xml:space="preserve">relevé </w:t>
      </w:r>
      <w:r w:rsidR="00F545CC" w:rsidRPr="00E056B1">
        <w:rPr>
          <w:rFonts w:ascii="Times New Roman" w:hAnsi="Times New Roman" w:cs="Times New Roman"/>
          <w:sz w:val="24"/>
          <w:szCs w:val="24"/>
        </w:rPr>
        <w:t>que</w:t>
      </w:r>
      <w:r w:rsidRPr="00E056B1">
        <w:rPr>
          <w:rFonts w:ascii="Times New Roman" w:hAnsi="Times New Roman" w:cs="Times New Roman"/>
          <w:sz w:val="24"/>
          <w:szCs w:val="24"/>
        </w:rPr>
        <w:t xml:space="preserve"> l</w:t>
      </w:r>
      <w:r w:rsidR="00090E29" w:rsidRPr="00E056B1">
        <w:rPr>
          <w:rFonts w:ascii="Times New Roman" w:hAnsi="Times New Roman" w:cs="Times New Roman"/>
          <w:iCs/>
          <w:sz w:val="24"/>
          <w:szCs w:val="24"/>
        </w:rPr>
        <w:t>a r</w:t>
      </w:r>
      <w:r w:rsidR="00090E29" w:rsidRPr="00E056B1">
        <w:rPr>
          <w:rFonts w:ascii="Times New Roman" w:hAnsi="Times New Roman" w:cs="Times New Roman"/>
          <w:sz w:val="24"/>
          <w:szCs w:val="24"/>
        </w:rPr>
        <w:t>atification du protocole de Nagoya sur APA et le protocole de Nagoya-Kuala Lumpur sur la responsabilité et la réparation en cas de dommage résultant de l’utilisation des biotechnologies modernes (le 09 février 2016)</w:t>
      </w:r>
      <w:r w:rsidRPr="00E056B1">
        <w:rPr>
          <w:rFonts w:ascii="Times New Roman" w:hAnsi="Times New Roman" w:cs="Times New Roman"/>
          <w:sz w:val="24"/>
          <w:szCs w:val="24"/>
        </w:rPr>
        <w:t xml:space="preserve"> est à l’actif de la mise </w:t>
      </w:r>
      <w:r w:rsidR="00557CCA">
        <w:rPr>
          <w:rFonts w:ascii="Times New Roman" w:hAnsi="Times New Roman" w:cs="Times New Roman"/>
          <w:sz w:val="24"/>
          <w:szCs w:val="24"/>
        </w:rPr>
        <w:t xml:space="preserve">en </w:t>
      </w:r>
      <w:r w:rsidRPr="00E056B1">
        <w:rPr>
          <w:rFonts w:ascii="Times New Roman" w:hAnsi="Times New Roman" w:cs="Times New Roman"/>
          <w:sz w:val="24"/>
          <w:szCs w:val="24"/>
        </w:rPr>
        <w:t>œuvre de la SPANB</w:t>
      </w:r>
      <w:r w:rsidR="00090E29" w:rsidRPr="00E056B1">
        <w:rPr>
          <w:rFonts w:ascii="Times New Roman" w:hAnsi="Times New Roman" w:cs="Times New Roman"/>
          <w:sz w:val="24"/>
          <w:szCs w:val="24"/>
        </w:rPr>
        <w:t>.</w:t>
      </w:r>
      <w:r w:rsidR="00090E29" w:rsidRPr="00E056B1">
        <w:rPr>
          <w:rFonts w:ascii="Times New Roman" w:hAnsi="Times New Roman" w:cs="Times New Roman"/>
          <w:iCs/>
          <w:sz w:val="24"/>
          <w:szCs w:val="24"/>
        </w:rPr>
        <w:t xml:space="preserve"> Toutefois, la r</w:t>
      </w:r>
      <w:r w:rsidR="00090E29" w:rsidRPr="00E056B1">
        <w:rPr>
          <w:rFonts w:ascii="Times New Roman" w:hAnsi="Times New Roman" w:cs="Times New Roman"/>
          <w:sz w:val="24"/>
          <w:szCs w:val="24"/>
        </w:rPr>
        <w:t xml:space="preserve">évision de la loi sur la biosécurité pour la prise en compte du protocole de Nagoya Kuala Lumpur sur la responsabilité et la réparation </w:t>
      </w:r>
      <w:r w:rsidR="00557CCA">
        <w:rPr>
          <w:rFonts w:ascii="Times New Roman" w:hAnsi="Times New Roman" w:cs="Times New Roman"/>
          <w:sz w:val="24"/>
          <w:szCs w:val="24"/>
        </w:rPr>
        <w:t xml:space="preserve">entamée </w:t>
      </w:r>
      <w:r w:rsidR="00090E29" w:rsidRPr="00E056B1">
        <w:rPr>
          <w:rFonts w:ascii="Times New Roman" w:hAnsi="Times New Roman" w:cs="Times New Roman"/>
          <w:sz w:val="24"/>
          <w:szCs w:val="24"/>
        </w:rPr>
        <w:t>n’est pas encore adoptée par le conseil des ministres.</w:t>
      </w:r>
      <w:r w:rsidR="00F545CC">
        <w:rPr>
          <w:rFonts w:ascii="Times New Roman" w:hAnsi="Times New Roman" w:cs="Times New Roman"/>
          <w:sz w:val="24"/>
          <w:szCs w:val="24"/>
        </w:rPr>
        <w:t xml:space="preserve"> </w:t>
      </w:r>
      <w:r w:rsidR="00D67970" w:rsidRPr="00E056B1">
        <w:rPr>
          <w:rFonts w:ascii="Times New Roman" w:eastAsia="Calibri" w:hAnsi="Times New Roman" w:cs="Times New Roman"/>
          <w:sz w:val="24"/>
          <w:szCs w:val="24"/>
        </w:rPr>
        <w:t xml:space="preserve">D’autres </w:t>
      </w:r>
      <w:r w:rsidR="00090E29" w:rsidRPr="00E056B1">
        <w:rPr>
          <w:rFonts w:ascii="Times New Roman" w:eastAsia="Calibri" w:hAnsi="Times New Roman" w:cs="Times New Roman"/>
          <w:sz w:val="24"/>
          <w:szCs w:val="24"/>
        </w:rPr>
        <w:t xml:space="preserve">acteurs (à 57 % « en partie efficace » et 11 % « inefficace ») </w:t>
      </w:r>
      <w:r w:rsidR="00DD67E3" w:rsidRPr="00E056B1">
        <w:rPr>
          <w:rFonts w:ascii="Times New Roman" w:eastAsia="Calibri" w:hAnsi="Times New Roman" w:cs="Times New Roman"/>
          <w:sz w:val="24"/>
          <w:szCs w:val="24"/>
        </w:rPr>
        <w:t xml:space="preserve">pensent que </w:t>
      </w:r>
      <w:r w:rsidR="00DD67E3" w:rsidRPr="00E056B1">
        <w:rPr>
          <w:rFonts w:ascii="Times New Roman" w:eastAsia="Times New Roman" w:hAnsi="Times New Roman" w:cs="Times New Roman"/>
          <w:sz w:val="24"/>
          <w:szCs w:val="24"/>
          <w:lang w:eastAsia="fr-FR"/>
        </w:rPr>
        <w:t>les mesures législatives sont insuffisantes</w:t>
      </w:r>
      <w:r w:rsidR="00DD67E3" w:rsidRPr="00E056B1">
        <w:rPr>
          <w:rFonts w:ascii="Times New Roman" w:eastAsia="Calibri" w:hAnsi="Times New Roman" w:cs="Times New Roman"/>
          <w:sz w:val="24"/>
          <w:szCs w:val="24"/>
        </w:rPr>
        <w:t xml:space="preserve"> ou</w:t>
      </w:r>
      <w:r w:rsidR="00D67970" w:rsidRPr="00E056B1">
        <w:rPr>
          <w:rFonts w:ascii="Times New Roman" w:eastAsia="Calibri" w:hAnsi="Times New Roman" w:cs="Times New Roman"/>
          <w:sz w:val="24"/>
          <w:szCs w:val="24"/>
        </w:rPr>
        <w:t xml:space="preserve"> désu</w:t>
      </w:r>
      <w:r w:rsidR="00DD67E3" w:rsidRPr="00E056B1">
        <w:rPr>
          <w:rFonts w:ascii="Times New Roman" w:eastAsia="Calibri" w:hAnsi="Times New Roman" w:cs="Times New Roman"/>
          <w:sz w:val="24"/>
          <w:szCs w:val="24"/>
        </w:rPr>
        <w:t>è</w:t>
      </w:r>
      <w:r w:rsidR="00D67970" w:rsidRPr="00E056B1">
        <w:rPr>
          <w:rFonts w:ascii="Times New Roman" w:eastAsia="Calibri" w:hAnsi="Times New Roman" w:cs="Times New Roman"/>
          <w:sz w:val="24"/>
          <w:szCs w:val="24"/>
        </w:rPr>
        <w:t>t</w:t>
      </w:r>
      <w:r w:rsidR="00DD67E3" w:rsidRPr="00E056B1">
        <w:rPr>
          <w:rFonts w:ascii="Times New Roman" w:eastAsia="Calibri" w:hAnsi="Times New Roman" w:cs="Times New Roman"/>
          <w:sz w:val="24"/>
          <w:szCs w:val="24"/>
        </w:rPr>
        <w:t>e</w:t>
      </w:r>
      <w:r w:rsidR="00D67970" w:rsidRPr="00E056B1">
        <w:rPr>
          <w:rFonts w:ascii="Times New Roman" w:eastAsia="Calibri" w:hAnsi="Times New Roman" w:cs="Times New Roman"/>
          <w:sz w:val="24"/>
          <w:szCs w:val="24"/>
        </w:rPr>
        <w:t>s</w:t>
      </w:r>
      <w:r w:rsidR="00DD67E3" w:rsidRPr="00E056B1">
        <w:rPr>
          <w:rFonts w:ascii="Times New Roman" w:eastAsia="Calibri" w:hAnsi="Times New Roman" w:cs="Times New Roman"/>
          <w:sz w:val="24"/>
          <w:szCs w:val="24"/>
        </w:rPr>
        <w:t xml:space="preserve"> ; ils évoquent l’insuffisance ou le manque </w:t>
      </w:r>
      <w:r w:rsidR="001125A4" w:rsidRPr="00E056B1">
        <w:rPr>
          <w:rFonts w:ascii="Times New Roman" w:eastAsia="Calibri" w:hAnsi="Times New Roman" w:cs="Times New Roman"/>
          <w:sz w:val="24"/>
          <w:szCs w:val="24"/>
        </w:rPr>
        <w:t xml:space="preserve">de </w:t>
      </w:r>
      <w:r w:rsidR="00DD67E3" w:rsidRPr="00E056B1">
        <w:rPr>
          <w:rFonts w:ascii="Times New Roman" w:eastAsia="Calibri" w:hAnsi="Times New Roman" w:cs="Times New Roman"/>
          <w:sz w:val="24"/>
          <w:szCs w:val="24"/>
        </w:rPr>
        <w:t xml:space="preserve">certains textes d’application, la non vulgarisation des textes, lois et convention. </w:t>
      </w:r>
    </w:p>
    <w:p w14:paraId="4A124421" w14:textId="77777777" w:rsidR="00302036" w:rsidRPr="00E056B1" w:rsidRDefault="00302036" w:rsidP="00E056B1">
      <w:pPr>
        <w:spacing w:after="0" w:line="240" w:lineRule="auto"/>
        <w:jc w:val="both"/>
        <w:rPr>
          <w:rFonts w:ascii="Times New Roman" w:eastAsia="Calibri" w:hAnsi="Times New Roman" w:cs="Times New Roman"/>
          <w:sz w:val="24"/>
          <w:szCs w:val="24"/>
        </w:rPr>
      </w:pPr>
    </w:p>
    <w:p w14:paraId="39CC89F1" w14:textId="4106074B" w:rsidR="00D67970" w:rsidRPr="00E056B1" w:rsidRDefault="00DD67E3" w:rsidP="00E056B1">
      <w:pPr>
        <w:spacing w:after="0" w:line="240" w:lineRule="auto"/>
        <w:jc w:val="both"/>
        <w:rPr>
          <w:rFonts w:ascii="Times New Roman" w:hAnsi="Times New Roman" w:cs="Times New Roman"/>
          <w:iCs/>
          <w:sz w:val="24"/>
          <w:szCs w:val="24"/>
          <w:highlight w:val="yellow"/>
        </w:rPr>
      </w:pPr>
      <w:r w:rsidRPr="00E056B1">
        <w:rPr>
          <w:rFonts w:ascii="Times New Roman" w:eastAsia="Calibri" w:hAnsi="Times New Roman" w:cs="Times New Roman"/>
          <w:sz w:val="24"/>
          <w:szCs w:val="24"/>
        </w:rPr>
        <w:t xml:space="preserve">Les acteurs (7 %) affirment que les </w:t>
      </w:r>
      <w:r w:rsidR="00131823" w:rsidRPr="00E056B1">
        <w:rPr>
          <w:rFonts w:ascii="Times New Roman" w:eastAsia="Calibri" w:hAnsi="Times New Roman" w:cs="Times New Roman"/>
          <w:sz w:val="24"/>
          <w:szCs w:val="24"/>
        </w:rPr>
        <w:t>textes ne sont</w:t>
      </w:r>
      <w:r w:rsidR="00302036" w:rsidRPr="00E056B1">
        <w:rPr>
          <w:rFonts w:ascii="Times New Roman" w:eastAsia="Calibri" w:hAnsi="Times New Roman" w:cs="Times New Roman"/>
          <w:sz w:val="24"/>
          <w:szCs w:val="24"/>
        </w:rPr>
        <w:t xml:space="preserve"> pas connu</w:t>
      </w:r>
      <w:r w:rsidRPr="00E056B1">
        <w:rPr>
          <w:rFonts w:ascii="Times New Roman" w:eastAsia="Calibri" w:hAnsi="Times New Roman" w:cs="Times New Roman"/>
          <w:sz w:val="24"/>
          <w:szCs w:val="24"/>
        </w:rPr>
        <w:t>s par les populations en grande partie analphabète</w:t>
      </w:r>
      <w:r w:rsidR="00090E29" w:rsidRPr="00E056B1">
        <w:rPr>
          <w:rFonts w:ascii="Times New Roman" w:eastAsia="Calibri" w:hAnsi="Times New Roman" w:cs="Times New Roman"/>
          <w:sz w:val="24"/>
          <w:szCs w:val="24"/>
        </w:rPr>
        <w:t xml:space="preserve">. </w:t>
      </w:r>
      <w:r w:rsidR="00302036" w:rsidRPr="00E056B1">
        <w:rPr>
          <w:rFonts w:ascii="Times New Roman" w:eastAsia="Calibri" w:hAnsi="Times New Roman" w:cs="Times New Roman"/>
          <w:sz w:val="24"/>
          <w:szCs w:val="24"/>
        </w:rPr>
        <w:t>Il s’agit de</w:t>
      </w:r>
      <w:r w:rsidR="00090E29" w:rsidRPr="00E056B1">
        <w:rPr>
          <w:rFonts w:ascii="Times New Roman" w:eastAsia="Calibri" w:hAnsi="Times New Roman" w:cs="Times New Roman"/>
          <w:sz w:val="24"/>
          <w:szCs w:val="24"/>
        </w:rPr>
        <w:t> :</w:t>
      </w:r>
    </w:p>
    <w:p w14:paraId="76D4C83A" w14:textId="77777777" w:rsidR="00037634" w:rsidRPr="00E056B1" w:rsidRDefault="00090E29"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Loi N° 2008-005 du 30 mai 2008 portant loi-cadre sur l’environnement ;</w:t>
      </w:r>
    </w:p>
    <w:p w14:paraId="5C124591"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L</w:t>
      </w:r>
      <w:r w:rsidR="00090E29" w:rsidRPr="00E056B1">
        <w:rPr>
          <w:rFonts w:ascii="Times New Roman" w:eastAsia="Calibri" w:hAnsi="Times New Roman" w:cs="Times New Roman"/>
          <w:sz w:val="24"/>
          <w:szCs w:val="24"/>
        </w:rPr>
        <w:t>oi N° 2008-009 du 19 juin 2008 portant code forestier ;</w:t>
      </w:r>
    </w:p>
    <w:p w14:paraId="4403A61D"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L</w:t>
      </w:r>
      <w:r w:rsidR="00090E29" w:rsidRPr="00E056B1">
        <w:rPr>
          <w:rFonts w:ascii="Times New Roman" w:eastAsia="Calibri" w:hAnsi="Times New Roman" w:cs="Times New Roman"/>
          <w:sz w:val="24"/>
          <w:szCs w:val="24"/>
        </w:rPr>
        <w:t>oi N° 2009-001 du 06 janvier2009 sur la prévention des risques biotechnologiques.</w:t>
      </w:r>
    </w:p>
    <w:p w14:paraId="5B088997"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Décret n°2017-04/PR du 23 mars 2017 fixant la procédure des études d’impact environnemental et social ;</w:t>
      </w:r>
    </w:p>
    <w:p w14:paraId="719344A3"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Décret n°2011-041/PR du 16 mars 2011 f</w:t>
      </w:r>
      <w:r w:rsidR="002B208E">
        <w:rPr>
          <w:rFonts w:ascii="Times New Roman" w:eastAsia="Calibri" w:hAnsi="Times New Roman" w:cs="Times New Roman"/>
          <w:sz w:val="24"/>
          <w:szCs w:val="24"/>
        </w:rPr>
        <w:t>i</w:t>
      </w:r>
      <w:r w:rsidRPr="00E056B1">
        <w:rPr>
          <w:rFonts w:ascii="Times New Roman" w:eastAsia="Calibri" w:hAnsi="Times New Roman" w:cs="Times New Roman"/>
          <w:sz w:val="24"/>
          <w:szCs w:val="24"/>
        </w:rPr>
        <w:t xml:space="preserve">xant les modalités de mise en œuvre de l’audit </w:t>
      </w:r>
      <w:r w:rsidRPr="00E056B1">
        <w:rPr>
          <w:rFonts w:ascii="Times New Roman" w:hAnsi="Times New Roman" w:cs="Times New Roman"/>
          <w:sz w:val="24"/>
          <w:szCs w:val="24"/>
        </w:rPr>
        <w:t>E</w:t>
      </w:r>
      <w:r w:rsidRPr="00E056B1">
        <w:rPr>
          <w:rFonts w:ascii="Times New Roman" w:eastAsia="Calibri" w:hAnsi="Times New Roman" w:cs="Times New Roman"/>
          <w:sz w:val="24"/>
          <w:szCs w:val="24"/>
        </w:rPr>
        <w:t>nvironnemental ;</w:t>
      </w:r>
    </w:p>
    <w:p w14:paraId="39BD18CD"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Arrêté n°0149/MERF/CAB/ANGE portant conditions d’agrément de consultants en évaluations environnementales</w:t>
      </w:r>
    </w:p>
    <w:p w14:paraId="266D466B"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Arrêté n°0150/MERF/ANGE du 22 décembre 2017 fixant les modalités de participation du public aux EIES ;</w:t>
      </w:r>
    </w:p>
    <w:p w14:paraId="49333776" w14:textId="77777777" w:rsidR="00037634" w:rsidRPr="00E056B1" w:rsidRDefault="00037634" w:rsidP="00E50666">
      <w:pPr>
        <w:pStyle w:val="Paragraphedeliste"/>
        <w:numPr>
          <w:ilvl w:val="0"/>
          <w:numId w:val="17"/>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Arrêté n°0151/MERF/ANGE du 22 décembre 2017 fixant la liste des activités et projets soumis à EIES.</w:t>
      </w:r>
    </w:p>
    <w:p w14:paraId="4CE3735F" w14:textId="77777777" w:rsidR="00037634" w:rsidRPr="00E056B1" w:rsidRDefault="00037634" w:rsidP="00E056B1">
      <w:pPr>
        <w:spacing w:after="0" w:line="240" w:lineRule="auto"/>
        <w:jc w:val="both"/>
        <w:rPr>
          <w:rFonts w:ascii="Times New Roman" w:hAnsi="Times New Roman" w:cs="Times New Roman"/>
          <w:iCs/>
          <w:highlight w:val="yellow"/>
        </w:rPr>
      </w:pPr>
    </w:p>
    <w:p w14:paraId="4CCDE49E" w14:textId="77777777" w:rsidR="00DD67E3" w:rsidRPr="00E056B1" w:rsidRDefault="00DD67E3" w:rsidP="00F60F3D">
      <w:pPr>
        <w:spacing w:after="0" w:line="240" w:lineRule="auto"/>
        <w:jc w:val="center"/>
        <w:rPr>
          <w:rFonts w:ascii="Times New Roman" w:hAnsi="Times New Roman" w:cs="Times New Roman"/>
          <w:iCs/>
          <w:highlight w:val="yellow"/>
        </w:rPr>
      </w:pPr>
      <w:r w:rsidRPr="00E056B1">
        <w:rPr>
          <w:rFonts w:ascii="Times New Roman" w:hAnsi="Times New Roman" w:cs="Times New Roman"/>
          <w:iCs/>
          <w:noProof/>
          <w:lang w:eastAsia="fr-FR"/>
        </w:rPr>
        <w:drawing>
          <wp:inline distT="0" distB="0" distL="0" distR="0" wp14:anchorId="0E051EE1" wp14:editId="757E57CF">
            <wp:extent cx="4333875" cy="2447925"/>
            <wp:effectExtent l="0" t="0" r="0" b="0"/>
            <wp:docPr id="23" name="Graphique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1C86AD3" w14:textId="77777777" w:rsidR="00302036" w:rsidRPr="00E056B1" w:rsidRDefault="00302036" w:rsidP="00F60F3D">
      <w:pPr>
        <w:spacing w:after="0" w:line="240" w:lineRule="auto"/>
        <w:jc w:val="center"/>
        <w:rPr>
          <w:rFonts w:ascii="Times New Roman" w:hAnsi="Times New Roman" w:cs="Times New Roman"/>
          <w:iCs/>
          <w:highlight w:val="yellow"/>
        </w:rPr>
      </w:pPr>
    </w:p>
    <w:p w14:paraId="50B6E9EE" w14:textId="7BC01418" w:rsidR="001125A4" w:rsidRPr="007A4C3E" w:rsidRDefault="007A4C3E" w:rsidP="00F60F3D">
      <w:pPr>
        <w:pStyle w:val="Lgende"/>
        <w:jc w:val="center"/>
        <w:rPr>
          <w:rFonts w:ascii="Times New Roman" w:hAnsi="Times New Roman"/>
          <w:iCs/>
          <w:sz w:val="24"/>
          <w:szCs w:val="24"/>
          <w:highlight w:val="yellow"/>
        </w:rPr>
      </w:pPr>
      <w:bookmarkStart w:id="30" w:name="_Toc533413494"/>
      <w:r w:rsidRPr="007A4C3E">
        <w:rPr>
          <w:rFonts w:ascii="Times New Roman" w:hAnsi="Times New Roman"/>
          <w:sz w:val="24"/>
          <w:szCs w:val="24"/>
        </w:rPr>
        <w:t xml:space="preserve">Figure </w:t>
      </w:r>
      <w:r w:rsidR="00620BEA" w:rsidRPr="007A4C3E">
        <w:rPr>
          <w:rFonts w:ascii="Times New Roman" w:hAnsi="Times New Roman"/>
          <w:sz w:val="24"/>
          <w:szCs w:val="24"/>
        </w:rPr>
        <w:fldChar w:fldCharType="begin"/>
      </w:r>
      <w:r w:rsidRPr="007A4C3E">
        <w:rPr>
          <w:rFonts w:ascii="Times New Roman" w:hAnsi="Times New Roman"/>
          <w:sz w:val="24"/>
          <w:szCs w:val="24"/>
        </w:rPr>
        <w:instrText xml:space="preserve"> SEQ Figure \* ARABIC </w:instrText>
      </w:r>
      <w:r w:rsidR="00620BEA" w:rsidRPr="007A4C3E">
        <w:rPr>
          <w:rFonts w:ascii="Times New Roman" w:hAnsi="Times New Roman"/>
          <w:sz w:val="24"/>
          <w:szCs w:val="24"/>
        </w:rPr>
        <w:fldChar w:fldCharType="separate"/>
      </w:r>
      <w:r w:rsidR="00C47BFF">
        <w:rPr>
          <w:rFonts w:ascii="Times New Roman" w:hAnsi="Times New Roman"/>
          <w:noProof/>
          <w:sz w:val="24"/>
          <w:szCs w:val="24"/>
        </w:rPr>
        <w:t>6</w:t>
      </w:r>
      <w:r w:rsidR="00620BEA" w:rsidRPr="007A4C3E">
        <w:rPr>
          <w:rFonts w:ascii="Times New Roman" w:hAnsi="Times New Roman"/>
          <w:sz w:val="24"/>
          <w:szCs w:val="24"/>
        </w:rPr>
        <w:fldChar w:fldCharType="end"/>
      </w:r>
      <w:r w:rsidRPr="007A4C3E">
        <w:rPr>
          <w:rFonts w:ascii="Times New Roman" w:hAnsi="Times New Roman"/>
          <w:sz w:val="24"/>
          <w:szCs w:val="24"/>
        </w:rPr>
        <w:t xml:space="preserve">: </w:t>
      </w:r>
      <w:r w:rsidR="009C7085">
        <w:rPr>
          <w:rFonts w:ascii="Times New Roman" w:hAnsi="Times New Roman"/>
          <w:sz w:val="24"/>
          <w:szCs w:val="24"/>
        </w:rPr>
        <w:t>Per</w:t>
      </w:r>
      <w:r w:rsidR="00B73355">
        <w:rPr>
          <w:rFonts w:ascii="Times New Roman" w:hAnsi="Times New Roman"/>
          <w:sz w:val="24"/>
          <w:szCs w:val="24"/>
        </w:rPr>
        <w:t>c</w:t>
      </w:r>
      <w:r w:rsidR="009C7085">
        <w:rPr>
          <w:rFonts w:ascii="Times New Roman" w:hAnsi="Times New Roman"/>
          <w:sz w:val="24"/>
          <w:szCs w:val="24"/>
        </w:rPr>
        <w:t>eption de l’e</w:t>
      </w:r>
      <w:r w:rsidR="009C7085" w:rsidRPr="00F05A20">
        <w:rPr>
          <w:rFonts w:ascii="Times New Roman" w:hAnsi="Times New Roman"/>
          <w:sz w:val="24"/>
          <w:szCs w:val="24"/>
        </w:rPr>
        <w:t>fficacité</w:t>
      </w:r>
      <w:r w:rsidR="009C7085">
        <w:rPr>
          <w:rFonts w:ascii="Times New Roman" w:hAnsi="Times New Roman"/>
          <w:sz w:val="24"/>
          <w:szCs w:val="24"/>
        </w:rPr>
        <w:t xml:space="preserve"> dans la mise en </w:t>
      </w:r>
      <w:r w:rsidR="00EC17E3">
        <w:rPr>
          <w:rFonts w:ascii="Times New Roman" w:hAnsi="Times New Roman"/>
          <w:sz w:val="24"/>
          <w:szCs w:val="24"/>
        </w:rPr>
        <w:t xml:space="preserve">œuvre </w:t>
      </w:r>
      <w:r w:rsidRPr="007A4C3E">
        <w:rPr>
          <w:rFonts w:ascii="Times New Roman" w:hAnsi="Times New Roman"/>
          <w:sz w:val="24"/>
          <w:szCs w:val="24"/>
        </w:rPr>
        <w:t>des mesures législatives dans le cadre de la mise en œuvre des objectifs nationaux</w:t>
      </w:r>
      <w:bookmarkEnd w:id="30"/>
    </w:p>
    <w:p w14:paraId="14394207" w14:textId="3EDE2D02" w:rsidR="00161E46" w:rsidRPr="00E056B1" w:rsidRDefault="00302036" w:rsidP="00E056B1">
      <w:p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b/>
          <w:iCs/>
          <w:sz w:val="24"/>
          <w:szCs w:val="24"/>
          <w:u w:val="single"/>
        </w:rPr>
        <w:t>Pour les mesures institutionnelles</w:t>
      </w:r>
      <w:r w:rsidR="00B73355">
        <w:rPr>
          <w:rFonts w:ascii="Times New Roman" w:hAnsi="Times New Roman" w:cs="Times New Roman"/>
          <w:iCs/>
          <w:sz w:val="24"/>
          <w:szCs w:val="24"/>
        </w:rPr>
        <w:t xml:space="preserve"> </w:t>
      </w:r>
      <w:r w:rsidRPr="00E056B1">
        <w:rPr>
          <w:rFonts w:ascii="Times New Roman" w:hAnsi="Times New Roman" w:cs="Times New Roman"/>
          <w:iCs/>
          <w:sz w:val="24"/>
          <w:szCs w:val="24"/>
        </w:rPr>
        <w:t>prises</w:t>
      </w:r>
      <w:r w:rsidR="00B73355">
        <w:rPr>
          <w:rFonts w:ascii="Times New Roman" w:hAnsi="Times New Roman" w:cs="Times New Roman"/>
          <w:iCs/>
          <w:sz w:val="24"/>
          <w:szCs w:val="24"/>
        </w:rPr>
        <w:t>,</w:t>
      </w:r>
      <w:r w:rsidRPr="00E056B1">
        <w:rPr>
          <w:rFonts w:ascii="Times New Roman" w:hAnsi="Times New Roman" w:cs="Times New Roman"/>
          <w:iCs/>
          <w:sz w:val="24"/>
          <w:szCs w:val="24"/>
        </w:rPr>
        <w:t xml:space="preserve"> </w:t>
      </w:r>
      <w:r w:rsidR="00161E46" w:rsidRPr="00E056B1">
        <w:rPr>
          <w:rFonts w:ascii="Times New Roman" w:hAnsi="Times New Roman" w:cs="Times New Roman"/>
          <w:iCs/>
          <w:sz w:val="24"/>
          <w:szCs w:val="24"/>
          <w:lang w:val="fr-CA"/>
        </w:rPr>
        <w:t>l’application de la stratégie et plan d’action national pour la diversité biologique, seulement 18% des acteurs pensent que ces mesures sont efficaces</w:t>
      </w:r>
      <w:r w:rsidR="00F21651" w:rsidRPr="00E056B1">
        <w:rPr>
          <w:rFonts w:ascii="Times New Roman" w:hAnsi="Times New Roman" w:cs="Times New Roman"/>
          <w:iCs/>
          <w:sz w:val="24"/>
          <w:szCs w:val="24"/>
          <w:lang w:val="fr-CA"/>
        </w:rPr>
        <w:t xml:space="preserve"> (Figure 7)</w:t>
      </w:r>
      <w:r w:rsidR="00161E46" w:rsidRPr="00E056B1">
        <w:rPr>
          <w:rFonts w:ascii="Times New Roman" w:hAnsi="Times New Roman" w:cs="Times New Roman"/>
          <w:iCs/>
          <w:sz w:val="24"/>
          <w:szCs w:val="24"/>
          <w:lang w:val="fr-CA"/>
        </w:rPr>
        <w:t>. Ils argument</w:t>
      </w:r>
      <w:r w:rsidR="00331248">
        <w:rPr>
          <w:rFonts w:ascii="Times New Roman" w:hAnsi="Times New Roman" w:cs="Times New Roman"/>
          <w:iCs/>
          <w:sz w:val="24"/>
          <w:szCs w:val="24"/>
          <w:lang w:val="fr-CA"/>
        </w:rPr>
        <w:t>ent</w:t>
      </w:r>
      <w:r w:rsidR="00161E46" w:rsidRPr="00E056B1">
        <w:rPr>
          <w:rFonts w:ascii="Times New Roman" w:hAnsi="Times New Roman" w:cs="Times New Roman"/>
          <w:iCs/>
          <w:sz w:val="24"/>
          <w:szCs w:val="24"/>
          <w:lang w:val="fr-CA"/>
        </w:rPr>
        <w:t xml:space="preserve"> cette appréciation par l</w:t>
      </w:r>
      <w:r w:rsidR="00161E46" w:rsidRPr="00E056B1">
        <w:rPr>
          <w:rFonts w:ascii="Times New Roman" w:hAnsi="Times New Roman" w:cs="Times New Roman"/>
          <w:sz w:val="24"/>
          <w:szCs w:val="24"/>
        </w:rPr>
        <w:t xml:space="preserve">a </w:t>
      </w:r>
      <w:r w:rsidR="00EC17E3" w:rsidRPr="00E056B1">
        <w:rPr>
          <w:rFonts w:ascii="Times New Roman" w:hAnsi="Times New Roman" w:cs="Times New Roman"/>
          <w:sz w:val="24"/>
          <w:szCs w:val="24"/>
        </w:rPr>
        <w:t>présence</w:t>
      </w:r>
      <w:r w:rsidR="00161E46" w:rsidRPr="00E056B1">
        <w:rPr>
          <w:rFonts w:ascii="Times New Roman" w:hAnsi="Times New Roman" w:cs="Times New Roman"/>
          <w:sz w:val="24"/>
          <w:szCs w:val="24"/>
        </w:rPr>
        <w:t xml:space="preserve"> des services déconcentrés du MERF</w:t>
      </w:r>
      <w:r w:rsidR="00161E46" w:rsidRPr="00E056B1">
        <w:rPr>
          <w:rFonts w:ascii="Times New Roman" w:hAnsi="Times New Roman" w:cs="Times New Roman"/>
          <w:iCs/>
          <w:sz w:val="24"/>
          <w:szCs w:val="24"/>
          <w:lang w:val="fr-CA"/>
        </w:rPr>
        <w:t xml:space="preserve"> sur l’ensemble du territoire et la mise en place d’institution autonome comme</w:t>
      </w:r>
      <w:r w:rsidR="000B16F2">
        <w:rPr>
          <w:rFonts w:ascii="Times New Roman" w:hAnsi="Times New Roman" w:cs="Times New Roman"/>
          <w:iCs/>
          <w:sz w:val="24"/>
          <w:szCs w:val="24"/>
          <w:lang w:val="fr-CA"/>
        </w:rPr>
        <w:t xml:space="preserve"> </w:t>
      </w:r>
      <w:r w:rsidR="000E3204" w:rsidRPr="00E056B1">
        <w:rPr>
          <w:rFonts w:ascii="Times New Roman" w:eastAsia="Calibri" w:hAnsi="Times New Roman" w:cs="Times New Roman"/>
          <w:sz w:val="24"/>
          <w:szCs w:val="24"/>
        </w:rPr>
        <w:t xml:space="preserve">l’Agence Nationale </w:t>
      </w:r>
      <w:r w:rsidR="00B73355">
        <w:rPr>
          <w:rFonts w:ascii="Times New Roman" w:eastAsia="Calibri" w:hAnsi="Times New Roman" w:cs="Times New Roman"/>
          <w:sz w:val="24"/>
          <w:szCs w:val="24"/>
        </w:rPr>
        <w:t xml:space="preserve">de </w:t>
      </w:r>
      <w:r w:rsidR="000E3204" w:rsidRPr="00E056B1">
        <w:rPr>
          <w:rFonts w:ascii="Times New Roman" w:eastAsia="Calibri" w:hAnsi="Times New Roman" w:cs="Times New Roman"/>
          <w:sz w:val="24"/>
          <w:szCs w:val="24"/>
        </w:rPr>
        <w:t>Gestion de l’Environnement</w:t>
      </w:r>
      <w:r w:rsidR="00B73355">
        <w:rPr>
          <w:rFonts w:ascii="Times New Roman" w:eastAsia="Calibri" w:hAnsi="Times New Roman" w:cs="Times New Roman"/>
          <w:sz w:val="24"/>
          <w:szCs w:val="24"/>
        </w:rPr>
        <w:t xml:space="preserve"> ANGE.</w:t>
      </w:r>
      <w:r w:rsidR="000E3204" w:rsidRPr="00E056B1">
        <w:rPr>
          <w:rFonts w:ascii="Times New Roman" w:eastAsia="Calibri" w:hAnsi="Times New Roman" w:cs="Times New Roman"/>
          <w:sz w:val="24"/>
          <w:szCs w:val="24"/>
        </w:rPr>
        <w:t xml:space="preserve"> </w:t>
      </w:r>
    </w:p>
    <w:p w14:paraId="73A6D5F7" w14:textId="77777777" w:rsidR="00161E46" w:rsidRPr="00E056B1" w:rsidRDefault="00161E46" w:rsidP="00E056B1">
      <w:pPr>
        <w:spacing w:after="0" w:line="240" w:lineRule="auto"/>
        <w:jc w:val="both"/>
        <w:rPr>
          <w:rFonts w:ascii="Times New Roman" w:hAnsi="Times New Roman" w:cs="Times New Roman"/>
          <w:i/>
          <w:iCs/>
          <w:sz w:val="24"/>
          <w:szCs w:val="24"/>
          <w:highlight w:val="yellow"/>
          <w:lang w:val="fr-CA"/>
        </w:rPr>
      </w:pPr>
    </w:p>
    <w:p w14:paraId="626B533F" w14:textId="4F095FEE" w:rsidR="00302036" w:rsidRPr="00E056B1" w:rsidRDefault="00161E46" w:rsidP="00E056B1">
      <w:pPr>
        <w:spacing w:after="0" w:line="240" w:lineRule="auto"/>
        <w:jc w:val="both"/>
        <w:rPr>
          <w:rFonts w:ascii="Times New Roman" w:hAnsi="Times New Roman" w:cs="Times New Roman"/>
          <w:iCs/>
          <w:sz w:val="24"/>
          <w:szCs w:val="24"/>
          <w:lang w:val="fr-CA"/>
        </w:rPr>
      </w:pPr>
      <w:r w:rsidRPr="00E056B1">
        <w:rPr>
          <w:rFonts w:ascii="Times New Roman" w:hAnsi="Times New Roman" w:cs="Times New Roman"/>
          <w:iCs/>
          <w:sz w:val="24"/>
          <w:szCs w:val="24"/>
          <w:lang w:val="fr-CA"/>
        </w:rPr>
        <w:t xml:space="preserve">Respectivement 45 % et 32 % jugent ces mesures en partie efficaces et </w:t>
      </w:r>
      <w:r w:rsidR="00EC17E3" w:rsidRPr="00E056B1">
        <w:rPr>
          <w:rFonts w:ascii="Times New Roman" w:hAnsi="Times New Roman" w:cs="Times New Roman"/>
          <w:iCs/>
          <w:sz w:val="24"/>
          <w:szCs w:val="24"/>
          <w:lang w:val="fr-CA"/>
        </w:rPr>
        <w:t>inefficaces</w:t>
      </w:r>
      <w:r w:rsidRPr="00E056B1">
        <w:rPr>
          <w:rFonts w:ascii="Times New Roman" w:hAnsi="Times New Roman" w:cs="Times New Roman"/>
          <w:iCs/>
          <w:sz w:val="24"/>
          <w:szCs w:val="24"/>
          <w:lang w:val="fr-CA"/>
        </w:rPr>
        <w:t xml:space="preserve">. Ces derniers </w:t>
      </w:r>
      <w:r w:rsidRPr="00E056B1">
        <w:rPr>
          <w:rFonts w:ascii="Times New Roman" w:eastAsia="Calibri" w:hAnsi="Times New Roman" w:cs="Times New Roman"/>
          <w:sz w:val="24"/>
          <w:szCs w:val="24"/>
        </w:rPr>
        <w:t>pensent que la question environnementale n’est pas suffisamment prise en compte par les autres ministères dans leurs actions et c’est seulement le MERF qui s’en charge. Ils</w:t>
      </w:r>
      <w:r w:rsidRPr="00E056B1">
        <w:rPr>
          <w:rFonts w:ascii="Times New Roman" w:hAnsi="Times New Roman" w:cs="Times New Roman"/>
          <w:iCs/>
          <w:sz w:val="24"/>
          <w:szCs w:val="24"/>
          <w:lang w:val="fr-CA"/>
        </w:rPr>
        <w:t xml:space="preserve"> évoquent la f</w:t>
      </w:r>
      <w:r w:rsidRPr="00E056B1">
        <w:rPr>
          <w:rFonts w:ascii="Times New Roman" w:eastAsia="Calibri" w:hAnsi="Times New Roman" w:cs="Times New Roman"/>
          <w:sz w:val="24"/>
          <w:szCs w:val="24"/>
        </w:rPr>
        <w:t>aible implication des collectivités et OSC et le manque de cadre de concertation.</w:t>
      </w:r>
    </w:p>
    <w:p w14:paraId="4A659517" w14:textId="77777777" w:rsidR="00161E46" w:rsidRPr="00E056B1" w:rsidRDefault="00161E46" w:rsidP="00E056B1">
      <w:pPr>
        <w:spacing w:after="0" w:line="240" w:lineRule="auto"/>
        <w:jc w:val="both"/>
        <w:rPr>
          <w:rFonts w:ascii="Times New Roman" w:hAnsi="Times New Roman" w:cs="Times New Roman"/>
          <w:i/>
          <w:iCs/>
          <w:highlight w:val="yellow"/>
          <w:lang w:val="fr-CA"/>
        </w:rPr>
      </w:pPr>
    </w:p>
    <w:p w14:paraId="36158134" w14:textId="77777777" w:rsidR="00161E46" w:rsidRDefault="00161E46" w:rsidP="00E056B1">
      <w:pPr>
        <w:spacing w:after="0" w:line="240" w:lineRule="auto"/>
        <w:jc w:val="both"/>
        <w:rPr>
          <w:rFonts w:ascii="Times New Roman" w:hAnsi="Times New Roman" w:cs="Times New Roman"/>
          <w:iCs/>
          <w:highlight w:val="yellow"/>
        </w:rPr>
      </w:pPr>
      <w:r w:rsidRPr="00E056B1">
        <w:rPr>
          <w:rFonts w:ascii="Times New Roman" w:hAnsi="Times New Roman" w:cs="Times New Roman"/>
          <w:iCs/>
          <w:noProof/>
          <w:lang w:eastAsia="fr-FR"/>
        </w:rPr>
        <w:drawing>
          <wp:inline distT="0" distB="0" distL="0" distR="0" wp14:anchorId="0AFB8847" wp14:editId="6EA7CACE">
            <wp:extent cx="3838575" cy="2352675"/>
            <wp:effectExtent l="0" t="0" r="9525" b="9525"/>
            <wp:docPr id="24" name="Graphique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2F58AC0" w14:textId="77777777" w:rsidR="00B73355" w:rsidRPr="00E056B1" w:rsidRDefault="00B73355" w:rsidP="00E056B1">
      <w:pPr>
        <w:spacing w:after="0" w:line="240" w:lineRule="auto"/>
        <w:jc w:val="both"/>
        <w:rPr>
          <w:rFonts w:ascii="Times New Roman" w:hAnsi="Times New Roman" w:cs="Times New Roman"/>
          <w:iCs/>
          <w:highlight w:val="yellow"/>
        </w:rPr>
      </w:pPr>
    </w:p>
    <w:p w14:paraId="720A664E" w14:textId="77777777" w:rsidR="00161E46" w:rsidRPr="00E056B1" w:rsidRDefault="00161E46" w:rsidP="00E056B1">
      <w:pPr>
        <w:spacing w:after="0" w:line="240" w:lineRule="auto"/>
        <w:jc w:val="both"/>
        <w:rPr>
          <w:rFonts w:ascii="Times New Roman" w:hAnsi="Times New Roman" w:cs="Times New Roman"/>
          <w:iCs/>
          <w:highlight w:val="yellow"/>
        </w:rPr>
      </w:pPr>
    </w:p>
    <w:p w14:paraId="1403A3F1" w14:textId="2AE38A3B" w:rsidR="000E3204" w:rsidRDefault="00542A1C" w:rsidP="009964BD">
      <w:pPr>
        <w:pStyle w:val="Lgende"/>
        <w:spacing w:after="0"/>
        <w:rPr>
          <w:rFonts w:ascii="Times New Roman" w:hAnsi="Times New Roman"/>
          <w:sz w:val="24"/>
          <w:szCs w:val="24"/>
        </w:rPr>
      </w:pPr>
      <w:bookmarkStart w:id="31" w:name="_Toc533413495"/>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7</w:t>
      </w:r>
      <w:r w:rsidR="00620BEA" w:rsidRPr="00542A1C">
        <w:rPr>
          <w:rFonts w:ascii="Times New Roman" w:hAnsi="Times New Roman"/>
          <w:sz w:val="24"/>
          <w:szCs w:val="24"/>
        </w:rPr>
        <w:fldChar w:fldCharType="end"/>
      </w:r>
      <w:r w:rsidRPr="00542A1C">
        <w:rPr>
          <w:rFonts w:ascii="Times New Roman" w:hAnsi="Times New Roman"/>
          <w:sz w:val="24"/>
          <w:szCs w:val="24"/>
        </w:rPr>
        <w:t xml:space="preserve">: </w:t>
      </w:r>
      <w:r w:rsidR="00BB1960">
        <w:rPr>
          <w:rFonts w:ascii="Times New Roman" w:hAnsi="Times New Roman"/>
          <w:sz w:val="24"/>
          <w:szCs w:val="24"/>
        </w:rPr>
        <w:t>Perc</w:t>
      </w:r>
      <w:r w:rsidR="009C7085">
        <w:rPr>
          <w:rFonts w:ascii="Times New Roman" w:hAnsi="Times New Roman"/>
          <w:sz w:val="24"/>
          <w:szCs w:val="24"/>
        </w:rPr>
        <w:t>eption de l’e</w:t>
      </w:r>
      <w:r w:rsidR="009C7085" w:rsidRPr="00F05A20">
        <w:rPr>
          <w:rFonts w:ascii="Times New Roman" w:hAnsi="Times New Roman"/>
          <w:sz w:val="24"/>
          <w:szCs w:val="24"/>
        </w:rPr>
        <w:t>fficacité</w:t>
      </w:r>
      <w:r w:rsidR="009C7085">
        <w:rPr>
          <w:rFonts w:ascii="Times New Roman" w:hAnsi="Times New Roman"/>
          <w:sz w:val="24"/>
          <w:szCs w:val="24"/>
        </w:rPr>
        <w:t xml:space="preserve"> dans la mise en </w:t>
      </w:r>
      <w:r w:rsidR="00BB1960">
        <w:rPr>
          <w:rFonts w:ascii="Times New Roman" w:hAnsi="Times New Roman"/>
          <w:sz w:val="24"/>
          <w:szCs w:val="24"/>
        </w:rPr>
        <w:t xml:space="preserve">œuvre </w:t>
      </w:r>
      <w:r w:rsidRPr="00542A1C">
        <w:rPr>
          <w:rFonts w:ascii="Times New Roman" w:hAnsi="Times New Roman"/>
          <w:sz w:val="24"/>
          <w:szCs w:val="24"/>
        </w:rPr>
        <w:t xml:space="preserve">des mesures institutionnelles </w:t>
      </w:r>
      <w:r w:rsidRPr="009964BD">
        <w:rPr>
          <w:rFonts w:ascii="Times New Roman" w:hAnsi="Times New Roman"/>
          <w:sz w:val="24"/>
          <w:szCs w:val="24"/>
        </w:rPr>
        <w:t>dans le cadre de la mise en œuvre des objectifs nationaux</w:t>
      </w:r>
      <w:bookmarkEnd w:id="31"/>
    </w:p>
    <w:p w14:paraId="49B24E30" w14:textId="77777777" w:rsidR="00B73355" w:rsidRPr="00B50FE0" w:rsidRDefault="00B73355" w:rsidP="00B50FE0"/>
    <w:p w14:paraId="6AB513B7" w14:textId="67F40F48" w:rsidR="00F60F3D" w:rsidRPr="00E056B1" w:rsidRDefault="00D20670" w:rsidP="009964BD">
      <w:pPr>
        <w:spacing w:after="0" w:line="240" w:lineRule="auto"/>
        <w:jc w:val="both"/>
        <w:rPr>
          <w:rFonts w:ascii="Times New Roman" w:hAnsi="Times New Roman" w:cs="Times New Roman"/>
          <w:iCs/>
          <w:sz w:val="24"/>
          <w:szCs w:val="24"/>
        </w:rPr>
      </w:pPr>
      <w:r w:rsidRPr="009964BD">
        <w:rPr>
          <w:rFonts w:ascii="Times New Roman" w:hAnsi="Times New Roman" w:cs="Times New Roman"/>
          <w:b/>
          <w:iCs/>
          <w:sz w:val="24"/>
          <w:szCs w:val="24"/>
          <w:u w:val="single"/>
        </w:rPr>
        <w:t>En matière de mesures financières pour mettre en œuvre la SPANB</w:t>
      </w:r>
      <w:r w:rsidRPr="009964BD">
        <w:rPr>
          <w:rFonts w:ascii="Times New Roman" w:hAnsi="Times New Roman" w:cs="Times New Roman"/>
          <w:iCs/>
          <w:sz w:val="24"/>
          <w:szCs w:val="24"/>
        </w:rPr>
        <w:t>, 13% des acteurs jugent</w:t>
      </w:r>
      <w:r w:rsidRPr="00E056B1">
        <w:rPr>
          <w:rFonts w:ascii="Times New Roman" w:hAnsi="Times New Roman" w:cs="Times New Roman"/>
          <w:iCs/>
          <w:sz w:val="24"/>
          <w:szCs w:val="24"/>
        </w:rPr>
        <w:t xml:space="preserve"> les mesures</w:t>
      </w:r>
      <w:r w:rsidR="00AD4D09">
        <w:rPr>
          <w:rFonts w:ascii="Times New Roman" w:hAnsi="Times New Roman" w:cs="Times New Roman"/>
          <w:iCs/>
          <w:sz w:val="24"/>
          <w:szCs w:val="24"/>
        </w:rPr>
        <w:t xml:space="preserve"> </w:t>
      </w:r>
      <w:r w:rsidRPr="00E056B1">
        <w:rPr>
          <w:rFonts w:ascii="Times New Roman" w:hAnsi="Times New Roman" w:cs="Times New Roman"/>
          <w:iCs/>
          <w:sz w:val="24"/>
          <w:szCs w:val="24"/>
        </w:rPr>
        <w:t xml:space="preserve">prévues efficaces si </w:t>
      </w:r>
      <w:r w:rsidRPr="00E056B1">
        <w:rPr>
          <w:rFonts w:ascii="Times New Roman" w:eastAsia="Calibri" w:hAnsi="Times New Roman" w:cs="Times New Roman"/>
          <w:sz w:val="24"/>
          <w:szCs w:val="24"/>
        </w:rPr>
        <w:t>on parvient à mobiliser tout le financement prévu par la convention</w:t>
      </w:r>
      <w:r w:rsidR="00F21651" w:rsidRPr="00E056B1">
        <w:rPr>
          <w:rFonts w:ascii="Times New Roman" w:eastAsia="Calibri" w:hAnsi="Times New Roman" w:cs="Times New Roman"/>
          <w:sz w:val="24"/>
          <w:szCs w:val="24"/>
        </w:rPr>
        <w:t xml:space="preserve"> (Figure 8)</w:t>
      </w:r>
      <w:r w:rsidRPr="00E056B1">
        <w:rPr>
          <w:rFonts w:ascii="Times New Roman" w:eastAsia="Calibri" w:hAnsi="Times New Roman" w:cs="Times New Roman"/>
          <w:sz w:val="24"/>
          <w:szCs w:val="24"/>
        </w:rPr>
        <w:t>. Ces acteurs pensent que la mise en place du fonds national pour l’environnement e</w:t>
      </w:r>
      <w:r w:rsidR="00F21651" w:rsidRPr="00E056B1">
        <w:rPr>
          <w:rFonts w:ascii="Times New Roman" w:eastAsia="Calibri" w:hAnsi="Times New Roman" w:cs="Times New Roman"/>
          <w:sz w:val="24"/>
          <w:szCs w:val="24"/>
        </w:rPr>
        <w:t>st un atout majeur.</w:t>
      </w:r>
      <w:r w:rsidR="00767221">
        <w:rPr>
          <w:rFonts w:ascii="Times New Roman" w:eastAsia="Calibri" w:hAnsi="Times New Roman" w:cs="Times New Roman"/>
          <w:sz w:val="24"/>
          <w:szCs w:val="24"/>
        </w:rPr>
        <w:t xml:space="preserve"> Il est à relever que </w:t>
      </w:r>
      <w:r w:rsidR="00767221" w:rsidRPr="00767221">
        <w:rPr>
          <w:rFonts w:ascii="Times New Roman" w:eastAsia="Calibri" w:hAnsi="Times New Roman" w:cs="Times New Roman"/>
          <w:sz w:val="24"/>
          <w:szCs w:val="24"/>
        </w:rPr>
        <w:t>l’opérationnalisation</w:t>
      </w:r>
      <w:r w:rsidR="00767221">
        <w:rPr>
          <w:rFonts w:ascii="Times New Roman" w:eastAsia="Calibri" w:hAnsi="Times New Roman" w:cs="Times New Roman"/>
          <w:sz w:val="24"/>
          <w:szCs w:val="24"/>
        </w:rPr>
        <w:t xml:space="preserve"> de c</w:t>
      </w:r>
      <w:r w:rsidR="00767221" w:rsidRPr="00767221">
        <w:rPr>
          <w:rFonts w:ascii="Times New Roman" w:eastAsia="Calibri" w:hAnsi="Times New Roman" w:cs="Times New Roman"/>
          <w:sz w:val="24"/>
          <w:szCs w:val="24"/>
        </w:rPr>
        <w:t>es mécanismes de mobilisation de ressources financières pour une gestion dur</w:t>
      </w:r>
      <w:r w:rsidR="00767221">
        <w:rPr>
          <w:rFonts w:ascii="Times New Roman" w:eastAsia="Calibri" w:hAnsi="Times New Roman" w:cs="Times New Roman"/>
          <w:sz w:val="24"/>
          <w:szCs w:val="24"/>
        </w:rPr>
        <w:t xml:space="preserve">able </w:t>
      </w:r>
      <w:r w:rsidR="008070E2">
        <w:rPr>
          <w:rFonts w:ascii="Times New Roman" w:eastAsia="Calibri" w:hAnsi="Times New Roman" w:cs="Times New Roman"/>
          <w:sz w:val="24"/>
          <w:szCs w:val="24"/>
        </w:rPr>
        <w:t>de la biodiversité</w:t>
      </w:r>
      <w:r w:rsidR="008070E2" w:rsidRPr="00767221">
        <w:rPr>
          <w:rFonts w:ascii="Times New Roman" w:eastAsia="Calibri" w:hAnsi="Times New Roman" w:cs="Times New Roman"/>
          <w:sz w:val="24"/>
          <w:szCs w:val="24"/>
        </w:rPr>
        <w:t xml:space="preserve"> instituée</w:t>
      </w:r>
      <w:r w:rsidR="00767221" w:rsidRPr="00767221">
        <w:rPr>
          <w:rFonts w:ascii="Times New Roman" w:eastAsia="Calibri" w:hAnsi="Times New Roman" w:cs="Times New Roman"/>
          <w:sz w:val="24"/>
          <w:szCs w:val="24"/>
        </w:rPr>
        <w:t xml:space="preserve"> à travers la loi-cadre sur l’env</w:t>
      </w:r>
      <w:r w:rsidR="00767221">
        <w:rPr>
          <w:rFonts w:ascii="Times New Roman" w:eastAsia="Calibri" w:hAnsi="Times New Roman" w:cs="Times New Roman"/>
          <w:sz w:val="24"/>
          <w:szCs w:val="24"/>
        </w:rPr>
        <w:t>ironnement notamment le FNE</w:t>
      </w:r>
      <w:r w:rsidR="00767221" w:rsidRPr="00767221">
        <w:rPr>
          <w:rFonts w:ascii="Times New Roman" w:eastAsia="Calibri" w:hAnsi="Times New Roman" w:cs="Times New Roman"/>
          <w:sz w:val="24"/>
          <w:szCs w:val="24"/>
        </w:rPr>
        <w:t xml:space="preserve"> tarde à démarrer.</w:t>
      </w:r>
      <w:r w:rsidR="00AD4D09">
        <w:rPr>
          <w:rFonts w:ascii="Times New Roman" w:eastAsia="Calibri" w:hAnsi="Times New Roman" w:cs="Times New Roman"/>
          <w:sz w:val="24"/>
          <w:szCs w:val="24"/>
        </w:rPr>
        <w:t xml:space="preserve"> </w:t>
      </w:r>
      <w:r w:rsidR="00F60F3D" w:rsidRPr="00E056B1">
        <w:rPr>
          <w:rFonts w:ascii="Times New Roman" w:eastAsia="Calibri" w:hAnsi="Times New Roman" w:cs="Times New Roman"/>
          <w:sz w:val="24"/>
          <w:szCs w:val="24"/>
        </w:rPr>
        <w:t>Par contre les acteurs jugent les mesures financières adoptées en partie efficace (44 %) ou inefficace (37 %). Ces derniers indiquent que c</w:t>
      </w:r>
      <w:r w:rsidR="00F60F3D" w:rsidRPr="00E056B1">
        <w:rPr>
          <w:rFonts w:ascii="Times New Roman" w:eastAsia="Times New Roman" w:hAnsi="Times New Roman" w:cs="Times New Roman"/>
          <w:sz w:val="24"/>
          <w:szCs w:val="24"/>
          <w:lang w:eastAsia="fr-FR"/>
        </w:rPr>
        <w:t xml:space="preserve">es mesures financières sont insuffisantes. Les services déconcentrés </w:t>
      </w:r>
      <w:r w:rsidR="00F60F3D" w:rsidRPr="00E056B1">
        <w:rPr>
          <w:rFonts w:ascii="Times New Roman" w:hAnsi="Times New Roman" w:cs="Times New Roman"/>
          <w:sz w:val="24"/>
          <w:szCs w:val="24"/>
        </w:rPr>
        <w:t>évoquent l’absence de budget de fonctionnement.</w:t>
      </w:r>
    </w:p>
    <w:p w14:paraId="3FC2320A" w14:textId="133CB229" w:rsidR="009964BD" w:rsidRPr="006D0410" w:rsidRDefault="006D0410" w:rsidP="006D0410">
      <w:pPr>
        <w:spacing w:after="0" w:line="276" w:lineRule="auto"/>
        <w:jc w:val="both"/>
        <w:rPr>
          <w:rFonts w:ascii="Times New Roman" w:eastAsia="Times New Roman" w:hAnsi="Times New Roman" w:cs="Times New Roman"/>
          <w:sz w:val="24"/>
          <w:szCs w:val="24"/>
          <w:lang w:eastAsia="fr-FR"/>
        </w:rPr>
      </w:pPr>
      <w:r>
        <w:rPr>
          <w:rFonts w:ascii="Times New Roman" w:hAnsi="Times New Roman" w:cs="Times New Roman"/>
          <w:sz w:val="24"/>
          <w:szCs w:val="24"/>
        </w:rPr>
        <w:t xml:space="preserve">Par ailleurs, le Togo a lancé depuis 2018 le </w:t>
      </w:r>
      <w:r w:rsidR="009964BD" w:rsidRPr="006D0410">
        <w:rPr>
          <w:rFonts w:ascii="Times New Roman" w:hAnsi="Times New Roman" w:cs="Times New Roman"/>
          <w:sz w:val="24"/>
          <w:szCs w:val="24"/>
        </w:rPr>
        <w:t xml:space="preserve">Mécanisme Incitatif de Financement Agricole (MIFA) </w:t>
      </w:r>
      <w:r>
        <w:rPr>
          <w:color w:val="000000"/>
        </w:rPr>
        <w:t xml:space="preserve">afin de répondre aux problèmes de financements des acteurs du monde agricole togolais. Ce mécanisme </w:t>
      </w:r>
      <w:r w:rsidR="009964BD" w:rsidRPr="006D0410">
        <w:rPr>
          <w:rFonts w:ascii="Times New Roman" w:eastAsia="Times New Roman" w:hAnsi="Times New Roman" w:cs="Times New Roman"/>
          <w:sz w:val="24"/>
          <w:szCs w:val="24"/>
          <w:lang w:eastAsia="fr-FR"/>
        </w:rPr>
        <w:t>innovant a principalement pour missions,</w:t>
      </w:r>
      <w:r w:rsidR="00BB1960">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l’élaboration des politiques adaptées au secteur agricole,</w:t>
      </w:r>
      <w:r w:rsidR="00BB1960">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l’application des outils de gestion des risques visant à</w:t>
      </w:r>
      <w:r w:rsidR="0015597D">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attirer les compétences et acteurs clés par le biais</w:t>
      </w:r>
      <w:r w:rsidR="0015597D">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d’incitatifs, puis la consolidation des maillons des</w:t>
      </w:r>
      <w:r w:rsidR="0015597D">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différentes chaînes de valeur agricole.</w:t>
      </w:r>
      <w:r w:rsidR="0015597D">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Concrètement, le MIFA compte non seulement promouvoir les</w:t>
      </w:r>
      <w:r w:rsidR="0015597D">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produits financiers et assuranciels adaptés au secteur</w:t>
      </w:r>
      <w:r w:rsidR="0015597D">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agricole, mais aussi remédier à la fragmentation des chaînes</w:t>
      </w:r>
      <w:r w:rsidR="000B16F2">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de valeur agricole et faciliter le partage des risques entre</w:t>
      </w:r>
      <w:r w:rsidR="000B16F2">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les différents acteurs du secteur agricole. Le MIFA va donc permettre de créer les conditions optimales</w:t>
      </w:r>
      <w:r w:rsidR="000B16F2">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de mobilisation des financements privés, notamment bancaire,</w:t>
      </w:r>
      <w:r w:rsidR="00B50FE0">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pour accélérer le programme de transformation agricole du Togo</w:t>
      </w:r>
      <w:r w:rsidR="000B16F2">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(Agropoles) basé sur le développement des chaînes de valeur</w:t>
      </w:r>
      <w:r w:rsidR="000B16F2">
        <w:rPr>
          <w:rFonts w:ascii="Times New Roman" w:eastAsia="Times New Roman" w:hAnsi="Times New Roman" w:cs="Times New Roman"/>
          <w:sz w:val="24"/>
          <w:szCs w:val="24"/>
          <w:lang w:eastAsia="fr-FR"/>
        </w:rPr>
        <w:t xml:space="preserve"> </w:t>
      </w:r>
      <w:r w:rsidR="009964BD" w:rsidRPr="006D0410">
        <w:rPr>
          <w:rFonts w:ascii="Times New Roman" w:eastAsia="Times New Roman" w:hAnsi="Times New Roman" w:cs="Times New Roman"/>
          <w:sz w:val="24"/>
          <w:szCs w:val="24"/>
          <w:lang w:eastAsia="fr-FR"/>
        </w:rPr>
        <w:t>agricoles et agro-industrielles</w:t>
      </w:r>
      <w:r>
        <w:rPr>
          <w:rFonts w:ascii="Times New Roman" w:eastAsia="Times New Roman" w:hAnsi="Times New Roman" w:cs="Times New Roman"/>
          <w:sz w:val="24"/>
          <w:szCs w:val="24"/>
          <w:lang w:eastAsia="fr-FR"/>
        </w:rPr>
        <w:t>.</w:t>
      </w:r>
    </w:p>
    <w:p w14:paraId="18068C51" w14:textId="77777777" w:rsidR="00161E46" w:rsidRPr="00E056B1" w:rsidRDefault="00161E46" w:rsidP="00E056B1">
      <w:pPr>
        <w:spacing w:after="0" w:line="240" w:lineRule="auto"/>
        <w:jc w:val="both"/>
        <w:rPr>
          <w:rFonts w:ascii="Times New Roman" w:hAnsi="Times New Roman" w:cs="Times New Roman"/>
          <w:iCs/>
          <w:highlight w:val="yellow"/>
        </w:rPr>
      </w:pPr>
    </w:p>
    <w:p w14:paraId="4E41BB5E" w14:textId="77777777" w:rsidR="00D20670" w:rsidRPr="00E056B1" w:rsidRDefault="00D20670" w:rsidP="00F60F3D">
      <w:pPr>
        <w:spacing w:after="0" w:line="240" w:lineRule="auto"/>
        <w:jc w:val="center"/>
        <w:rPr>
          <w:rFonts w:ascii="Times New Roman" w:hAnsi="Times New Roman" w:cs="Times New Roman"/>
          <w:iCs/>
          <w:highlight w:val="yellow"/>
        </w:rPr>
      </w:pPr>
      <w:r w:rsidRPr="00E056B1">
        <w:rPr>
          <w:rFonts w:ascii="Times New Roman" w:hAnsi="Times New Roman" w:cs="Times New Roman"/>
          <w:iCs/>
          <w:noProof/>
          <w:lang w:eastAsia="fr-FR"/>
        </w:rPr>
        <w:drawing>
          <wp:inline distT="0" distB="0" distL="0" distR="0" wp14:anchorId="361C37D3" wp14:editId="73965E35">
            <wp:extent cx="4124325" cy="2247900"/>
            <wp:effectExtent l="19050" t="0" r="9525" b="0"/>
            <wp:docPr id="25"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ABDEAFA" w14:textId="77777777" w:rsidR="00D20670" w:rsidRPr="00E056B1" w:rsidRDefault="00D20670" w:rsidP="00F60F3D">
      <w:pPr>
        <w:spacing w:after="0" w:line="240" w:lineRule="auto"/>
        <w:jc w:val="center"/>
        <w:rPr>
          <w:rFonts w:ascii="Times New Roman" w:hAnsi="Times New Roman" w:cs="Times New Roman"/>
          <w:b/>
          <w:iCs/>
          <w:highlight w:val="yellow"/>
        </w:rPr>
      </w:pPr>
    </w:p>
    <w:p w14:paraId="72EC4CE3" w14:textId="11B3624B" w:rsidR="00542A1C" w:rsidRDefault="00542A1C" w:rsidP="00F60F3D">
      <w:pPr>
        <w:pStyle w:val="Lgende"/>
        <w:spacing w:after="0"/>
        <w:jc w:val="center"/>
        <w:rPr>
          <w:rFonts w:ascii="Times New Roman" w:hAnsi="Times New Roman"/>
          <w:sz w:val="24"/>
          <w:szCs w:val="24"/>
        </w:rPr>
      </w:pPr>
      <w:bookmarkStart w:id="32" w:name="_Toc533413496"/>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8</w:t>
      </w:r>
      <w:r w:rsidR="00620BEA" w:rsidRPr="00542A1C">
        <w:rPr>
          <w:rFonts w:ascii="Times New Roman" w:hAnsi="Times New Roman"/>
          <w:sz w:val="24"/>
          <w:szCs w:val="24"/>
        </w:rPr>
        <w:fldChar w:fldCharType="end"/>
      </w:r>
      <w:r w:rsidRPr="00542A1C">
        <w:rPr>
          <w:rFonts w:ascii="Times New Roman" w:hAnsi="Times New Roman"/>
          <w:sz w:val="24"/>
          <w:szCs w:val="24"/>
        </w:rPr>
        <w:t xml:space="preserve">: </w:t>
      </w:r>
      <w:r w:rsidR="009C7085">
        <w:rPr>
          <w:rFonts w:ascii="Times New Roman" w:hAnsi="Times New Roman"/>
          <w:sz w:val="24"/>
          <w:szCs w:val="24"/>
        </w:rPr>
        <w:t>Perseption de l’e</w:t>
      </w:r>
      <w:r w:rsidR="009C7085" w:rsidRPr="00F05A20">
        <w:rPr>
          <w:rFonts w:ascii="Times New Roman" w:hAnsi="Times New Roman"/>
          <w:sz w:val="24"/>
          <w:szCs w:val="24"/>
        </w:rPr>
        <w:t>fficacité</w:t>
      </w:r>
      <w:r w:rsidR="009C7085">
        <w:rPr>
          <w:rFonts w:ascii="Times New Roman" w:hAnsi="Times New Roman"/>
          <w:sz w:val="24"/>
          <w:szCs w:val="24"/>
        </w:rPr>
        <w:t xml:space="preserve"> dans la mise en oeuvre</w:t>
      </w:r>
      <w:r w:rsidRPr="00542A1C">
        <w:rPr>
          <w:rFonts w:ascii="Times New Roman" w:hAnsi="Times New Roman"/>
          <w:sz w:val="24"/>
          <w:szCs w:val="24"/>
        </w:rPr>
        <w:t xml:space="preserve"> des mesures financières dans le cadre de la mise en œuvre des objectifs nationaux</w:t>
      </w:r>
      <w:bookmarkEnd w:id="32"/>
    </w:p>
    <w:p w14:paraId="6E4E9906" w14:textId="77777777" w:rsidR="00542A1C" w:rsidRPr="006D0410" w:rsidRDefault="00542A1C" w:rsidP="009C7085">
      <w:pPr>
        <w:spacing w:after="0" w:line="240" w:lineRule="auto"/>
        <w:jc w:val="both"/>
        <w:rPr>
          <w:rFonts w:ascii="Times New Roman" w:hAnsi="Times New Roman" w:cs="Times New Roman"/>
          <w:iCs/>
          <w:sz w:val="24"/>
          <w:szCs w:val="24"/>
        </w:rPr>
      </w:pPr>
    </w:p>
    <w:p w14:paraId="58515F0F" w14:textId="37066918" w:rsidR="00D20670" w:rsidRPr="00E056B1" w:rsidRDefault="00D20670" w:rsidP="00E056B1">
      <w:pPr>
        <w:spacing w:after="0" w:line="240" w:lineRule="auto"/>
        <w:jc w:val="both"/>
        <w:rPr>
          <w:rFonts w:ascii="Times New Roman" w:eastAsia="Times New Roman" w:hAnsi="Times New Roman" w:cs="Times New Roman"/>
          <w:smallCaps/>
          <w:sz w:val="24"/>
          <w:szCs w:val="24"/>
          <w:lang w:eastAsia="fr-FR"/>
        </w:rPr>
      </w:pPr>
      <w:r w:rsidRPr="00E056B1">
        <w:rPr>
          <w:rFonts w:ascii="Times New Roman" w:hAnsi="Times New Roman" w:cs="Times New Roman"/>
          <w:b/>
          <w:iCs/>
          <w:sz w:val="24"/>
          <w:szCs w:val="24"/>
          <w:u w:val="single"/>
        </w:rPr>
        <w:t xml:space="preserve">En ce qui concerne les </w:t>
      </w:r>
      <w:r w:rsidRPr="00E056B1">
        <w:rPr>
          <w:rFonts w:ascii="Times New Roman" w:eastAsia="Calibri" w:hAnsi="Times New Roman" w:cs="Times New Roman"/>
          <w:b/>
          <w:sz w:val="24"/>
          <w:szCs w:val="24"/>
          <w:u w:val="single"/>
        </w:rPr>
        <w:t>stratégies</w:t>
      </w:r>
      <w:r w:rsidR="006D0410">
        <w:rPr>
          <w:rFonts w:ascii="Times New Roman" w:eastAsia="Calibri" w:hAnsi="Times New Roman" w:cs="Times New Roman"/>
          <w:b/>
          <w:sz w:val="24"/>
          <w:szCs w:val="24"/>
          <w:u w:val="single"/>
        </w:rPr>
        <w:t xml:space="preserve">, </w:t>
      </w:r>
      <w:r w:rsidRPr="00E056B1">
        <w:rPr>
          <w:rFonts w:ascii="Times New Roman" w:eastAsia="Calibri" w:hAnsi="Times New Roman" w:cs="Times New Roman"/>
          <w:b/>
          <w:sz w:val="24"/>
          <w:szCs w:val="24"/>
          <w:u w:val="single"/>
        </w:rPr>
        <w:t>plans</w:t>
      </w:r>
      <w:r w:rsidR="006D0410">
        <w:rPr>
          <w:rFonts w:ascii="Times New Roman" w:eastAsia="Calibri" w:hAnsi="Times New Roman" w:cs="Times New Roman"/>
          <w:b/>
          <w:sz w:val="24"/>
          <w:szCs w:val="24"/>
          <w:u w:val="single"/>
        </w:rPr>
        <w:t xml:space="preserve">, </w:t>
      </w:r>
      <w:r w:rsidRPr="00E056B1">
        <w:rPr>
          <w:rFonts w:ascii="Times New Roman" w:eastAsia="Calibri" w:hAnsi="Times New Roman" w:cs="Times New Roman"/>
          <w:b/>
          <w:sz w:val="24"/>
          <w:szCs w:val="24"/>
          <w:u w:val="single"/>
        </w:rPr>
        <w:t>programmes</w:t>
      </w:r>
      <w:r w:rsidR="006D0410">
        <w:rPr>
          <w:rFonts w:ascii="Times New Roman" w:eastAsia="Calibri" w:hAnsi="Times New Roman" w:cs="Times New Roman"/>
          <w:b/>
          <w:sz w:val="24"/>
          <w:szCs w:val="24"/>
          <w:u w:val="single"/>
        </w:rPr>
        <w:t xml:space="preserve">, </w:t>
      </w:r>
      <w:r w:rsidRPr="00E056B1">
        <w:rPr>
          <w:rFonts w:ascii="Times New Roman" w:eastAsia="Calibri" w:hAnsi="Times New Roman" w:cs="Times New Roman"/>
          <w:b/>
          <w:sz w:val="24"/>
          <w:szCs w:val="24"/>
          <w:u w:val="single"/>
        </w:rPr>
        <w:t>projets développés pour la mise en œuvre de la SPANB</w:t>
      </w:r>
      <w:r w:rsidRPr="00E056B1">
        <w:rPr>
          <w:rFonts w:ascii="Times New Roman" w:eastAsia="Calibri" w:hAnsi="Times New Roman" w:cs="Times New Roman"/>
          <w:b/>
          <w:sz w:val="24"/>
          <w:szCs w:val="24"/>
        </w:rPr>
        <w:t xml:space="preserve">, </w:t>
      </w:r>
      <w:r w:rsidR="0052419A" w:rsidRPr="00E056B1">
        <w:rPr>
          <w:rFonts w:ascii="Times New Roman" w:eastAsia="Calibri" w:hAnsi="Times New Roman" w:cs="Times New Roman"/>
          <w:sz w:val="24"/>
          <w:szCs w:val="24"/>
        </w:rPr>
        <w:t xml:space="preserve">les acteurs (31 %) estiment qu’ils sont efficaces. Les </w:t>
      </w:r>
      <w:r w:rsidR="00477654" w:rsidRPr="00E056B1">
        <w:rPr>
          <w:rFonts w:ascii="Times New Roman" w:eastAsia="Calibri" w:hAnsi="Times New Roman" w:cs="Times New Roman"/>
          <w:sz w:val="24"/>
          <w:szCs w:val="24"/>
        </w:rPr>
        <w:t xml:space="preserve">principaux </w:t>
      </w:r>
      <w:r w:rsidR="0052419A" w:rsidRPr="00E056B1">
        <w:rPr>
          <w:rFonts w:ascii="Times New Roman" w:eastAsia="Calibri" w:hAnsi="Times New Roman" w:cs="Times New Roman"/>
          <w:sz w:val="24"/>
          <w:szCs w:val="24"/>
        </w:rPr>
        <w:t xml:space="preserve">programmes/projets </w:t>
      </w:r>
      <w:r w:rsidR="00477654" w:rsidRPr="00E056B1">
        <w:rPr>
          <w:rFonts w:ascii="Times New Roman" w:eastAsia="Calibri" w:hAnsi="Times New Roman" w:cs="Times New Roman"/>
          <w:sz w:val="24"/>
          <w:szCs w:val="24"/>
        </w:rPr>
        <w:t xml:space="preserve">sont entre autres, </w:t>
      </w:r>
      <w:r w:rsidR="00477654" w:rsidRPr="00E056B1">
        <w:rPr>
          <w:rFonts w:ascii="Times New Roman" w:hAnsi="Times New Roman" w:cs="Times New Roman"/>
          <w:sz w:val="24"/>
          <w:szCs w:val="24"/>
        </w:rPr>
        <w:t>PGICT, REDD+</w:t>
      </w:r>
      <w:r w:rsidR="00477654" w:rsidRPr="00E056B1">
        <w:rPr>
          <w:rFonts w:ascii="Times New Roman" w:hAnsi="Times New Roman" w:cs="Times New Roman"/>
          <w:iCs/>
          <w:sz w:val="24"/>
          <w:szCs w:val="24"/>
        </w:rPr>
        <w:t xml:space="preserve">, </w:t>
      </w:r>
      <w:r w:rsidR="00477654" w:rsidRPr="00E056B1">
        <w:rPr>
          <w:rFonts w:ascii="Times New Roman" w:hAnsi="Times New Roman" w:cs="Times New Roman"/>
          <w:sz w:val="24"/>
          <w:szCs w:val="24"/>
        </w:rPr>
        <w:t>PRA</w:t>
      </w:r>
      <w:r w:rsidR="000E3204">
        <w:rPr>
          <w:rFonts w:ascii="Times New Roman" w:hAnsi="Times New Roman" w:cs="Times New Roman"/>
          <w:sz w:val="24"/>
          <w:szCs w:val="24"/>
        </w:rPr>
        <w:t>P</w:t>
      </w:r>
      <w:r w:rsidR="00477654" w:rsidRPr="00E056B1">
        <w:rPr>
          <w:rFonts w:ascii="Times New Roman" w:hAnsi="Times New Roman" w:cs="Times New Roman"/>
          <w:sz w:val="24"/>
          <w:szCs w:val="24"/>
        </w:rPr>
        <w:t xml:space="preserve">T, </w:t>
      </w:r>
      <w:r w:rsidR="00477654" w:rsidRPr="00E056B1">
        <w:rPr>
          <w:rFonts w:ascii="Times New Roman" w:eastAsia="Calibri" w:hAnsi="Times New Roman" w:cs="Times New Roman"/>
          <w:sz w:val="24"/>
          <w:szCs w:val="24"/>
        </w:rPr>
        <w:t>PNIERN</w:t>
      </w:r>
      <w:r w:rsidR="000E3204">
        <w:rPr>
          <w:rFonts w:ascii="Times New Roman" w:eastAsia="Calibri" w:hAnsi="Times New Roman" w:cs="Times New Roman"/>
          <w:sz w:val="24"/>
          <w:szCs w:val="24"/>
        </w:rPr>
        <w:t>/ CSIGERN</w:t>
      </w:r>
      <w:r w:rsidR="00477654" w:rsidRPr="00E056B1">
        <w:rPr>
          <w:rFonts w:ascii="Times New Roman" w:eastAsia="Calibri" w:hAnsi="Times New Roman" w:cs="Times New Roman"/>
          <w:sz w:val="24"/>
          <w:szCs w:val="24"/>
        </w:rPr>
        <w:t xml:space="preserve"> PROREDD, </w:t>
      </w:r>
      <w:r w:rsidR="000E3204">
        <w:rPr>
          <w:rFonts w:ascii="Times New Roman" w:eastAsia="Calibri" w:hAnsi="Times New Roman" w:cs="Times New Roman"/>
          <w:sz w:val="24"/>
          <w:szCs w:val="24"/>
        </w:rPr>
        <w:t>RBT</w:t>
      </w:r>
      <w:r w:rsidR="00477654" w:rsidRPr="00E056B1">
        <w:rPr>
          <w:rFonts w:ascii="Times New Roman" w:eastAsia="Calibri" w:hAnsi="Times New Roman" w:cs="Times New Roman"/>
          <w:sz w:val="24"/>
          <w:szCs w:val="24"/>
        </w:rPr>
        <w:t>, ProDRA: Volet III, PAFN</w:t>
      </w:r>
      <w:r w:rsidR="00477654" w:rsidRPr="00E056B1">
        <w:rPr>
          <w:rFonts w:ascii="Times New Roman" w:eastAsia="Times New Roman" w:hAnsi="Times New Roman" w:cs="Times New Roman"/>
          <w:b/>
          <w:bCs/>
          <w:smallCaps/>
          <w:sz w:val="24"/>
          <w:szCs w:val="24"/>
          <w:lang w:eastAsia="fr-FR"/>
        </w:rPr>
        <w:t xml:space="preserve">, </w:t>
      </w:r>
      <w:r w:rsidR="00477654" w:rsidRPr="00E056B1">
        <w:rPr>
          <w:rFonts w:ascii="Times New Roman" w:eastAsia="Times New Roman" w:hAnsi="Times New Roman" w:cs="Times New Roman"/>
          <w:smallCaps/>
          <w:sz w:val="24"/>
          <w:szCs w:val="24"/>
          <w:lang w:eastAsia="fr-FR"/>
        </w:rPr>
        <w:t xml:space="preserve">PNIASA, </w:t>
      </w:r>
      <w:r w:rsidR="00477654" w:rsidRPr="00E056B1">
        <w:rPr>
          <w:rFonts w:ascii="Times New Roman" w:eastAsia="Calibri" w:hAnsi="Times New Roman" w:cs="Times New Roman"/>
          <w:sz w:val="24"/>
          <w:szCs w:val="24"/>
        </w:rPr>
        <w:t>PANA,</w:t>
      </w:r>
      <w:r w:rsidR="000E3204">
        <w:rPr>
          <w:rFonts w:ascii="Times New Roman" w:eastAsia="Calibri" w:hAnsi="Times New Roman" w:cs="Times New Roman"/>
          <w:sz w:val="24"/>
          <w:szCs w:val="24"/>
        </w:rPr>
        <w:t xml:space="preserve"> PNR, ADAPT</w:t>
      </w:r>
      <w:r w:rsidR="00477654" w:rsidRPr="00E056B1">
        <w:rPr>
          <w:rFonts w:ascii="Times New Roman" w:eastAsia="Calibri" w:hAnsi="Times New Roman" w:cs="Times New Roman"/>
          <w:sz w:val="24"/>
          <w:szCs w:val="24"/>
        </w:rPr>
        <w:t>…</w:t>
      </w:r>
      <w:r w:rsidR="007B1A0A" w:rsidRPr="00E056B1">
        <w:rPr>
          <w:rFonts w:ascii="Times New Roman" w:eastAsia="Calibri" w:hAnsi="Times New Roman" w:cs="Times New Roman"/>
          <w:sz w:val="24"/>
          <w:szCs w:val="24"/>
        </w:rPr>
        <w:t xml:space="preserve"> (Figure 9). </w:t>
      </w:r>
      <w:r w:rsidR="008905C2" w:rsidRPr="00E056B1">
        <w:rPr>
          <w:rFonts w:ascii="Times New Roman" w:eastAsia="Calibri" w:hAnsi="Times New Roman" w:cs="Times New Roman"/>
          <w:sz w:val="24"/>
          <w:szCs w:val="24"/>
        </w:rPr>
        <w:t xml:space="preserve">Trente et huit pour cent </w:t>
      </w:r>
      <w:r w:rsidR="000E3204">
        <w:rPr>
          <w:rFonts w:ascii="Times New Roman" w:eastAsia="Calibri" w:hAnsi="Times New Roman" w:cs="Times New Roman"/>
          <w:sz w:val="24"/>
          <w:szCs w:val="24"/>
        </w:rPr>
        <w:t xml:space="preserve">(38%) </w:t>
      </w:r>
      <w:r w:rsidR="008905C2" w:rsidRPr="00E056B1">
        <w:rPr>
          <w:rFonts w:ascii="Times New Roman" w:eastAsia="Calibri" w:hAnsi="Times New Roman" w:cs="Times New Roman"/>
          <w:sz w:val="24"/>
          <w:szCs w:val="24"/>
        </w:rPr>
        <w:t>des acteurs pense</w:t>
      </w:r>
      <w:r w:rsidR="00301A0A" w:rsidRPr="00E056B1">
        <w:rPr>
          <w:rFonts w:ascii="Times New Roman" w:eastAsia="Calibri" w:hAnsi="Times New Roman" w:cs="Times New Roman"/>
          <w:sz w:val="24"/>
          <w:szCs w:val="24"/>
        </w:rPr>
        <w:t xml:space="preserve">nt que les programmes/projets sont en partie efficaces et 8% les jugent inefficaces. </w:t>
      </w:r>
      <w:r w:rsidRPr="00E056B1">
        <w:rPr>
          <w:rFonts w:ascii="Times New Roman" w:hAnsi="Times New Roman" w:cs="Times New Roman"/>
          <w:iCs/>
          <w:sz w:val="24"/>
          <w:szCs w:val="24"/>
        </w:rPr>
        <w:t xml:space="preserve">Il apparait clairement que le lien entre les projets exécutés ou en cours d’exécution et leur rôle dans la </w:t>
      </w:r>
      <w:r w:rsidR="00301A0A" w:rsidRPr="00E056B1">
        <w:rPr>
          <w:rFonts w:ascii="Times New Roman" w:hAnsi="Times New Roman" w:cs="Times New Roman"/>
          <w:iCs/>
          <w:sz w:val="24"/>
          <w:szCs w:val="24"/>
        </w:rPr>
        <w:t>m</w:t>
      </w:r>
      <w:r w:rsidRPr="00E056B1">
        <w:rPr>
          <w:rFonts w:ascii="Times New Roman" w:hAnsi="Times New Roman" w:cs="Times New Roman"/>
          <w:iCs/>
          <w:sz w:val="24"/>
          <w:szCs w:val="24"/>
        </w:rPr>
        <w:t>ise en œuvre de la SPANB n’est pas établi par les acteurs (23 %).</w:t>
      </w:r>
      <w:r w:rsidR="00F545CC">
        <w:rPr>
          <w:rFonts w:ascii="Times New Roman" w:hAnsi="Times New Roman" w:cs="Times New Roman"/>
          <w:iCs/>
          <w:sz w:val="24"/>
          <w:szCs w:val="24"/>
        </w:rPr>
        <w:t xml:space="preserve"> </w:t>
      </w:r>
      <w:r w:rsidR="00F712A2" w:rsidRPr="00E056B1">
        <w:rPr>
          <w:rFonts w:ascii="Times New Roman" w:hAnsi="Times New Roman" w:cs="Times New Roman"/>
          <w:iCs/>
          <w:sz w:val="24"/>
          <w:szCs w:val="24"/>
        </w:rPr>
        <w:t>Les structures déconcentrées</w:t>
      </w:r>
      <w:r w:rsidR="00A47A04" w:rsidRPr="00E056B1">
        <w:rPr>
          <w:rFonts w:ascii="Times New Roman" w:hAnsi="Times New Roman" w:cs="Times New Roman"/>
          <w:iCs/>
          <w:sz w:val="24"/>
          <w:szCs w:val="24"/>
        </w:rPr>
        <w:t xml:space="preserve"> affirment que </w:t>
      </w:r>
      <w:r w:rsidR="00F712A2" w:rsidRPr="00E056B1">
        <w:rPr>
          <w:rFonts w:ascii="Times New Roman" w:hAnsi="Times New Roman" w:cs="Times New Roman"/>
          <w:sz w:val="24"/>
          <w:szCs w:val="24"/>
        </w:rPr>
        <w:t>certains</w:t>
      </w:r>
      <w:r w:rsidR="00A47A04" w:rsidRPr="00E056B1">
        <w:rPr>
          <w:rFonts w:ascii="Times New Roman" w:hAnsi="Times New Roman" w:cs="Times New Roman"/>
          <w:sz w:val="24"/>
          <w:szCs w:val="24"/>
        </w:rPr>
        <w:t xml:space="preserve"> programmes et projet</w:t>
      </w:r>
      <w:r w:rsidR="00F712A2" w:rsidRPr="00E056B1">
        <w:rPr>
          <w:rFonts w:ascii="Times New Roman" w:hAnsi="Times New Roman" w:cs="Times New Roman"/>
          <w:sz w:val="24"/>
          <w:szCs w:val="24"/>
        </w:rPr>
        <w:t>s</w:t>
      </w:r>
      <w:r w:rsidR="00A47A04" w:rsidRPr="00E056B1">
        <w:rPr>
          <w:rFonts w:ascii="Times New Roman" w:hAnsi="Times New Roman" w:cs="Times New Roman"/>
          <w:sz w:val="24"/>
          <w:szCs w:val="24"/>
        </w:rPr>
        <w:t xml:space="preserve"> sont méconnus </w:t>
      </w:r>
      <w:r w:rsidR="00F712A2" w:rsidRPr="00E056B1">
        <w:rPr>
          <w:rFonts w:ascii="Times New Roman" w:hAnsi="Times New Roman" w:cs="Times New Roman"/>
          <w:sz w:val="24"/>
          <w:szCs w:val="24"/>
        </w:rPr>
        <w:t>à leur</w:t>
      </w:r>
      <w:r w:rsidR="00A47A04" w:rsidRPr="00E056B1">
        <w:rPr>
          <w:rFonts w:ascii="Times New Roman" w:hAnsi="Times New Roman" w:cs="Times New Roman"/>
          <w:sz w:val="24"/>
          <w:szCs w:val="24"/>
        </w:rPr>
        <w:t xml:space="preserve"> niveau</w:t>
      </w:r>
      <w:r w:rsidR="00F712A2" w:rsidRPr="00E056B1">
        <w:rPr>
          <w:rFonts w:ascii="Times New Roman" w:hAnsi="Times New Roman" w:cs="Times New Roman"/>
          <w:sz w:val="24"/>
          <w:szCs w:val="24"/>
        </w:rPr>
        <w:t xml:space="preserve"> ; il faut qu’ils soient </w:t>
      </w:r>
      <w:r w:rsidR="00F712A2" w:rsidRPr="00E056B1">
        <w:rPr>
          <w:rFonts w:ascii="Times New Roman" w:eastAsia="Calibri" w:hAnsi="Times New Roman" w:cs="Times New Roman"/>
          <w:sz w:val="24"/>
          <w:szCs w:val="24"/>
        </w:rPr>
        <w:t>connus du public pour une appropriation et application. La Biodiversité pour l’Alimentation et l’Agriculture d’origine forestière n’</w:t>
      </w:r>
      <w:r w:rsidR="00603492">
        <w:rPr>
          <w:rFonts w:ascii="Times New Roman" w:eastAsia="Calibri" w:hAnsi="Times New Roman" w:cs="Times New Roman"/>
          <w:sz w:val="24"/>
          <w:szCs w:val="24"/>
        </w:rPr>
        <w:t>était</w:t>
      </w:r>
      <w:r w:rsidR="00F712A2" w:rsidRPr="00E056B1">
        <w:rPr>
          <w:rFonts w:ascii="Times New Roman" w:eastAsia="Calibri" w:hAnsi="Times New Roman" w:cs="Times New Roman"/>
          <w:sz w:val="24"/>
          <w:szCs w:val="24"/>
        </w:rPr>
        <w:t xml:space="preserve"> pas suffisammen</w:t>
      </w:r>
      <w:r w:rsidR="00871989" w:rsidRPr="00E056B1">
        <w:rPr>
          <w:rFonts w:ascii="Times New Roman" w:eastAsia="Calibri" w:hAnsi="Times New Roman" w:cs="Times New Roman"/>
          <w:sz w:val="24"/>
          <w:szCs w:val="24"/>
        </w:rPr>
        <w:t>t pris</w:t>
      </w:r>
      <w:r w:rsidR="00603492">
        <w:rPr>
          <w:rFonts w:ascii="Times New Roman" w:eastAsia="Calibri" w:hAnsi="Times New Roman" w:cs="Times New Roman"/>
          <w:sz w:val="24"/>
          <w:szCs w:val="24"/>
        </w:rPr>
        <w:t>e</w:t>
      </w:r>
      <w:r w:rsidR="00871989" w:rsidRPr="00E056B1">
        <w:rPr>
          <w:rFonts w:ascii="Times New Roman" w:eastAsia="Calibri" w:hAnsi="Times New Roman" w:cs="Times New Roman"/>
          <w:sz w:val="24"/>
          <w:szCs w:val="24"/>
        </w:rPr>
        <w:t xml:space="preserve"> en compte dans les sous-</w:t>
      </w:r>
      <w:r w:rsidR="00F712A2" w:rsidRPr="00E056B1">
        <w:rPr>
          <w:rFonts w:ascii="Times New Roman" w:eastAsia="Calibri" w:hAnsi="Times New Roman" w:cs="Times New Roman"/>
          <w:sz w:val="24"/>
          <w:szCs w:val="24"/>
        </w:rPr>
        <w:t>programmes du PNIASA.</w:t>
      </w:r>
      <w:r w:rsidR="00603492">
        <w:rPr>
          <w:rFonts w:ascii="Times New Roman" w:eastAsia="Calibri" w:hAnsi="Times New Roman" w:cs="Times New Roman"/>
          <w:sz w:val="24"/>
          <w:szCs w:val="24"/>
        </w:rPr>
        <w:t xml:space="preserve"> Cependant, la prise en compte des aspects nutritionnels dans le PNIASAN est un élément non négligeable pour la valorisation des produits forestiers non ligneux à travers plusieurs initiatives. </w:t>
      </w:r>
    </w:p>
    <w:p w14:paraId="44B8A13C" w14:textId="77777777" w:rsidR="00D20670" w:rsidRPr="00E056B1" w:rsidRDefault="00D20670" w:rsidP="00E056B1">
      <w:pPr>
        <w:spacing w:after="0" w:line="240" w:lineRule="auto"/>
        <w:jc w:val="both"/>
        <w:rPr>
          <w:rFonts w:ascii="Times New Roman" w:hAnsi="Times New Roman" w:cs="Times New Roman"/>
          <w:iCs/>
          <w:highlight w:val="yellow"/>
        </w:rPr>
      </w:pPr>
    </w:p>
    <w:p w14:paraId="7A0E4C04" w14:textId="77777777" w:rsidR="00D20670" w:rsidRPr="00E056B1" w:rsidRDefault="00D20670" w:rsidP="001711FB">
      <w:pPr>
        <w:spacing w:after="0" w:line="240" w:lineRule="auto"/>
        <w:jc w:val="center"/>
        <w:rPr>
          <w:rFonts w:ascii="Times New Roman" w:hAnsi="Times New Roman" w:cs="Times New Roman"/>
          <w:iCs/>
          <w:highlight w:val="yellow"/>
        </w:rPr>
      </w:pPr>
      <w:r w:rsidRPr="00E056B1">
        <w:rPr>
          <w:rFonts w:ascii="Times New Roman" w:hAnsi="Times New Roman" w:cs="Times New Roman"/>
          <w:iCs/>
          <w:noProof/>
          <w:lang w:eastAsia="fr-FR"/>
        </w:rPr>
        <w:drawing>
          <wp:inline distT="0" distB="0" distL="0" distR="0" wp14:anchorId="6AA91F2C" wp14:editId="751DC801">
            <wp:extent cx="3962400" cy="2133600"/>
            <wp:effectExtent l="0" t="0" r="0" b="0"/>
            <wp:docPr id="26"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183A492" w14:textId="2A9A8C23" w:rsidR="008070E2" w:rsidRPr="000B16F2" w:rsidRDefault="00542A1C" w:rsidP="000B16F2">
      <w:pPr>
        <w:pStyle w:val="Lgende"/>
        <w:spacing w:after="0"/>
        <w:jc w:val="center"/>
        <w:rPr>
          <w:rFonts w:ascii="Times New Roman" w:hAnsi="Times New Roman"/>
          <w:iCs/>
          <w:sz w:val="24"/>
          <w:szCs w:val="24"/>
          <w:lang w:val="fr-CA"/>
        </w:rPr>
      </w:pPr>
      <w:bookmarkStart w:id="33" w:name="_Toc533413497"/>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9</w:t>
      </w:r>
      <w:r w:rsidR="00620BEA" w:rsidRPr="00542A1C">
        <w:rPr>
          <w:rFonts w:ascii="Times New Roman" w:hAnsi="Times New Roman"/>
          <w:sz w:val="24"/>
          <w:szCs w:val="24"/>
        </w:rPr>
        <w:fldChar w:fldCharType="end"/>
      </w:r>
      <w:r w:rsidRPr="00542A1C">
        <w:rPr>
          <w:rFonts w:ascii="Times New Roman" w:hAnsi="Times New Roman"/>
          <w:sz w:val="24"/>
          <w:szCs w:val="24"/>
        </w:rPr>
        <w:t xml:space="preserve">: </w:t>
      </w:r>
      <w:r w:rsidR="009C7085">
        <w:rPr>
          <w:rFonts w:ascii="Times New Roman" w:hAnsi="Times New Roman"/>
          <w:sz w:val="24"/>
          <w:szCs w:val="24"/>
        </w:rPr>
        <w:t>Perseption de l’e</w:t>
      </w:r>
      <w:r w:rsidR="009C7085" w:rsidRPr="00F05A20">
        <w:rPr>
          <w:rFonts w:ascii="Times New Roman" w:hAnsi="Times New Roman"/>
          <w:sz w:val="24"/>
          <w:szCs w:val="24"/>
        </w:rPr>
        <w:t>fficacité</w:t>
      </w:r>
      <w:r w:rsidR="009C7085">
        <w:rPr>
          <w:rFonts w:ascii="Times New Roman" w:hAnsi="Times New Roman"/>
          <w:sz w:val="24"/>
          <w:szCs w:val="24"/>
        </w:rPr>
        <w:t xml:space="preserve"> dans la mise en œuvre des </w:t>
      </w:r>
      <w:r w:rsidRPr="00542A1C">
        <w:rPr>
          <w:rFonts w:ascii="Times New Roman" w:hAnsi="Times New Roman"/>
          <w:sz w:val="24"/>
          <w:szCs w:val="24"/>
        </w:rPr>
        <w:t>stratégies/plans/programmes/projets développés pour l</w:t>
      </w:r>
      <w:r w:rsidR="009C7085">
        <w:rPr>
          <w:rFonts w:ascii="Times New Roman" w:hAnsi="Times New Roman"/>
          <w:sz w:val="24"/>
          <w:szCs w:val="24"/>
        </w:rPr>
        <w:t xml:space="preserve">’atteinte </w:t>
      </w:r>
      <w:r w:rsidRPr="00542A1C">
        <w:rPr>
          <w:rFonts w:ascii="Times New Roman" w:hAnsi="Times New Roman"/>
          <w:sz w:val="24"/>
          <w:szCs w:val="24"/>
        </w:rPr>
        <w:t>des objectifs nationaux</w:t>
      </w:r>
      <w:bookmarkEnd w:id="33"/>
    </w:p>
    <w:p w14:paraId="4DB817D0" w14:textId="0C96E9A1" w:rsidR="008070E2" w:rsidRPr="00E056B1" w:rsidRDefault="00F9674D" w:rsidP="00F545CC">
      <w:pPr>
        <w:spacing w:after="0" w:line="240" w:lineRule="auto"/>
        <w:outlineLvl w:val="2"/>
        <w:rPr>
          <w:rFonts w:ascii="Times New Roman" w:hAnsi="Times New Roman" w:cs="Times New Roman"/>
          <w:b/>
          <w:iCs/>
          <w:sz w:val="24"/>
          <w:szCs w:val="24"/>
          <w:lang w:val="fr-CA"/>
        </w:rPr>
      </w:pPr>
      <w:bookmarkStart w:id="34" w:name="_Toc533413752"/>
      <w:r w:rsidRPr="00F545CC">
        <w:rPr>
          <w:rFonts w:ascii="Times New Roman" w:hAnsi="Times New Roman" w:cs="Times New Roman"/>
          <w:b/>
          <w:iCs/>
          <w:sz w:val="24"/>
          <w:szCs w:val="24"/>
          <w:lang w:val="fr-CA"/>
        </w:rPr>
        <w:t>2.3</w:t>
      </w:r>
      <w:r w:rsidR="00BD572F" w:rsidRPr="00F545CC">
        <w:rPr>
          <w:rFonts w:ascii="Times New Roman" w:hAnsi="Times New Roman" w:cs="Times New Roman"/>
          <w:b/>
          <w:iCs/>
          <w:sz w:val="24"/>
          <w:szCs w:val="24"/>
          <w:lang w:val="fr-CA"/>
        </w:rPr>
        <w:t xml:space="preserve">.2. </w:t>
      </w:r>
      <w:r w:rsidR="00E072DB" w:rsidRPr="00F545CC">
        <w:rPr>
          <w:rFonts w:ascii="Times New Roman" w:hAnsi="Times New Roman" w:cs="Times New Roman"/>
          <w:b/>
          <w:iCs/>
          <w:sz w:val="24"/>
          <w:szCs w:val="24"/>
          <w:lang w:val="fr-CA"/>
        </w:rPr>
        <w:t>E</w:t>
      </w:r>
      <w:r w:rsidR="00E5735E" w:rsidRPr="00F545CC">
        <w:rPr>
          <w:rFonts w:ascii="Times New Roman" w:hAnsi="Times New Roman" w:cs="Times New Roman"/>
          <w:b/>
          <w:iCs/>
          <w:sz w:val="24"/>
          <w:szCs w:val="24"/>
          <w:lang w:val="fr-CA"/>
        </w:rPr>
        <w:t>tudes de cas liées aux mesures prises</w:t>
      </w:r>
      <w:bookmarkEnd w:id="34"/>
    </w:p>
    <w:p w14:paraId="2BFAA73B" w14:textId="6467593D" w:rsidR="00E072DB" w:rsidRPr="00E056B1" w:rsidRDefault="00E072DB" w:rsidP="00F545CC">
      <w:pPr>
        <w:spacing w:after="0" w:line="240" w:lineRule="auto"/>
        <w:outlineLvl w:val="2"/>
        <w:rPr>
          <w:rFonts w:ascii="Times New Roman" w:hAnsi="Times New Roman" w:cs="Times New Roman"/>
          <w:iCs/>
          <w:lang w:val="fr-CA"/>
        </w:rPr>
      </w:pPr>
    </w:p>
    <w:p w14:paraId="37312B99" w14:textId="18D50102" w:rsidR="008070E2" w:rsidRDefault="008070E2" w:rsidP="008070E2">
      <w:pPr>
        <w:spacing w:after="0" w:line="240" w:lineRule="auto"/>
        <w:jc w:val="both"/>
        <w:rPr>
          <w:rFonts w:ascii="Times New Roman" w:hAnsi="Times New Roman" w:cs="Times New Roman"/>
          <w:b/>
          <w:iCs/>
          <w:lang w:val="fr-CA"/>
        </w:rPr>
      </w:pPr>
      <w:r w:rsidRPr="00F545CC">
        <w:rPr>
          <w:rFonts w:ascii="Times New Roman" w:hAnsi="Times New Roman" w:cs="Times New Roman"/>
          <w:b/>
          <w:iCs/>
          <w:lang w:val="fr-CA"/>
        </w:rPr>
        <w:t>2.3.2.1.</w:t>
      </w:r>
      <w:r w:rsidRPr="00F545CC">
        <w:rPr>
          <w:b/>
        </w:rPr>
        <w:t xml:space="preserve"> </w:t>
      </w:r>
      <w:r w:rsidRPr="00F545CC">
        <w:rPr>
          <w:rFonts w:ascii="Times New Roman" w:hAnsi="Times New Roman" w:cs="Times New Roman"/>
          <w:b/>
          <w:iCs/>
          <w:lang w:val="fr-CA"/>
        </w:rPr>
        <w:t>Ré</w:t>
      </w:r>
      <w:r w:rsidR="006C1676" w:rsidRPr="006C1676">
        <w:rPr>
          <w:rFonts w:ascii="Times New Roman" w:hAnsi="Times New Roman" w:cs="Times New Roman"/>
          <w:b/>
          <w:iCs/>
          <w:lang w:val="fr-CA"/>
        </w:rPr>
        <w:t xml:space="preserve">serve de biosphere du </w:t>
      </w:r>
      <w:r w:rsidR="006C1676">
        <w:rPr>
          <w:rFonts w:ascii="Times New Roman" w:hAnsi="Times New Roman" w:cs="Times New Roman"/>
          <w:b/>
          <w:iCs/>
          <w:lang w:val="fr-CA"/>
        </w:rPr>
        <w:t>M</w:t>
      </w:r>
      <w:r w:rsidRPr="00F545CC">
        <w:rPr>
          <w:rFonts w:ascii="Times New Roman" w:hAnsi="Times New Roman" w:cs="Times New Roman"/>
          <w:b/>
          <w:iCs/>
          <w:lang w:val="fr-CA"/>
        </w:rPr>
        <w:t>ono au</w:t>
      </w:r>
      <w:r w:rsidR="006C1676" w:rsidRPr="006C1676">
        <w:rPr>
          <w:rFonts w:ascii="Times New Roman" w:hAnsi="Times New Roman" w:cs="Times New Roman"/>
          <w:b/>
          <w:iCs/>
          <w:lang w:val="fr-CA"/>
        </w:rPr>
        <w:t xml:space="preserve"> </w:t>
      </w:r>
      <w:r w:rsidR="006C1676">
        <w:rPr>
          <w:rFonts w:ascii="Times New Roman" w:hAnsi="Times New Roman" w:cs="Times New Roman"/>
          <w:b/>
          <w:iCs/>
          <w:lang w:val="fr-CA"/>
        </w:rPr>
        <w:t>T</w:t>
      </w:r>
      <w:r w:rsidRPr="00F545CC">
        <w:rPr>
          <w:rFonts w:ascii="Times New Roman" w:hAnsi="Times New Roman" w:cs="Times New Roman"/>
          <w:b/>
          <w:iCs/>
          <w:lang w:val="fr-CA"/>
        </w:rPr>
        <w:t>ogo</w:t>
      </w:r>
    </w:p>
    <w:p w14:paraId="32353B32" w14:textId="77777777" w:rsidR="008070E2" w:rsidRPr="00F545CC" w:rsidRDefault="008070E2" w:rsidP="008070E2">
      <w:pPr>
        <w:spacing w:after="0" w:line="240" w:lineRule="auto"/>
        <w:jc w:val="both"/>
        <w:rPr>
          <w:rFonts w:ascii="Times New Roman" w:hAnsi="Times New Roman" w:cs="Times New Roman"/>
          <w:b/>
          <w:iCs/>
          <w:lang w:val="fr-CA"/>
        </w:rPr>
      </w:pPr>
    </w:p>
    <w:p w14:paraId="3474079E" w14:textId="69C2A086"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Le bassin du fleuve Mono, situé à la frontière entre le Togo et le Bénin regorge d’une diversité biologique d’importance internationale. Pour mieux protéger les ressources du milieu et les valoriser au profit des communautés </w:t>
      </w:r>
      <w:r w:rsidR="000B16F2">
        <w:rPr>
          <w:rFonts w:ascii="Times New Roman" w:hAnsi="Times New Roman" w:cs="Times New Roman"/>
          <w:iCs/>
          <w:lang w:val="fr-CA"/>
        </w:rPr>
        <w:t>locales le gouvernement du Togo a</w:t>
      </w:r>
      <w:r w:rsidRPr="008070E2">
        <w:rPr>
          <w:rFonts w:ascii="Times New Roman" w:hAnsi="Times New Roman" w:cs="Times New Roman"/>
          <w:iCs/>
          <w:lang w:val="fr-CA"/>
        </w:rPr>
        <w:t xml:space="preserve"> érigé cette zone en réserve de biosphère en juin 2017. </w:t>
      </w:r>
    </w:p>
    <w:p w14:paraId="62550A12"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La réserve de biosphère du Mono au Togo (RBT) qui est une composante de la réserve de biosphère transfrontière du Mono entre le Togo et le Mono, est un ensemble d’écosystèmes gérés durablement afin de tester les approches novatrices du développement durable où se combinent les efforts des communautés locales et ceux du monde scientifique visant à réduire la perte de la biodiversité, améliorer les moyens de subsistance des populations, améliorer les conditions sociales, économiques et culturelles. </w:t>
      </w:r>
    </w:p>
    <w:p w14:paraId="73702DED" w14:textId="77777777" w:rsidR="008070E2" w:rsidRPr="008070E2" w:rsidRDefault="008070E2" w:rsidP="008070E2">
      <w:pPr>
        <w:spacing w:after="0" w:line="240" w:lineRule="auto"/>
        <w:jc w:val="both"/>
        <w:rPr>
          <w:rFonts w:ascii="Times New Roman" w:hAnsi="Times New Roman" w:cs="Times New Roman"/>
          <w:iCs/>
          <w:lang w:val="fr-CA"/>
        </w:rPr>
      </w:pPr>
    </w:p>
    <w:p w14:paraId="319ED1B0" w14:textId="6A951AA8" w:rsidR="008070E2" w:rsidRPr="008070E2" w:rsidRDefault="000B16F2" w:rsidP="008070E2">
      <w:pPr>
        <w:spacing w:after="0" w:line="240" w:lineRule="auto"/>
        <w:jc w:val="both"/>
        <w:rPr>
          <w:rFonts w:ascii="Times New Roman" w:hAnsi="Times New Roman" w:cs="Times New Roman"/>
          <w:iCs/>
          <w:lang w:val="fr-CA"/>
        </w:rPr>
      </w:pPr>
      <w:r>
        <w:rPr>
          <w:rFonts w:ascii="Times New Roman" w:hAnsi="Times New Roman" w:cs="Times New Roman"/>
          <w:iCs/>
          <w:lang w:val="fr-CA"/>
        </w:rPr>
        <w:t>La</w:t>
      </w:r>
      <w:r w:rsidR="008070E2" w:rsidRPr="008070E2">
        <w:rPr>
          <w:rFonts w:ascii="Times New Roman" w:hAnsi="Times New Roman" w:cs="Times New Roman"/>
          <w:iCs/>
          <w:lang w:val="fr-CA"/>
        </w:rPr>
        <w:t xml:space="preserve"> zone du fleuve Mono, abrite une grande variété d’espèces végétales et animales, dont certaines sont fortement menacées. Ainsi, cette région aux multiples facettes où se côtoient rivières, lacs, marécages, savanes, forêts galeries, mangroves et plages constitue un habitat privilégié pour certaines espèce</w:t>
      </w:r>
      <w:r>
        <w:rPr>
          <w:rFonts w:ascii="Times New Roman" w:hAnsi="Times New Roman" w:cs="Times New Roman"/>
          <w:iCs/>
          <w:lang w:val="fr-CA"/>
        </w:rPr>
        <w:t>s</w:t>
      </w:r>
      <w:r w:rsidR="008070E2" w:rsidRPr="008070E2">
        <w:rPr>
          <w:rFonts w:ascii="Times New Roman" w:hAnsi="Times New Roman" w:cs="Times New Roman"/>
          <w:iCs/>
          <w:lang w:val="fr-CA"/>
        </w:rPr>
        <w:t xml:space="preserve"> sauvages telles que les hippopotames, les lamantins, les singes à ventre rouge, les antilopes, les buffles ainsi que de nombreux oiseaux d’eau.</w:t>
      </w:r>
    </w:p>
    <w:p w14:paraId="34DF18B1" w14:textId="77777777" w:rsidR="008070E2" w:rsidRPr="008070E2" w:rsidRDefault="008070E2" w:rsidP="008070E2">
      <w:pPr>
        <w:spacing w:after="0" w:line="240" w:lineRule="auto"/>
        <w:jc w:val="both"/>
        <w:rPr>
          <w:rFonts w:ascii="Times New Roman" w:hAnsi="Times New Roman" w:cs="Times New Roman"/>
          <w:iCs/>
          <w:lang w:val="fr-CA"/>
        </w:rPr>
      </w:pPr>
    </w:p>
    <w:p w14:paraId="6DC30A47" w14:textId="49866215" w:rsidR="008070E2" w:rsidRPr="00F545CC" w:rsidRDefault="006C1676" w:rsidP="008070E2">
      <w:pPr>
        <w:spacing w:after="0" w:line="240" w:lineRule="auto"/>
        <w:jc w:val="both"/>
        <w:rPr>
          <w:rFonts w:ascii="Times New Roman" w:hAnsi="Times New Roman" w:cs="Times New Roman"/>
          <w:b/>
          <w:iCs/>
          <w:lang w:val="fr-CA"/>
        </w:rPr>
      </w:pPr>
      <w:r>
        <w:rPr>
          <w:rFonts w:ascii="Times New Roman" w:hAnsi="Times New Roman" w:cs="Times New Roman"/>
          <w:b/>
          <w:iCs/>
          <w:lang w:val="fr-CA"/>
        </w:rPr>
        <w:t>L</w:t>
      </w:r>
      <w:r w:rsidRPr="006C1676">
        <w:rPr>
          <w:rFonts w:ascii="Times New Roman" w:hAnsi="Times New Roman" w:cs="Times New Roman"/>
          <w:b/>
          <w:iCs/>
          <w:lang w:val="fr-CA"/>
        </w:rPr>
        <w:t>es princip</w:t>
      </w:r>
      <w:r>
        <w:rPr>
          <w:rFonts w:ascii="Times New Roman" w:hAnsi="Times New Roman" w:cs="Times New Roman"/>
          <w:b/>
          <w:iCs/>
          <w:lang w:val="fr-CA"/>
        </w:rPr>
        <w:t>ales actions mené</w:t>
      </w:r>
      <w:r w:rsidRPr="006C1676">
        <w:rPr>
          <w:rFonts w:ascii="Times New Roman" w:hAnsi="Times New Roman" w:cs="Times New Roman"/>
          <w:b/>
          <w:iCs/>
          <w:lang w:val="fr-CA"/>
        </w:rPr>
        <w:t>es, en cours et perspectives</w:t>
      </w:r>
    </w:p>
    <w:p w14:paraId="6E6E26AC" w14:textId="77777777" w:rsidR="008070E2" w:rsidRPr="008070E2" w:rsidRDefault="008070E2" w:rsidP="008070E2">
      <w:pPr>
        <w:spacing w:after="0" w:line="240" w:lineRule="auto"/>
        <w:jc w:val="both"/>
        <w:rPr>
          <w:rFonts w:ascii="Times New Roman" w:hAnsi="Times New Roman" w:cs="Times New Roman"/>
          <w:iCs/>
          <w:lang w:val="fr-CA"/>
        </w:rPr>
      </w:pPr>
    </w:p>
    <w:p w14:paraId="12CE8F72" w14:textId="7CC41380" w:rsid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Au niveau du Togo la mise en place de la réserve de biosphère s’est basée sur quelques initiatives locales qui ont été constatées sur les sites abritant ladite réserve. Ainsi les actions menées sur ces sites se sont appuyées sur ces initiatives locales de gestion durable des ressources naturelles à travers l’approche dite « opportuniste ».</w:t>
      </w:r>
    </w:p>
    <w:p w14:paraId="092D0752" w14:textId="77777777" w:rsidR="006C1676" w:rsidRPr="008070E2" w:rsidRDefault="006C1676" w:rsidP="008070E2">
      <w:pPr>
        <w:spacing w:after="0" w:line="240" w:lineRule="auto"/>
        <w:jc w:val="both"/>
        <w:rPr>
          <w:rFonts w:ascii="Times New Roman" w:hAnsi="Times New Roman" w:cs="Times New Roman"/>
          <w:iCs/>
          <w:lang w:val="fr-CA"/>
        </w:rPr>
      </w:pPr>
    </w:p>
    <w:p w14:paraId="1961BEBD" w14:textId="5AE88FB1" w:rsid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Cette approche a consisté au développement et à l’amélioration de l’existant à travers :</w:t>
      </w:r>
    </w:p>
    <w:p w14:paraId="26DD59A9" w14:textId="77777777" w:rsidR="006C1676" w:rsidRPr="008070E2" w:rsidRDefault="006C1676" w:rsidP="008070E2">
      <w:pPr>
        <w:spacing w:after="0" w:line="240" w:lineRule="auto"/>
        <w:jc w:val="both"/>
        <w:rPr>
          <w:rFonts w:ascii="Times New Roman" w:hAnsi="Times New Roman" w:cs="Times New Roman"/>
          <w:iCs/>
          <w:lang w:val="fr-CA"/>
        </w:rPr>
      </w:pPr>
    </w:p>
    <w:p w14:paraId="55DF2696" w14:textId="3271F282" w:rsidR="008070E2" w:rsidRPr="00F545CC" w:rsidRDefault="008070E2" w:rsidP="00E50666">
      <w:pPr>
        <w:pStyle w:val="Paragraphedeliste"/>
        <w:numPr>
          <w:ilvl w:val="0"/>
          <w:numId w:val="41"/>
        </w:numPr>
        <w:spacing w:after="0" w:line="240" w:lineRule="auto"/>
        <w:jc w:val="both"/>
        <w:rPr>
          <w:rFonts w:ascii="Times New Roman" w:hAnsi="Times New Roman" w:cs="Times New Roman"/>
          <w:iCs/>
          <w:lang w:val="fr-CA"/>
        </w:rPr>
      </w:pPr>
      <w:r w:rsidRPr="00F545CC">
        <w:rPr>
          <w:rFonts w:ascii="Times New Roman" w:hAnsi="Times New Roman" w:cs="Times New Roman"/>
          <w:iCs/>
          <w:lang w:val="fr-CA"/>
        </w:rPr>
        <w:t>le renforcement des capacités techniques et matérielles des acteurs de gestion,</w:t>
      </w:r>
    </w:p>
    <w:p w14:paraId="6CD81EBB" w14:textId="2FE6AB2C" w:rsidR="008070E2" w:rsidRPr="00F545CC" w:rsidRDefault="008070E2" w:rsidP="00E50666">
      <w:pPr>
        <w:pStyle w:val="Paragraphedeliste"/>
        <w:numPr>
          <w:ilvl w:val="0"/>
          <w:numId w:val="41"/>
        </w:numPr>
        <w:spacing w:after="0" w:line="240" w:lineRule="auto"/>
        <w:jc w:val="both"/>
        <w:rPr>
          <w:rFonts w:ascii="Times New Roman" w:hAnsi="Times New Roman" w:cs="Times New Roman"/>
          <w:iCs/>
          <w:lang w:val="fr-CA"/>
        </w:rPr>
      </w:pPr>
      <w:r w:rsidRPr="00F545CC">
        <w:rPr>
          <w:rFonts w:ascii="Times New Roman" w:hAnsi="Times New Roman" w:cs="Times New Roman"/>
          <w:iCs/>
          <w:lang w:val="fr-CA"/>
        </w:rPr>
        <w:t>l’organisation des gestionnaires de chaque site,</w:t>
      </w:r>
    </w:p>
    <w:p w14:paraId="3A1FEEC2" w14:textId="31353768" w:rsidR="008070E2" w:rsidRPr="00F545CC" w:rsidRDefault="008070E2" w:rsidP="00E50666">
      <w:pPr>
        <w:pStyle w:val="Paragraphedeliste"/>
        <w:numPr>
          <w:ilvl w:val="0"/>
          <w:numId w:val="41"/>
        </w:numPr>
        <w:spacing w:after="0" w:line="240" w:lineRule="auto"/>
        <w:jc w:val="both"/>
        <w:rPr>
          <w:rFonts w:ascii="Times New Roman" w:hAnsi="Times New Roman" w:cs="Times New Roman"/>
          <w:iCs/>
          <w:lang w:val="fr-CA"/>
        </w:rPr>
      </w:pPr>
      <w:r w:rsidRPr="00F545CC">
        <w:rPr>
          <w:rFonts w:ascii="Times New Roman" w:hAnsi="Times New Roman" w:cs="Times New Roman"/>
          <w:iCs/>
          <w:lang w:val="fr-CA"/>
        </w:rPr>
        <w:t>la mise en place des outils de gestion (règles d’utilisation des ressources, plan d’aménagement, stratégie de surveillance, suivi-écologique, etc),</w:t>
      </w:r>
    </w:p>
    <w:p w14:paraId="76176802" w14:textId="3E04C584" w:rsidR="008070E2" w:rsidRPr="00F545CC" w:rsidRDefault="008070E2" w:rsidP="00E50666">
      <w:pPr>
        <w:pStyle w:val="Paragraphedeliste"/>
        <w:numPr>
          <w:ilvl w:val="0"/>
          <w:numId w:val="41"/>
        </w:numPr>
        <w:spacing w:after="0" w:line="240" w:lineRule="auto"/>
        <w:jc w:val="both"/>
        <w:rPr>
          <w:rFonts w:ascii="Times New Roman" w:hAnsi="Times New Roman" w:cs="Times New Roman"/>
          <w:iCs/>
          <w:lang w:val="fr-CA"/>
        </w:rPr>
      </w:pPr>
      <w:r w:rsidRPr="00F545CC">
        <w:rPr>
          <w:rFonts w:ascii="Times New Roman" w:hAnsi="Times New Roman" w:cs="Times New Roman"/>
          <w:iCs/>
          <w:lang w:val="fr-CA"/>
        </w:rPr>
        <w:t xml:space="preserve">la promotion des activités de </w:t>
      </w:r>
      <w:r w:rsidR="006C1676" w:rsidRPr="00F545CC">
        <w:rPr>
          <w:rFonts w:ascii="Times New Roman" w:hAnsi="Times New Roman" w:cs="Times New Roman"/>
          <w:iCs/>
          <w:lang w:val="fr-CA"/>
        </w:rPr>
        <w:t>réduction de la</w:t>
      </w:r>
      <w:r w:rsidRPr="00F545CC">
        <w:rPr>
          <w:rFonts w:ascii="Times New Roman" w:hAnsi="Times New Roman" w:cs="Times New Roman"/>
          <w:iCs/>
          <w:lang w:val="fr-CA"/>
        </w:rPr>
        <w:t xml:space="preserve"> pression (agroforesterie, foresterie, chasse et pêche règlementées etc.) sur les ressources naturelles.</w:t>
      </w:r>
    </w:p>
    <w:p w14:paraId="7AFE0544" w14:textId="77777777" w:rsidR="008070E2" w:rsidRPr="008070E2" w:rsidRDefault="008070E2" w:rsidP="008070E2">
      <w:pPr>
        <w:spacing w:after="0" w:line="240" w:lineRule="auto"/>
        <w:jc w:val="both"/>
        <w:rPr>
          <w:rFonts w:ascii="Times New Roman" w:hAnsi="Times New Roman" w:cs="Times New Roman"/>
          <w:iCs/>
          <w:lang w:val="fr-CA"/>
        </w:rPr>
      </w:pPr>
    </w:p>
    <w:p w14:paraId="7E1CFB4F" w14:textId="1475CC3A"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La restauration écologique est réalisée à travers une approche communautaire et participative basée sur les activités de reboisement, d’enrichissement, de régénération assistée, de protection, etc. Dans les activités d’enrichissement des écosystème</w:t>
      </w:r>
      <w:r w:rsidR="000B16F2">
        <w:rPr>
          <w:rFonts w:ascii="Times New Roman" w:hAnsi="Times New Roman" w:cs="Times New Roman"/>
          <w:iCs/>
          <w:lang w:val="fr-CA"/>
        </w:rPr>
        <w:t>s</w:t>
      </w:r>
      <w:r w:rsidRPr="008070E2">
        <w:rPr>
          <w:rFonts w:ascii="Times New Roman" w:hAnsi="Times New Roman" w:cs="Times New Roman"/>
          <w:iCs/>
          <w:lang w:val="fr-CA"/>
        </w:rPr>
        <w:t xml:space="preserve"> forestiers les espèces locales adaptées à l’écologie sont priorisées.</w:t>
      </w:r>
    </w:p>
    <w:p w14:paraId="38E1FE69" w14:textId="77777777" w:rsidR="008070E2" w:rsidRPr="008070E2" w:rsidRDefault="008070E2" w:rsidP="008070E2">
      <w:pPr>
        <w:spacing w:after="0" w:line="240" w:lineRule="auto"/>
        <w:jc w:val="both"/>
        <w:rPr>
          <w:rFonts w:ascii="Times New Roman" w:hAnsi="Times New Roman" w:cs="Times New Roman"/>
          <w:iCs/>
          <w:lang w:val="fr-CA"/>
        </w:rPr>
      </w:pPr>
    </w:p>
    <w:p w14:paraId="50E9CD99"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En ce qui concerne les actions futures la faisabilité de la création d’une aire protégée dans le système lagunaire est en réflexion conformément aux recommandations du programme MAB-UNESCO et les démarches pour l’inscription de la réserve de biosphère aux patrimoine mondial de l’UNESCO. </w:t>
      </w:r>
    </w:p>
    <w:p w14:paraId="0019D5A5" w14:textId="77777777" w:rsidR="006C1676" w:rsidRDefault="006C1676" w:rsidP="008070E2">
      <w:pPr>
        <w:spacing w:after="0" w:line="240" w:lineRule="auto"/>
        <w:jc w:val="both"/>
        <w:rPr>
          <w:rFonts w:ascii="Times New Roman" w:hAnsi="Times New Roman" w:cs="Times New Roman"/>
          <w:iCs/>
          <w:lang w:val="fr-CA"/>
        </w:rPr>
      </w:pPr>
    </w:p>
    <w:p w14:paraId="6BA1C495" w14:textId="3694A8BB" w:rsidR="008070E2" w:rsidRPr="00F545CC" w:rsidRDefault="008070E2" w:rsidP="008070E2">
      <w:pPr>
        <w:spacing w:after="0" w:line="240" w:lineRule="auto"/>
        <w:jc w:val="both"/>
        <w:rPr>
          <w:rFonts w:ascii="Times New Roman" w:hAnsi="Times New Roman" w:cs="Times New Roman"/>
          <w:b/>
          <w:iCs/>
          <w:lang w:val="fr-CA"/>
        </w:rPr>
      </w:pPr>
      <w:r w:rsidRPr="00F545CC">
        <w:rPr>
          <w:rFonts w:ascii="Times New Roman" w:hAnsi="Times New Roman" w:cs="Times New Roman"/>
          <w:b/>
          <w:iCs/>
          <w:lang w:val="fr-CA"/>
        </w:rPr>
        <w:t>Principaux acteurs et valeurs spécifiques de la réserve de biosphère du Mono</w:t>
      </w:r>
    </w:p>
    <w:p w14:paraId="4AB0AFE5" w14:textId="77777777" w:rsidR="006C1676" w:rsidRDefault="006C1676" w:rsidP="008070E2">
      <w:pPr>
        <w:spacing w:after="0" w:line="240" w:lineRule="auto"/>
        <w:jc w:val="both"/>
        <w:rPr>
          <w:rFonts w:ascii="Times New Roman" w:hAnsi="Times New Roman" w:cs="Times New Roman"/>
          <w:iCs/>
          <w:lang w:val="fr-CA"/>
        </w:rPr>
      </w:pPr>
    </w:p>
    <w:p w14:paraId="37FF7F44" w14:textId="79E0E4D9"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La coordination de la gestion durable de la RBT est assurée par le Secrétariat Permanent National (SPN) mis en place à cet effet. Ce SPN travaille en collaboration avec le point focal national de la convention de Ramsar et les associations villageoises de gestion durable des aires protégées (AVGAP) ainsi que les comités villageois de développement mis en place dans la RBT. Le SPN </w:t>
      </w:r>
      <w:r w:rsidR="000B16F2" w:rsidRPr="008070E2">
        <w:rPr>
          <w:rFonts w:ascii="Times New Roman" w:hAnsi="Times New Roman" w:cs="Times New Roman"/>
          <w:iCs/>
          <w:lang w:val="fr-CA"/>
        </w:rPr>
        <w:t xml:space="preserve">travaille </w:t>
      </w:r>
      <w:r w:rsidR="006C1676" w:rsidRPr="008070E2">
        <w:rPr>
          <w:rFonts w:ascii="Times New Roman" w:hAnsi="Times New Roman" w:cs="Times New Roman"/>
          <w:iCs/>
          <w:lang w:val="fr-CA"/>
        </w:rPr>
        <w:t xml:space="preserve">également </w:t>
      </w:r>
      <w:r w:rsidRPr="008070E2">
        <w:rPr>
          <w:rFonts w:ascii="Times New Roman" w:hAnsi="Times New Roman" w:cs="Times New Roman"/>
          <w:iCs/>
          <w:lang w:val="fr-CA"/>
        </w:rPr>
        <w:t>de concert avec les autres acteurs clés impliqués dans la gestion des ressources de cette zone. Il s’agit principalement de la Direction des Ressources en Eau et des services déconcentrés du Ministère de l’Environnement et des Ressources Forestières, ainsi que des collectivités territoriales. La RBT constitue depuis des années un champ de recherche pour l’Université de Lomé (Togo) et celle d’Abomey-Calavi (Bénin) qui y mènent des travaux de recherche dans divers domaines scientifiques dont les résultats orienteront désormais les activités de gestion de la réserve. A ces acteurs s’ajoutent les partenaires techniques et financiers tels que la GIZ, l’UNESCO, UICN, etc.</w:t>
      </w:r>
    </w:p>
    <w:p w14:paraId="5FC22659" w14:textId="77777777" w:rsidR="008070E2" w:rsidRPr="008070E2" w:rsidRDefault="008070E2" w:rsidP="008070E2">
      <w:pPr>
        <w:spacing w:after="0" w:line="240" w:lineRule="auto"/>
        <w:jc w:val="both"/>
        <w:rPr>
          <w:rFonts w:ascii="Times New Roman" w:hAnsi="Times New Roman" w:cs="Times New Roman"/>
          <w:iCs/>
          <w:lang w:val="fr-CA"/>
        </w:rPr>
      </w:pPr>
    </w:p>
    <w:p w14:paraId="36460B96"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La RBT regorge d’importantes potentialités qui doivent être valorisées et gérées durablement pour le bien-être des populations riveraines.</w:t>
      </w:r>
    </w:p>
    <w:p w14:paraId="38373882"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D’une superficie de 203 789 hectares, la réserve de biosphère du Mono au Togo, compte deux zones humides d’importance internationale (sites RAMSAR de la réserve de Togodo et le littoral du Sud Togo) avec la diversité d’écosystèmes exceptionnels associés. On y trouve des espèces endémiques à l’instar du singe à ventre rouge.</w:t>
      </w:r>
    </w:p>
    <w:p w14:paraId="397FA3DA"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La couverture forestière est composée de mosaïques de forêts et savanes tropicales, des zones savanicoles, des mangroves, des zones marécageuses, des agrosystèmes, etc.</w:t>
      </w:r>
    </w:p>
    <w:p w14:paraId="70BDA6C1" w14:textId="77777777" w:rsidR="008070E2" w:rsidRPr="008070E2" w:rsidRDefault="008070E2" w:rsidP="008070E2">
      <w:pPr>
        <w:spacing w:after="0" w:line="240" w:lineRule="auto"/>
        <w:jc w:val="both"/>
        <w:rPr>
          <w:rFonts w:ascii="Times New Roman" w:hAnsi="Times New Roman" w:cs="Times New Roman"/>
          <w:iCs/>
          <w:lang w:val="fr-CA"/>
        </w:rPr>
      </w:pPr>
    </w:p>
    <w:p w14:paraId="36B31BAC"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 </w:t>
      </w:r>
    </w:p>
    <w:p w14:paraId="10395C25" w14:textId="77777777" w:rsidR="008070E2" w:rsidRPr="00F545CC" w:rsidRDefault="008070E2" w:rsidP="008070E2">
      <w:pPr>
        <w:spacing w:after="0" w:line="240" w:lineRule="auto"/>
        <w:jc w:val="both"/>
        <w:rPr>
          <w:rFonts w:ascii="Times New Roman" w:hAnsi="Times New Roman" w:cs="Times New Roman"/>
          <w:b/>
          <w:iCs/>
          <w:lang w:val="fr-CA"/>
        </w:rPr>
      </w:pPr>
      <w:r w:rsidRPr="00F545CC">
        <w:rPr>
          <w:rFonts w:ascii="Times New Roman" w:hAnsi="Times New Roman" w:cs="Times New Roman"/>
          <w:b/>
          <w:iCs/>
          <w:lang w:val="fr-CA"/>
        </w:rPr>
        <w:t>Forêt sacrée de Godjé-Godjin (Auteur : GIZ/Courbon)</w:t>
      </w:r>
    </w:p>
    <w:p w14:paraId="0390B5F0" w14:textId="77777777" w:rsidR="008070E2" w:rsidRPr="008070E2" w:rsidRDefault="008070E2" w:rsidP="008070E2">
      <w:pPr>
        <w:spacing w:after="0" w:line="240" w:lineRule="auto"/>
        <w:jc w:val="both"/>
        <w:rPr>
          <w:rFonts w:ascii="Times New Roman" w:hAnsi="Times New Roman" w:cs="Times New Roman"/>
          <w:iCs/>
          <w:lang w:val="fr-CA"/>
        </w:rPr>
      </w:pPr>
    </w:p>
    <w:p w14:paraId="61A05808"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En plus de cette importante diversité biologique, des intérêts socio-écologiques sont également importants avec la culture vodou, qui intègre à ces écosystèmes une dimension spirituelle et religieuse. La zone est caractérisée par des croyances ancestrales qui sont intrinsèquement liées à la diversité biologique de la zone. Les populations tirent l’essentiel de leurs moyens de subsistance des ressources de cette zone.</w:t>
      </w:r>
    </w:p>
    <w:p w14:paraId="5F5E0C50" w14:textId="77777777" w:rsidR="008070E2" w:rsidRPr="008070E2" w:rsidRDefault="008070E2" w:rsidP="008070E2">
      <w:pPr>
        <w:spacing w:after="0" w:line="240" w:lineRule="auto"/>
        <w:jc w:val="both"/>
        <w:rPr>
          <w:rFonts w:ascii="Times New Roman" w:hAnsi="Times New Roman" w:cs="Times New Roman"/>
          <w:iCs/>
          <w:lang w:val="fr-CA"/>
        </w:rPr>
      </w:pPr>
    </w:p>
    <w:p w14:paraId="360B37FF"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La reconnaissance de cette zone en réserve de biosphère par le gouvernement, permet de valoriser et de gérer durablement la zone et les ressources associées au profit des populations.</w:t>
      </w:r>
    </w:p>
    <w:p w14:paraId="677010CB" w14:textId="26E24ADB"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 </w:t>
      </w:r>
      <w:r w:rsidR="005A319E" w:rsidRPr="005A319E">
        <w:rPr>
          <w:rFonts w:ascii="Times New Roman" w:hAnsi="Times New Roman" w:cs="Times New Roman"/>
          <w:iCs/>
          <w:noProof/>
          <w:lang w:eastAsia="fr-FR"/>
        </w:rPr>
        <w:drawing>
          <wp:inline distT="0" distB="0" distL="0" distR="0" wp14:anchorId="14F8F8B3" wp14:editId="515E07E1">
            <wp:extent cx="5360796" cy="7593559"/>
            <wp:effectExtent l="0" t="0" r="0" b="7620"/>
            <wp:docPr id="39" name="Image 39" descr="G:\JONS DOC 1\BIODIVERSITE\6ème rapport CDB\Atelier national de validation\Présentation\Donées_Cartographiques_Togo\CARTE_TOGO\TOGO_ZON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JONS DOC 1\BIODIVERSITE\6ème rapport CDB\Atelier national de validation\Présentation\Donées_Cartographiques_Togo\CARTE_TOGO\TOGO_ZONAG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62161" cy="7595492"/>
                    </a:xfrm>
                    <a:prstGeom prst="rect">
                      <a:avLst/>
                    </a:prstGeom>
                    <a:noFill/>
                    <a:ln>
                      <a:noFill/>
                    </a:ln>
                  </pic:spPr>
                </pic:pic>
              </a:graphicData>
            </a:graphic>
          </wp:inline>
        </w:drawing>
      </w:r>
    </w:p>
    <w:p w14:paraId="6E138E2D" w14:textId="497393AD" w:rsidR="006C1676" w:rsidRPr="00F545CC" w:rsidRDefault="005A319E" w:rsidP="008070E2">
      <w:pPr>
        <w:spacing w:after="0" w:line="240" w:lineRule="auto"/>
        <w:jc w:val="both"/>
        <w:rPr>
          <w:rFonts w:ascii="Times New Roman" w:hAnsi="Times New Roman" w:cs="Times New Roman"/>
          <w:b/>
          <w:iCs/>
          <w:lang w:val="fr-CA"/>
        </w:rPr>
      </w:pPr>
      <w:r w:rsidRPr="00F545CC">
        <w:rPr>
          <w:rFonts w:ascii="Times New Roman" w:hAnsi="Times New Roman" w:cs="Times New Roman"/>
          <w:b/>
          <w:iCs/>
          <w:lang w:val="fr-CA"/>
        </w:rPr>
        <w:t xml:space="preserve">Figure : zonage des aires de conservation </w:t>
      </w:r>
    </w:p>
    <w:p w14:paraId="1B86CB15" w14:textId="3437922E" w:rsidR="005A319E" w:rsidRDefault="005A319E" w:rsidP="008070E2">
      <w:pPr>
        <w:spacing w:after="0" w:line="240" w:lineRule="auto"/>
        <w:jc w:val="both"/>
        <w:rPr>
          <w:rFonts w:ascii="Times New Roman" w:hAnsi="Times New Roman" w:cs="Times New Roman"/>
          <w:iCs/>
          <w:lang w:val="fr-CA"/>
        </w:rPr>
      </w:pPr>
    </w:p>
    <w:p w14:paraId="52EFB37F" w14:textId="5A18BCA5" w:rsidR="005A319E" w:rsidRDefault="005A319E" w:rsidP="00F545CC">
      <w:pPr>
        <w:spacing w:after="0" w:line="240" w:lineRule="auto"/>
        <w:jc w:val="center"/>
        <w:rPr>
          <w:rFonts w:ascii="Times New Roman" w:hAnsi="Times New Roman" w:cs="Times New Roman"/>
          <w:iCs/>
          <w:lang w:val="fr-CA"/>
        </w:rPr>
      </w:pPr>
      <w:r w:rsidRPr="005A319E">
        <w:rPr>
          <w:rFonts w:ascii="Arial" w:eastAsia="Calibri" w:hAnsi="Arial" w:cs="Arial"/>
          <w:noProof/>
          <w:sz w:val="24"/>
          <w:szCs w:val="24"/>
          <w:lang w:eastAsia="fr-FR"/>
        </w:rPr>
        <w:drawing>
          <wp:inline distT="0" distB="0" distL="0" distR="0" wp14:anchorId="24AE3929" wp14:editId="6D658A1E">
            <wp:extent cx="4526531" cy="3396077"/>
            <wp:effectExtent l="0" t="0" r="7620" b="0"/>
            <wp:docPr id="38" name="Image 38" descr="H:\Sauve03112018\Disque D\RB_Togo\Photo_RB_Mono_Togo\Mirador aux mares Af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Sauve03112018\Disque D\RB_Togo\Photo_RB_Mono_Togo\Mirador aux mares Afito.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78064" cy="3434740"/>
                    </a:xfrm>
                    <a:prstGeom prst="rect">
                      <a:avLst/>
                    </a:prstGeom>
                    <a:noFill/>
                    <a:ln>
                      <a:noFill/>
                    </a:ln>
                  </pic:spPr>
                </pic:pic>
              </a:graphicData>
            </a:graphic>
          </wp:inline>
        </w:drawing>
      </w:r>
    </w:p>
    <w:p w14:paraId="1A070402" w14:textId="3BB7EC8E" w:rsidR="008727F1" w:rsidRDefault="00CA2529" w:rsidP="00CA2529">
      <w:pPr>
        <w:spacing w:after="0" w:line="240" w:lineRule="auto"/>
        <w:jc w:val="center"/>
        <w:rPr>
          <w:rFonts w:ascii="Times New Roman" w:hAnsi="Times New Roman" w:cs="Times New Roman"/>
          <w:b/>
          <w:iCs/>
          <w:lang w:val="fr-CA"/>
        </w:rPr>
      </w:pPr>
      <w:bookmarkStart w:id="35" w:name="_Toc533413512"/>
      <w:r w:rsidRPr="00CA2529">
        <w:rPr>
          <w:b/>
        </w:rPr>
        <w:t xml:space="preserve">Photo </w:t>
      </w:r>
      <w:r w:rsidRPr="00CA2529">
        <w:rPr>
          <w:b/>
        </w:rPr>
        <w:fldChar w:fldCharType="begin"/>
      </w:r>
      <w:r w:rsidRPr="00CA2529">
        <w:rPr>
          <w:b/>
        </w:rPr>
        <w:instrText xml:space="preserve"> SEQ Photo \* ARABIC </w:instrText>
      </w:r>
      <w:r w:rsidRPr="00CA2529">
        <w:rPr>
          <w:b/>
        </w:rPr>
        <w:fldChar w:fldCharType="separate"/>
      </w:r>
      <w:r w:rsidR="00C47BFF">
        <w:rPr>
          <w:b/>
          <w:noProof/>
        </w:rPr>
        <w:t>1</w:t>
      </w:r>
      <w:r w:rsidRPr="00CA2529">
        <w:rPr>
          <w:b/>
        </w:rPr>
        <w:fldChar w:fldCharType="end"/>
      </w:r>
      <w:r w:rsidRPr="00CA2529">
        <w:rPr>
          <w:b/>
        </w:rPr>
        <w:t xml:space="preserve"> : </w:t>
      </w:r>
      <w:r w:rsidRPr="00CA2529">
        <w:rPr>
          <w:rFonts w:ascii="Times New Roman" w:hAnsi="Times New Roman" w:cs="Times New Roman"/>
          <w:b/>
          <w:iCs/>
          <w:lang w:val="fr-CA"/>
        </w:rPr>
        <w:t>Mirador des mares aux hipopotames Afito</w:t>
      </w:r>
      <w:bookmarkEnd w:id="35"/>
      <w:r w:rsidRPr="00CA2529">
        <w:rPr>
          <w:rFonts w:ascii="Times New Roman" w:hAnsi="Times New Roman" w:cs="Times New Roman"/>
          <w:b/>
          <w:iCs/>
          <w:lang w:val="fr-CA"/>
        </w:rPr>
        <w:t xml:space="preserve"> </w:t>
      </w:r>
    </w:p>
    <w:p w14:paraId="1A477E80" w14:textId="7EF9344F" w:rsidR="008070E2" w:rsidRPr="008727F1" w:rsidRDefault="00CA2529" w:rsidP="008727F1">
      <w:pPr>
        <w:jc w:val="center"/>
        <w:rPr>
          <w:lang w:val="fr-CA"/>
        </w:rPr>
      </w:pPr>
      <w:r w:rsidRPr="008727F1">
        <w:rPr>
          <w:lang w:val="fr-CA"/>
        </w:rPr>
        <w:t>(Auteur : GIZ/ ATSRI)</w:t>
      </w:r>
    </w:p>
    <w:p w14:paraId="43CCBB75" w14:textId="392BBA26" w:rsidR="008070E2" w:rsidRPr="00F545CC" w:rsidRDefault="008070E2" w:rsidP="008070E2">
      <w:pPr>
        <w:spacing w:after="0" w:line="240" w:lineRule="auto"/>
        <w:jc w:val="both"/>
        <w:rPr>
          <w:rFonts w:ascii="Times New Roman" w:hAnsi="Times New Roman" w:cs="Times New Roman"/>
          <w:b/>
          <w:iCs/>
          <w:lang w:val="fr-CA"/>
        </w:rPr>
      </w:pPr>
      <w:r w:rsidRPr="00F545CC">
        <w:rPr>
          <w:rFonts w:ascii="Times New Roman" w:hAnsi="Times New Roman" w:cs="Times New Roman"/>
          <w:b/>
          <w:iCs/>
          <w:lang w:val="fr-CA"/>
        </w:rPr>
        <w:t>Enjeux pertinents aux objectifs nationaux ou aux Objectifs d’Aichi pour la biodiversité</w:t>
      </w:r>
    </w:p>
    <w:p w14:paraId="204051DF" w14:textId="77777777" w:rsidR="008070E2" w:rsidRPr="008070E2" w:rsidRDefault="008070E2" w:rsidP="008070E2">
      <w:pPr>
        <w:spacing w:after="0" w:line="240" w:lineRule="auto"/>
        <w:jc w:val="both"/>
        <w:rPr>
          <w:rFonts w:ascii="Times New Roman" w:hAnsi="Times New Roman" w:cs="Times New Roman"/>
          <w:iCs/>
          <w:lang w:val="fr-CA"/>
        </w:rPr>
      </w:pPr>
    </w:p>
    <w:p w14:paraId="5E918DBC" w14:textId="77777777" w:rsidR="008070E2" w:rsidRPr="008070E2" w:rsidRDefault="008070E2" w:rsidP="008070E2">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 xml:space="preserve">La RBT de par sa richesse spécifique constitue une banque pour la conservation de la diversité biologique sous toutes ses formes. Eu égard à la présence d’espèces endémiques à l’instar du singe à ventre rouge, d’espèces rares (Lamantin d’Afrique, Hippopotame commu, crocodiles, etc), ainsi que des espèces inscrites sur les listes de l’UICN et de la CITES, les types d'habitat rares (les mangroves, les forêts marécageuses, etc), les pratiques coutumières en lien avec la conservation de la biodiversité (la culture du Vodou autour des forêts sacrées), la gestion durable de la RBT permet d’atteindre d’une part les objectif globaux 1, 2, 5, 11, 12, 14, 15, 18 et d’autre part les objectifs nationaux 1 ,3 ,4,7,15. </w:t>
      </w:r>
    </w:p>
    <w:p w14:paraId="5DB1A33B" w14:textId="61F5DFA1" w:rsidR="006C1676" w:rsidRPr="008070E2" w:rsidRDefault="006C1676" w:rsidP="008070E2">
      <w:pPr>
        <w:spacing w:after="0" w:line="240" w:lineRule="auto"/>
        <w:jc w:val="both"/>
        <w:rPr>
          <w:rFonts w:ascii="Times New Roman" w:hAnsi="Times New Roman" w:cs="Times New Roman"/>
          <w:iCs/>
          <w:lang w:val="fr-CA"/>
        </w:rPr>
      </w:pPr>
    </w:p>
    <w:p w14:paraId="72048E2A" w14:textId="77777777" w:rsidR="008070E2" w:rsidRDefault="008070E2" w:rsidP="00E056B1">
      <w:pPr>
        <w:spacing w:after="0" w:line="240" w:lineRule="auto"/>
        <w:jc w:val="both"/>
        <w:rPr>
          <w:rFonts w:ascii="Times New Roman" w:hAnsi="Times New Roman" w:cs="Times New Roman"/>
          <w:iCs/>
          <w:lang w:val="fr-CA"/>
        </w:rPr>
      </w:pPr>
      <w:r w:rsidRPr="008070E2">
        <w:rPr>
          <w:rFonts w:ascii="Times New Roman" w:hAnsi="Times New Roman" w:cs="Times New Roman"/>
          <w:iCs/>
          <w:lang w:val="fr-CA"/>
        </w:rPr>
        <w:t>La création de la réserve de biosphère du Mono au Togo et celle transfrontière entre le Bénin et le Togo est d’une importance capitale pour ces deux Etats dans la mesure qu’elle met en exergue, sur l’échiquier international, les efforts de leurs gouvernements en matière de conservation de la diversité biologique. Cette création de la RBT vient corriger une principale lacune dans le réseau d’aires protégées entre le Togo et le Bénin relative à l’absence d’aire protégée intégrant la zone côtière. L’approche novatrice basée sur les initiatives locales au niveau des sites d’intervention dont la gestion est confiée aux associations communautaires constitue un modèle de durabilité de la ressource. Toutefois, les travaux de recherche (étude de la variabilité génétique, inventaires de la flore et de la faune, l’écologie des essences végétales locales, le suivi écologique permanent, etc.) permettront de mieux assurer la conservation de la biodiversité de la réserve.</w:t>
      </w:r>
    </w:p>
    <w:p w14:paraId="5CCC1629" w14:textId="77777777" w:rsidR="006C1676" w:rsidRDefault="006C1676" w:rsidP="00E056B1">
      <w:pPr>
        <w:spacing w:after="0" w:line="240" w:lineRule="auto"/>
        <w:jc w:val="both"/>
        <w:rPr>
          <w:rFonts w:ascii="Times New Roman" w:hAnsi="Times New Roman" w:cs="Times New Roman"/>
          <w:iCs/>
          <w:lang w:val="fr-CA"/>
        </w:rPr>
      </w:pPr>
    </w:p>
    <w:p w14:paraId="1D962F8F" w14:textId="5DA53C32" w:rsidR="005A319E" w:rsidRPr="00F545CC" w:rsidRDefault="003F7E61" w:rsidP="005A319E">
      <w:pPr>
        <w:spacing w:after="0" w:line="240" w:lineRule="auto"/>
        <w:jc w:val="both"/>
        <w:rPr>
          <w:rFonts w:ascii="Times New Roman" w:hAnsi="Times New Roman" w:cs="Times New Roman"/>
          <w:b/>
          <w:iCs/>
          <w:lang w:val="fr-CA"/>
        </w:rPr>
      </w:pPr>
      <w:r w:rsidRPr="003F7E61">
        <w:rPr>
          <w:rFonts w:ascii="Times New Roman" w:hAnsi="Times New Roman" w:cs="Times New Roman"/>
          <w:b/>
          <w:iCs/>
          <w:lang w:val="fr-CA"/>
        </w:rPr>
        <w:t>2.3.2.</w:t>
      </w:r>
      <w:r>
        <w:rPr>
          <w:rFonts w:ascii="Times New Roman" w:hAnsi="Times New Roman" w:cs="Times New Roman"/>
          <w:b/>
          <w:iCs/>
          <w:lang w:val="fr-CA"/>
        </w:rPr>
        <w:t xml:space="preserve">2. Ecovillages </w:t>
      </w:r>
      <w:r w:rsidR="005A319E" w:rsidRPr="00F545CC">
        <w:rPr>
          <w:rFonts w:ascii="Times New Roman" w:hAnsi="Times New Roman" w:cs="Times New Roman"/>
          <w:b/>
          <w:iCs/>
          <w:lang w:val="fr-CA"/>
        </w:rPr>
        <w:t>Ando-Kpomey et Donomadé</w:t>
      </w:r>
    </w:p>
    <w:p w14:paraId="106231B2" w14:textId="77777777" w:rsidR="003F7E61" w:rsidRDefault="003F7E61" w:rsidP="003F7E61">
      <w:pPr>
        <w:spacing w:after="0" w:line="240" w:lineRule="auto"/>
        <w:jc w:val="both"/>
        <w:rPr>
          <w:rFonts w:ascii="Calibri" w:eastAsia="Calibri" w:hAnsi="Calibri" w:cs="Times New Roman"/>
          <w:b/>
        </w:rPr>
      </w:pPr>
    </w:p>
    <w:p w14:paraId="644341FF" w14:textId="3DEA7AB2" w:rsidR="003F7E61" w:rsidRPr="003F7E61" w:rsidRDefault="003F7E61" w:rsidP="003F7E61">
      <w:pPr>
        <w:spacing w:after="0" w:line="240" w:lineRule="auto"/>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Le projet éco-village a été identifié par le gouvernement togolais et le Programme des Nations Unies pour le Développement (PNUD) dans le cadre de la mise en œuvre du P</w:t>
      </w:r>
      <w:r w:rsidRPr="003F7E61">
        <w:rPr>
          <w:rFonts w:ascii="Calibri" w:eastAsia="Calibri" w:hAnsi="Calibri" w:cs="Times New Roman"/>
        </w:rPr>
        <w:t>lan d'action programme pays</w:t>
      </w:r>
      <w:r w:rsidRPr="003F7E61">
        <w:rPr>
          <w:rFonts w:ascii="Times New Roman" w:eastAsia="Calibri" w:hAnsi="Times New Roman" w:cs="Times New Roman"/>
          <w:sz w:val="24"/>
          <w:szCs w:val="24"/>
        </w:rPr>
        <w:t xml:space="preserve"> (CPAP 2014-2018) en vue de renforcer les liens entre les actions de réduction de la pauvreté et celles de sauvegarde de l’environnement. Il vise à asseoir une démarche liant étroitement les actions de sauvegarde de l’environnement et la réduction de la pauvreté, notamment à travers l’identification et le financement d’initiatives communautaires innovantes sensibles au genre et bénéfiques pour l’environnement et contribuent à l’amélioration des moyens d’existence des populations. Il fait la promotion de la gestion communautaire des ressources naturelles dans une optique de durabilité en prenant en compte l’autosuffisance alimentaire et énergétique, la lutte contre les changements climatiques et la préservation de l’environnement aussi bien au plan local que global tout en fournissant une meilleure qualité de vie au profit des populations. Ce projet fournit une meilleure qualité de vie au profit des populations aussi bie</w:t>
      </w:r>
      <w:r w:rsidR="000B16F2">
        <w:rPr>
          <w:rFonts w:ascii="Times New Roman" w:eastAsia="Calibri" w:hAnsi="Times New Roman" w:cs="Times New Roman"/>
          <w:sz w:val="24"/>
          <w:szCs w:val="24"/>
        </w:rPr>
        <w:t>n</w:t>
      </w:r>
      <w:r w:rsidR="00337420">
        <w:rPr>
          <w:rFonts w:ascii="Times New Roman" w:eastAsia="Calibri" w:hAnsi="Times New Roman" w:cs="Times New Roman"/>
          <w:sz w:val="24"/>
          <w:szCs w:val="24"/>
        </w:rPr>
        <w:t xml:space="preserve"> au plan local que global. La mise en œuvre des activités</w:t>
      </w:r>
      <w:r w:rsidRPr="003F7E61">
        <w:rPr>
          <w:rFonts w:ascii="Times New Roman" w:eastAsia="Calibri" w:hAnsi="Times New Roman" w:cs="Times New Roman"/>
          <w:sz w:val="24"/>
          <w:szCs w:val="24"/>
        </w:rPr>
        <w:t xml:space="preserve"> du « projet Promotion d’un développement durable et de résilience des communautés aux changements climatiques (DDRCC) » exécuté de 2014 à 2018 au Togo est la phase pilote des « Eco-Villages ». Défini comme « un ensemble d’habitats de taille humaine dans lequel la priorité est de placer l’homme et l’environnement au centre de tous les intérêts », un éco-village se veut un modèle approprié de bonne gestion de l’environnement pour l’amélioration des conditions de vie de la population tout en renforçant sa résilience aux effet des changements climatiques. Au Togo, l’initiative des éco-villages est récente et a concerné deux villages au sud du pays. Il s’agit des villages de Ando kpomey dans la préfecture de l’Avé et Donomadé dans la préfecture de Yoto au Sud du pays. Le défi majeur auquel font fassent ces deux villages à l’instar de bon nombre de villages dans le pays est de créer un milieu harmonieux afin que chaque individu puisse s’y réaliser dans ses qualités et compétences propres en utilisant ce que son environnement immédiat lui offre dans un souci de respect de la nature dans un esprit communautaire. Ces deux communautés sont identifiées et choisies compte tenu de leurs actions déjà engagées dans la protection et le développement de leur milieu. Le village d’Ando-Kpomey dispose d’une forêt communautaire et mène des actions pour la préservation et le développement de cette dernière. Les efforts dans ce sens lui ont permis une reconnaissance internationale avec l’attribution en 2014 du Prix Equateur.</w:t>
      </w:r>
    </w:p>
    <w:p w14:paraId="0347B4E6" w14:textId="77777777" w:rsidR="003F7E61" w:rsidRPr="003F7E61" w:rsidRDefault="003F7E61" w:rsidP="003F7E61">
      <w:pPr>
        <w:jc w:val="both"/>
        <w:rPr>
          <w:rFonts w:ascii="Calibri" w:eastAsia="Calibri" w:hAnsi="Calibri" w:cs="Times New Roman"/>
        </w:rPr>
      </w:pPr>
    </w:p>
    <w:p w14:paraId="70F38630" w14:textId="77777777" w:rsidR="003F7E61" w:rsidRPr="003F7E61" w:rsidRDefault="003F7E61" w:rsidP="003F7E61">
      <w:pPr>
        <w:rPr>
          <w:rFonts w:ascii="Calibri" w:eastAsia="Calibri" w:hAnsi="Calibri" w:cs="Times New Roman"/>
          <w:b/>
          <w:i/>
        </w:rPr>
      </w:pPr>
      <w:r w:rsidRPr="003F7E61">
        <w:rPr>
          <w:rFonts w:ascii="Calibri" w:eastAsia="Calibri" w:hAnsi="Calibri" w:cs="Times New Roman"/>
          <w:b/>
          <w:i/>
        </w:rPr>
        <w:t>Approche méthodologique et description des principales actions</w:t>
      </w:r>
    </w:p>
    <w:p w14:paraId="496FC6D7" w14:textId="77777777" w:rsidR="003F7E61" w:rsidRPr="003F7E61" w:rsidRDefault="003F7E61" w:rsidP="003F7E61">
      <w:pPr>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 xml:space="preserve">L’approche a consisté en l’élaboration d’un plan d’investissements pour chacun des deux éco-villages pilotes grâce à un processus participatif et inclusif. </w:t>
      </w:r>
    </w:p>
    <w:p w14:paraId="602C0A22" w14:textId="77777777" w:rsidR="003F7E61" w:rsidRPr="003F7E61" w:rsidRDefault="003F7E61" w:rsidP="003F7E61">
      <w:pPr>
        <w:jc w:val="center"/>
        <w:rPr>
          <w:rFonts w:ascii="Calibri" w:eastAsia="Calibri" w:hAnsi="Calibri" w:cs="Times New Roman"/>
        </w:rPr>
      </w:pPr>
      <w:r w:rsidRPr="003F7E61">
        <w:rPr>
          <w:rFonts w:ascii="Calibri" w:eastAsia="Calibri" w:hAnsi="Calibri" w:cs="Times New Roman"/>
          <w:noProof/>
          <w:lang w:eastAsia="fr-FR"/>
        </w:rPr>
        <w:drawing>
          <wp:inline distT="0" distB="0" distL="0" distR="0" wp14:anchorId="57C1E860" wp14:editId="44FC8FF4">
            <wp:extent cx="1897512" cy="1423134"/>
            <wp:effectExtent l="0" t="0" r="7620" b="5715"/>
            <wp:docPr id="4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14443" cy="1435832"/>
                    </a:xfrm>
                    <a:prstGeom prst="rect">
                      <a:avLst/>
                    </a:prstGeom>
                  </pic:spPr>
                </pic:pic>
              </a:graphicData>
            </a:graphic>
          </wp:inline>
        </w:drawing>
      </w:r>
    </w:p>
    <w:p w14:paraId="51D20E2D" w14:textId="3E21252B" w:rsidR="00F554C3" w:rsidRPr="00F554C3" w:rsidRDefault="00F554C3" w:rsidP="00F554C3">
      <w:pPr>
        <w:jc w:val="both"/>
        <w:rPr>
          <w:rFonts w:ascii="Calibri" w:eastAsia="Calibri" w:hAnsi="Calibri" w:cs="Times New Roman"/>
          <w:b/>
          <w:i/>
        </w:rPr>
      </w:pPr>
      <w:bookmarkStart w:id="36" w:name="_Toc533413513"/>
      <w:r w:rsidRPr="00F554C3">
        <w:rPr>
          <w:b/>
        </w:rPr>
        <w:t xml:space="preserve">Photo </w:t>
      </w:r>
      <w:r w:rsidRPr="00F554C3">
        <w:rPr>
          <w:b/>
        </w:rPr>
        <w:fldChar w:fldCharType="begin"/>
      </w:r>
      <w:r w:rsidRPr="00F554C3">
        <w:rPr>
          <w:b/>
        </w:rPr>
        <w:instrText xml:space="preserve"> SEQ Photo \* ARABIC </w:instrText>
      </w:r>
      <w:r w:rsidRPr="00F554C3">
        <w:rPr>
          <w:b/>
        </w:rPr>
        <w:fldChar w:fldCharType="separate"/>
      </w:r>
      <w:r w:rsidR="00C47BFF">
        <w:rPr>
          <w:b/>
          <w:noProof/>
        </w:rPr>
        <w:t>2</w:t>
      </w:r>
      <w:r w:rsidRPr="00F554C3">
        <w:rPr>
          <w:b/>
        </w:rPr>
        <w:fldChar w:fldCharType="end"/>
      </w:r>
      <w:r w:rsidRPr="00F554C3">
        <w:rPr>
          <w:b/>
        </w:rPr>
        <w:t xml:space="preserve"> : </w:t>
      </w:r>
      <w:r w:rsidRPr="00F554C3">
        <w:rPr>
          <w:rFonts w:ascii="Calibri" w:eastAsia="Calibri" w:hAnsi="Calibri" w:cs="Times New Roman"/>
          <w:b/>
          <w:i/>
        </w:rPr>
        <w:t>Une séance de consultation pour l’élaboration du plan d’investissement du village d’Ando-Kpomey</w:t>
      </w:r>
      <w:bookmarkEnd w:id="36"/>
    </w:p>
    <w:p w14:paraId="194C6D04" w14:textId="77777777" w:rsidR="003F7E61" w:rsidRPr="003F7E61" w:rsidRDefault="003F7E61" w:rsidP="003F7E61">
      <w:pPr>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Les principaux champs d’interventions sont le renforcement du cadre de gouvernance locale, la maîtrise de l’eau, l’approvisionnement en énergies renouvelables et la réduction des gaz à effet de serre, l’amélioration de la santé et du cadre de vie et la procuration de moyens d’existence durable. Ainsi, dans chacun des deux villages, le comité de développement a été renforcé en moyens logistiques et ses membres ont vu leurs capacités de gestion améliorées à travers des sessions de formation. Les principales thématiques ont porté sur le cadre légal et réglementaire de la décentralisation et sur leurs rôles et responsabilités, le leadership, la prévention et la gestion des conflits ainsi que sur le lobbying pour la mobilisation des ressources, la formulation des projets.</w:t>
      </w:r>
    </w:p>
    <w:p w14:paraId="23FEE6E8" w14:textId="1062F232" w:rsidR="003F7E61" w:rsidRPr="003F7E61" w:rsidRDefault="003F7E61" w:rsidP="003F7E61">
      <w:pPr>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 xml:space="preserve">Pour résoudre le problème de pénurie d’eau, des forages ont été réalisés et une retenue d’eau réhabilitée. Une mini centrale solaire a été installée pour l’éclairage public, le chargement de différents petits appareils principalement les torches et les portables mais aussi des postes radio et télévision. Désormais, les habitants de ces deux villages peuvent entreprendre des activités au-delà des horaires d’éclairages solaires. De même les élèves ont vu leurs conditions d’étude améliorées par l’éclairage public. Afin d’améliorer les conditions de vie des habitants, une identification des activités porteuses a été faite. Il s’agit de l’agriculture durable par l’application des bonnes pratiques, l’apiculture, l’éco-tourisme, l’héliciculture. De plus, un champ écologique de 10 ha, axé </w:t>
      </w:r>
      <w:r>
        <w:rPr>
          <w:rFonts w:ascii="Times New Roman" w:eastAsia="Calibri" w:hAnsi="Times New Roman" w:cs="Times New Roman"/>
          <w:sz w:val="24"/>
          <w:szCs w:val="24"/>
        </w:rPr>
        <w:t>sur l’intégration agriculture/</w:t>
      </w:r>
      <w:r w:rsidRPr="003F7E61">
        <w:rPr>
          <w:rFonts w:ascii="Times New Roman" w:eastAsia="Calibri" w:hAnsi="Times New Roman" w:cs="Times New Roman"/>
          <w:sz w:val="24"/>
          <w:szCs w:val="24"/>
        </w:rPr>
        <w:t xml:space="preserve">élevage/pêche-aquaculture/ foresterie a été réalisé dans les deux villages avec l’appui du projet. </w:t>
      </w:r>
    </w:p>
    <w:p w14:paraId="14DD2B53" w14:textId="77777777" w:rsidR="003F7E61" w:rsidRPr="003F7E61" w:rsidRDefault="003F7E61" w:rsidP="003F7E61">
      <w:pPr>
        <w:rPr>
          <w:rFonts w:ascii="Calibri" w:eastAsia="Calibri" w:hAnsi="Calibri" w:cs="Times New Roman"/>
          <w:b/>
          <w:i/>
        </w:rPr>
      </w:pPr>
      <w:r w:rsidRPr="003F7E61">
        <w:rPr>
          <w:rFonts w:ascii="Calibri" w:eastAsia="Calibri" w:hAnsi="Calibri" w:cs="Times New Roman"/>
          <w:b/>
          <w:i/>
        </w:rPr>
        <w:t>Parties prenantes</w:t>
      </w:r>
    </w:p>
    <w:p w14:paraId="03D3BBE3" w14:textId="7EC74880" w:rsidR="003F7E61" w:rsidRPr="003F7E61" w:rsidRDefault="0074315E" w:rsidP="003F7E61">
      <w:pPr>
        <w:jc w:val="both"/>
        <w:rPr>
          <w:rFonts w:ascii="Times New Roman" w:eastAsia="Calibri" w:hAnsi="Times New Roman" w:cs="Times New Roman"/>
          <w:sz w:val="24"/>
          <w:szCs w:val="24"/>
        </w:rPr>
      </w:pPr>
      <w:r>
        <w:rPr>
          <w:rFonts w:ascii="Times New Roman" w:eastAsia="Calibri" w:hAnsi="Times New Roman" w:cs="Times New Roman"/>
          <w:sz w:val="24"/>
          <w:szCs w:val="24"/>
        </w:rPr>
        <w:t>Les communautés d’</w:t>
      </w:r>
      <w:r w:rsidR="003F7E61" w:rsidRPr="003F7E61">
        <w:rPr>
          <w:rFonts w:ascii="Times New Roman" w:eastAsia="Calibri" w:hAnsi="Times New Roman" w:cs="Times New Roman"/>
          <w:sz w:val="24"/>
          <w:szCs w:val="24"/>
        </w:rPr>
        <w:t>Ando-Kpomey et de Donomadé et la chefferie, le Programme des Nations Unies pour le Développement (PNUD) et le ministère de l’environnement et des ressources forestières, les ONG (Inades-Formation, Communication pour un développement durable et ATPH) sont les principaux acteurs. L’appropriation et l’engouement de ces communautés ont joué un grand rôle dans la réussite de l’initiative.</w:t>
      </w:r>
    </w:p>
    <w:p w14:paraId="6CDBB7CC" w14:textId="77777777" w:rsidR="003F7E61" w:rsidRPr="003F7E61" w:rsidRDefault="003F7E61" w:rsidP="003F7E61">
      <w:pPr>
        <w:rPr>
          <w:rFonts w:ascii="Calibri" w:eastAsia="Calibri" w:hAnsi="Calibri" w:cs="Times New Roman"/>
          <w:b/>
          <w:i/>
        </w:rPr>
      </w:pPr>
      <w:r w:rsidRPr="003F7E61">
        <w:rPr>
          <w:rFonts w:ascii="Calibri" w:eastAsia="Calibri" w:hAnsi="Calibri" w:cs="Times New Roman"/>
          <w:b/>
          <w:i/>
        </w:rPr>
        <w:t>Enjeux pertinents aux objectifs nationaux ou aux Objectifs d’Aichi pour la biodiversité</w:t>
      </w:r>
    </w:p>
    <w:p w14:paraId="44270020" w14:textId="1F39A4DE" w:rsidR="003F7E61" w:rsidRPr="003F7E61" w:rsidRDefault="003F7E61" w:rsidP="003F7E61">
      <w:pPr>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La dégradation des terres, conséquence de mauvaises pratiques agricoles, l’exploitation anarchique et accélérée des ressources forestières pour satisfaire les besoins en bois énergie et de charbon de bois, la paupérisation et l’exode rural sont les principaux défis auxquels sont confrontées les populations</w:t>
      </w:r>
      <w:r w:rsidR="0074315E">
        <w:rPr>
          <w:rFonts w:ascii="Times New Roman" w:eastAsia="Calibri" w:hAnsi="Times New Roman" w:cs="Times New Roman"/>
          <w:sz w:val="24"/>
          <w:szCs w:val="24"/>
        </w:rPr>
        <w:t xml:space="preserve"> d’</w:t>
      </w:r>
      <w:r w:rsidRPr="003F7E61">
        <w:rPr>
          <w:rFonts w:ascii="Times New Roman" w:eastAsia="Calibri" w:hAnsi="Times New Roman" w:cs="Times New Roman"/>
          <w:sz w:val="24"/>
          <w:szCs w:val="24"/>
        </w:rPr>
        <w:t>Ando-Kpo</w:t>
      </w:r>
      <w:r w:rsidR="00280046">
        <w:rPr>
          <w:rFonts w:ascii="Times New Roman" w:eastAsia="Calibri" w:hAnsi="Times New Roman" w:cs="Times New Roman"/>
          <w:sz w:val="24"/>
          <w:szCs w:val="24"/>
        </w:rPr>
        <w:t xml:space="preserve">mey et de Donomadé à l’instar </w:t>
      </w:r>
      <w:r w:rsidRPr="003F7E61">
        <w:rPr>
          <w:rFonts w:ascii="Times New Roman" w:eastAsia="Calibri" w:hAnsi="Times New Roman" w:cs="Times New Roman"/>
          <w:sz w:val="24"/>
          <w:szCs w:val="24"/>
        </w:rPr>
        <w:t xml:space="preserve">d’autres villages du Togo. En effet, conscients de l’état de dégradation de perte de la production agricole, les communautés de ces deux villages ont décidé de prendre leur destin en main dans une approche communautaire. Ainsi, des actions sont menées pour la restauration des terres et des forêts des terroirs, la lutte contre la perte de la biodiversité par des actions de mis en défens, de protection des berges des cours d’eau et de reboisement des parties dégradées par les essences locales. La préservation des essences locales à valeur économique, culturelle et sociale est promue. Avec l’application des bonnes pratiques agricoles telles l’observation des jachères, l’agroforesterie, l’apport de la matière organique dans les parcelles cultivées au détriment de l’engrais chimique dont l’usage est diminué, ces deux communautés contribuent de manière local à l’augmentation du couvert végétal, l’amélioration de l’état de la diversité biologique en sauvegardant les écosystèmes, les espèces et la diversité génétique (objectifs d’Aichi 1, 2 , 4 et 13), le renforcement des avantages tirés de la biodiversité et des services fournis par les écosystèmes (objectifs d’Aichi 14 et 15). </w:t>
      </w:r>
    </w:p>
    <w:p w14:paraId="273C9E93" w14:textId="77777777" w:rsidR="003F7E61" w:rsidRPr="003F7E61" w:rsidRDefault="003F7E61" w:rsidP="003F7E61">
      <w:pPr>
        <w:jc w:val="both"/>
        <w:rPr>
          <w:rFonts w:ascii="Calibri" w:eastAsia="Calibri" w:hAnsi="Calibri" w:cs="Times New Roman"/>
          <w:b/>
          <w:i/>
        </w:rPr>
      </w:pPr>
      <w:r w:rsidRPr="003F7E61">
        <w:rPr>
          <w:rFonts w:ascii="Calibri" w:eastAsia="Calibri" w:hAnsi="Calibri" w:cs="Times New Roman"/>
          <w:b/>
          <w:i/>
        </w:rPr>
        <w:t>Les principaux résultats obtenus</w:t>
      </w:r>
    </w:p>
    <w:p w14:paraId="5B9C23CD" w14:textId="77777777" w:rsidR="003F7E61" w:rsidRPr="003F7E61" w:rsidRDefault="003F7E61" w:rsidP="003F7E61">
      <w:pPr>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Les efforts consentis dans ce processus continu ont permis l’obtention à ce jour les résultats suivants :</w:t>
      </w:r>
    </w:p>
    <w:p w14:paraId="1016445F"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L’élaboration des plans d’investissement des éco-villages pilotes d’Ando-kpomey et Donomadé ;</w:t>
      </w:r>
    </w:p>
    <w:p w14:paraId="41499C45"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L’élaboration du programme national des éco-villages au Togo ;</w:t>
      </w:r>
    </w:p>
    <w:p w14:paraId="3FFCDFE7"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La redynamisation des organes de gouvernance locale dans les deux éco-villages pilotes et la reconnaissance officielle de ces organes ;</w:t>
      </w:r>
    </w:p>
    <w:p w14:paraId="63267CC7"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 xml:space="preserve">La réalisation de 2 forages positifs avec 2 postes d’eau autonomes équipés d’électropompes solaires dans les 2 éco-villages pilotes ; </w:t>
      </w:r>
    </w:p>
    <w:p w14:paraId="568DD2A8"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La réalisation de 2 mini-centrales solaires de 10 KVA pour donner accès à l’électricité aux communautés d’Ando-kpomey et de Donomadé d’environ 1400 habitants ;</w:t>
      </w:r>
    </w:p>
    <w:p w14:paraId="19D7543F"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Appui au développement de l’apiculture dans les Ecovillages d’Ando-kpomey et Donomadé en vue de leur adhésion aux efforts de conservation des ressources naturelles et de la biodiversité des forêts naturelles en améliorant leur condition de vie à travers les revenus issus de l’exploitation du miel ;</w:t>
      </w:r>
    </w:p>
    <w:p w14:paraId="74C7A6DC"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L’aménagement des étangs piscicoles à Ando-Kpomey et Donomadé et formation des communautés sur la production écologique de poissons ;</w:t>
      </w:r>
    </w:p>
    <w:p w14:paraId="2A594C0C"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L’installation des périmètres de champs écoles écologiques et la formation des producteurs ;</w:t>
      </w:r>
    </w:p>
    <w:p w14:paraId="3EC7213B"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Réalisation d’environ 20 hectares de plantations communautaires avec des espèces à vocation bois énergie, plants agroforestiers et des fruitiers dans le cadre de l’apprentissage des bonnes pratiques de conservation des forêts ;</w:t>
      </w:r>
    </w:p>
    <w:p w14:paraId="7852A919" w14:textId="77777777" w:rsidR="003F7E61" w:rsidRPr="003F7E61" w:rsidRDefault="003F7E61" w:rsidP="00E50666">
      <w:pPr>
        <w:numPr>
          <w:ilvl w:val="0"/>
          <w:numId w:val="42"/>
        </w:num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La formation des femmes sur la fabrication des foyers améliorés et vulgarisation des foyers améliorés pour une efficacité énergétique dans les éco-villages ;</w:t>
      </w:r>
    </w:p>
    <w:p w14:paraId="162E2E07" w14:textId="77777777" w:rsidR="003F7E61" w:rsidRPr="003F7E61" w:rsidRDefault="003F7E61" w:rsidP="003F7E61">
      <w:pPr>
        <w:ind w:left="720"/>
        <w:contextualSpacing/>
        <w:jc w:val="both"/>
        <w:rPr>
          <w:rFonts w:ascii="Times New Roman" w:eastAsia="Calibri" w:hAnsi="Times New Roman" w:cs="Times New Roman"/>
          <w:sz w:val="24"/>
          <w:szCs w:val="24"/>
        </w:rPr>
      </w:pPr>
    </w:p>
    <w:tbl>
      <w:tblPr>
        <w:tblStyle w:val="Grilledutableau1"/>
        <w:tblW w:w="0" w:type="auto"/>
        <w:jc w:val="center"/>
        <w:tblLook w:val="04A0" w:firstRow="1" w:lastRow="0" w:firstColumn="1" w:lastColumn="0" w:noHBand="0" w:noVBand="1"/>
      </w:tblPr>
      <w:tblGrid>
        <w:gridCol w:w="3756"/>
        <w:gridCol w:w="3816"/>
      </w:tblGrid>
      <w:tr w:rsidR="003F7E61" w:rsidRPr="003F7E61" w14:paraId="409F1D47" w14:textId="77777777" w:rsidTr="00BC249A">
        <w:trPr>
          <w:jc w:val="center"/>
        </w:trPr>
        <w:tc>
          <w:tcPr>
            <w:tcW w:w="3756" w:type="dxa"/>
          </w:tcPr>
          <w:p w14:paraId="04A88575" w14:textId="77777777" w:rsidR="003F7E61" w:rsidRPr="003F7E61" w:rsidRDefault="003F7E61" w:rsidP="003F7E61">
            <w:pPr>
              <w:rPr>
                <w:rFonts w:ascii="Calibri" w:hAnsi="Calibri"/>
              </w:rPr>
            </w:pPr>
            <w:r w:rsidRPr="003F7E61">
              <w:rPr>
                <w:rFonts w:ascii="Calibri" w:hAnsi="Calibri"/>
                <w:noProof/>
                <w:lang w:eastAsia="fr-FR"/>
              </w:rPr>
              <w:drawing>
                <wp:inline distT="0" distB="0" distL="0" distR="0" wp14:anchorId="282B5EC1" wp14:editId="22DEE729">
                  <wp:extent cx="2245628" cy="1263165"/>
                  <wp:effectExtent l="0" t="0" r="2540" b="0"/>
                  <wp:docPr id="41"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57571" cy="1269883"/>
                          </a:xfrm>
                          <a:prstGeom prst="rect">
                            <a:avLst/>
                          </a:prstGeom>
                        </pic:spPr>
                      </pic:pic>
                    </a:graphicData>
                  </a:graphic>
                </wp:inline>
              </w:drawing>
            </w:r>
          </w:p>
        </w:tc>
        <w:tc>
          <w:tcPr>
            <w:tcW w:w="3816" w:type="dxa"/>
          </w:tcPr>
          <w:p w14:paraId="501494D9" w14:textId="77777777" w:rsidR="003F7E61" w:rsidRPr="003F7E61" w:rsidRDefault="003F7E61" w:rsidP="003F7E61">
            <w:pPr>
              <w:rPr>
                <w:rFonts w:ascii="Calibri" w:hAnsi="Calibri"/>
              </w:rPr>
            </w:pPr>
            <w:r w:rsidRPr="003F7E61">
              <w:rPr>
                <w:rFonts w:ascii="Calibri" w:hAnsi="Calibri"/>
                <w:noProof/>
                <w:lang w:eastAsia="fr-FR"/>
              </w:rPr>
              <w:drawing>
                <wp:inline distT="0" distB="0" distL="0" distR="0" wp14:anchorId="5C56C997" wp14:editId="08807A74">
                  <wp:extent cx="2278071" cy="1269684"/>
                  <wp:effectExtent l="0" t="0" r="8255" b="6985"/>
                  <wp:docPr id="4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96366" cy="1279881"/>
                          </a:xfrm>
                          <a:prstGeom prst="rect">
                            <a:avLst/>
                          </a:prstGeom>
                        </pic:spPr>
                      </pic:pic>
                    </a:graphicData>
                  </a:graphic>
                </wp:inline>
              </w:drawing>
            </w:r>
          </w:p>
        </w:tc>
      </w:tr>
    </w:tbl>
    <w:p w14:paraId="2231129C" w14:textId="53CBB681" w:rsidR="00F554C3" w:rsidRPr="0074315E" w:rsidRDefault="00F554C3" w:rsidP="0074315E">
      <w:pPr>
        <w:contextualSpacing/>
        <w:jc w:val="center"/>
        <w:rPr>
          <w:rFonts w:ascii="Calibri" w:eastAsia="Calibri" w:hAnsi="Calibri" w:cs="Times New Roman"/>
          <w:b/>
        </w:rPr>
      </w:pPr>
      <w:bookmarkStart w:id="37" w:name="_Toc533413514"/>
      <w:r w:rsidRPr="00F554C3">
        <w:rPr>
          <w:b/>
        </w:rPr>
        <w:t xml:space="preserve">Photo </w:t>
      </w:r>
      <w:r w:rsidRPr="00F554C3">
        <w:rPr>
          <w:b/>
        </w:rPr>
        <w:fldChar w:fldCharType="begin"/>
      </w:r>
      <w:r w:rsidRPr="00F554C3">
        <w:rPr>
          <w:b/>
        </w:rPr>
        <w:instrText xml:space="preserve"> SEQ Photo \* ARABIC </w:instrText>
      </w:r>
      <w:r w:rsidRPr="00F554C3">
        <w:rPr>
          <w:b/>
        </w:rPr>
        <w:fldChar w:fldCharType="separate"/>
      </w:r>
      <w:r w:rsidR="00C47BFF">
        <w:rPr>
          <w:b/>
          <w:noProof/>
        </w:rPr>
        <w:t>3</w:t>
      </w:r>
      <w:r w:rsidRPr="00F554C3">
        <w:rPr>
          <w:b/>
        </w:rPr>
        <w:fldChar w:fldCharType="end"/>
      </w:r>
      <w:r w:rsidRPr="00F554C3">
        <w:rPr>
          <w:b/>
        </w:rPr>
        <w:t xml:space="preserve"> : </w:t>
      </w:r>
      <w:r w:rsidRPr="00F554C3">
        <w:rPr>
          <w:rFonts w:ascii="Calibri" w:hAnsi="Calibri"/>
          <w:b/>
          <w:noProof/>
          <w:lang w:eastAsia="fr-FR"/>
        </w:rPr>
        <w:t>Forage et mini centrale solaire à Ando-Kpomey</w:t>
      </w:r>
      <w:bookmarkEnd w:id="37"/>
    </w:p>
    <w:p w14:paraId="1526E1ED" w14:textId="701AFDB2" w:rsidR="00F554C3" w:rsidRPr="003F7E61" w:rsidRDefault="00F554C3" w:rsidP="003F7E61">
      <w:pPr>
        <w:contextualSpacing/>
        <w:jc w:val="center"/>
        <w:rPr>
          <w:rFonts w:ascii="Calibri" w:eastAsia="Calibri" w:hAnsi="Calibri" w:cs="Times New Roman"/>
        </w:rPr>
      </w:pPr>
    </w:p>
    <w:tbl>
      <w:tblPr>
        <w:tblStyle w:val="Grilledutableau"/>
        <w:tblW w:w="0" w:type="auto"/>
        <w:tblInd w:w="846" w:type="dxa"/>
        <w:tblLook w:val="04A0" w:firstRow="1" w:lastRow="0" w:firstColumn="1" w:lastColumn="0" w:noHBand="0" w:noVBand="1"/>
      </w:tblPr>
      <w:tblGrid>
        <w:gridCol w:w="7371"/>
      </w:tblGrid>
      <w:tr w:rsidR="00F554C3" w14:paraId="38057BD1" w14:textId="77777777" w:rsidTr="00F554C3">
        <w:tc>
          <w:tcPr>
            <w:tcW w:w="7371" w:type="dxa"/>
          </w:tcPr>
          <w:p w14:paraId="55123EF1" w14:textId="56838382" w:rsidR="00F554C3" w:rsidRDefault="00F554C3" w:rsidP="003F7E61">
            <w:pPr>
              <w:contextualSpacing/>
              <w:jc w:val="center"/>
              <w:rPr>
                <w:rFonts w:ascii="Calibri" w:eastAsia="Calibri" w:hAnsi="Calibri" w:cs="Times New Roman"/>
              </w:rPr>
            </w:pPr>
            <w:r w:rsidRPr="003F7E61">
              <w:rPr>
                <w:rFonts w:ascii="Calibri" w:eastAsia="Calibri" w:hAnsi="Calibri" w:cs="Times New Roman"/>
                <w:noProof/>
                <w:lang w:eastAsia="fr-FR"/>
              </w:rPr>
              <w:drawing>
                <wp:inline distT="0" distB="0" distL="0" distR="0" wp14:anchorId="0E58F729" wp14:editId="060E86B6">
                  <wp:extent cx="3564383" cy="1797514"/>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581673" cy="1806233"/>
                          </a:xfrm>
                          <a:prstGeom prst="rect">
                            <a:avLst/>
                          </a:prstGeom>
                        </pic:spPr>
                      </pic:pic>
                    </a:graphicData>
                  </a:graphic>
                </wp:inline>
              </w:drawing>
            </w:r>
          </w:p>
        </w:tc>
      </w:tr>
    </w:tbl>
    <w:p w14:paraId="3B2DDA05" w14:textId="36C91056" w:rsidR="00F554C3" w:rsidRDefault="00F554C3" w:rsidP="0074315E">
      <w:pPr>
        <w:pStyle w:val="Lgende"/>
        <w:jc w:val="center"/>
      </w:pPr>
      <w:bookmarkStart w:id="38" w:name="_Toc533413515"/>
      <w:r w:rsidRPr="00F554C3">
        <w:t xml:space="preserve">Photo </w:t>
      </w:r>
      <w:r w:rsidR="00A55B2B">
        <w:rPr>
          <w:noProof/>
        </w:rPr>
        <w:fldChar w:fldCharType="begin"/>
      </w:r>
      <w:r w:rsidR="00A55B2B">
        <w:rPr>
          <w:noProof/>
        </w:rPr>
        <w:instrText xml:space="preserve"> SEQ Photo \* ARABIC </w:instrText>
      </w:r>
      <w:r w:rsidR="00A55B2B">
        <w:rPr>
          <w:noProof/>
        </w:rPr>
        <w:fldChar w:fldCharType="separate"/>
      </w:r>
      <w:r w:rsidR="00C47BFF">
        <w:rPr>
          <w:noProof/>
        </w:rPr>
        <w:t>4</w:t>
      </w:r>
      <w:r w:rsidR="00A55B2B">
        <w:rPr>
          <w:noProof/>
        </w:rPr>
        <w:fldChar w:fldCharType="end"/>
      </w:r>
      <w:r w:rsidRPr="00F554C3">
        <w:t> : Activités</w:t>
      </w:r>
      <w:r w:rsidR="003F7E61" w:rsidRPr="00F554C3">
        <w:t xml:space="preserve"> génératrices de revenus à Ando-Kpomey</w:t>
      </w:r>
      <w:bookmarkEnd w:id="38"/>
    </w:p>
    <w:p w14:paraId="6E4A8CF9" w14:textId="28ED85AC" w:rsidR="003F7E61" w:rsidRPr="003F7E61" w:rsidRDefault="003F7E61" w:rsidP="003F7E61">
      <w:pPr>
        <w:contextualSpacing/>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Il ressort des résultats ci-dessus, la mise en œuvre des actions spécifiques qui concourent à la conservation et au développement de la biodiversité à travers la promotion de la foresterie villageoise.</w:t>
      </w:r>
    </w:p>
    <w:p w14:paraId="3D0F1FEC" w14:textId="77777777" w:rsidR="003F7E61" w:rsidRPr="003F7E61" w:rsidRDefault="003F7E61" w:rsidP="003F7E61">
      <w:pPr>
        <w:contextualSpacing/>
        <w:jc w:val="both"/>
        <w:rPr>
          <w:rFonts w:ascii="Times New Roman" w:eastAsia="Calibri" w:hAnsi="Times New Roman" w:cs="Times New Roman"/>
          <w:sz w:val="24"/>
          <w:szCs w:val="24"/>
        </w:rPr>
      </w:pPr>
    </w:p>
    <w:p w14:paraId="08487721" w14:textId="77777777" w:rsidR="003F7E61" w:rsidRPr="003F7E61" w:rsidRDefault="003F7E61" w:rsidP="003F7E61">
      <w:pPr>
        <w:contextualSpacing/>
        <w:jc w:val="both"/>
        <w:rPr>
          <w:rFonts w:ascii="Times New Roman" w:eastAsia="Calibri" w:hAnsi="Times New Roman" w:cs="Times New Roman"/>
          <w:sz w:val="24"/>
          <w:szCs w:val="24"/>
        </w:rPr>
      </w:pPr>
    </w:p>
    <w:tbl>
      <w:tblPr>
        <w:tblStyle w:val="Grilledutableau1"/>
        <w:tblW w:w="0" w:type="auto"/>
        <w:jc w:val="center"/>
        <w:tblLook w:val="04A0" w:firstRow="1" w:lastRow="0" w:firstColumn="1" w:lastColumn="0" w:noHBand="0" w:noVBand="1"/>
      </w:tblPr>
      <w:tblGrid>
        <w:gridCol w:w="4086"/>
        <w:gridCol w:w="1863"/>
      </w:tblGrid>
      <w:tr w:rsidR="003F7E61" w:rsidRPr="003F7E61" w14:paraId="72CD0F24" w14:textId="77777777" w:rsidTr="00BC249A">
        <w:trPr>
          <w:jc w:val="center"/>
        </w:trPr>
        <w:tc>
          <w:tcPr>
            <w:tcW w:w="4086" w:type="dxa"/>
          </w:tcPr>
          <w:p w14:paraId="5F0EF106" w14:textId="77777777" w:rsidR="003F7E61" w:rsidRPr="003F7E61" w:rsidRDefault="003F7E61" w:rsidP="003F7E61">
            <w:pPr>
              <w:rPr>
                <w:rFonts w:ascii="Calibri" w:hAnsi="Calibri"/>
              </w:rPr>
            </w:pPr>
            <w:r w:rsidRPr="003F7E61">
              <w:rPr>
                <w:rFonts w:ascii="Calibri" w:hAnsi="Calibri"/>
                <w:noProof/>
                <w:lang w:eastAsia="fr-FR"/>
              </w:rPr>
              <w:drawing>
                <wp:inline distT="0" distB="0" distL="0" distR="0" wp14:anchorId="154ADBE3" wp14:editId="73E24956">
                  <wp:extent cx="2452498" cy="1379529"/>
                  <wp:effectExtent l="0" t="0" r="5080" b="0"/>
                  <wp:docPr id="4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69672" cy="1389189"/>
                          </a:xfrm>
                          <a:prstGeom prst="rect">
                            <a:avLst/>
                          </a:prstGeom>
                        </pic:spPr>
                      </pic:pic>
                    </a:graphicData>
                  </a:graphic>
                </wp:inline>
              </w:drawing>
            </w:r>
          </w:p>
        </w:tc>
        <w:tc>
          <w:tcPr>
            <w:tcW w:w="1863" w:type="dxa"/>
          </w:tcPr>
          <w:p w14:paraId="5B414A52" w14:textId="77777777" w:rsidR="003F7E61" w:rsidRPr="003F7E61" w:rsidRDefault="003F7E61" w:rsidP="003F7E61">
            <w:pPr>
              <w:rPr>
                <w:rFonts w:ascii="Calibri" w:hAnsi="Calibri"/>
              </w:rPr>
            </w:pPr>
            <w:r w:rsidRPr="003F7E61">
              <w:rPr>
                <w:rFonts w:ascii="Calibri" w:hAnsi="Calibri"/>
                <w:noProof/>
                <w:lang w:eastAsia="fr-FR"/>
              </w:rPr>
              <w:drawing>
                <wp:inline distT="0" distB="0" distL="0" distR="0" wp14:anchorId="4B245915" wp14:editId="4C7A69BF">
                  <wp:extent cx="1025396" cy="1368621"/>
                  <wp:effectExtent l="0" t="0" r="3810" b="3175"/>
                  <wp:docPr id="4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30478" cy="1375403"/>
                          </a:xfrm>
                          <a:prstGeom prst="rect">
                            <a:avLst/>
                          </a:prstGeom>
                        </pic:spPr>
                      </pic:pic>
                    </a:graphicData>
                  </a:graphic>
                </wp:inline>
              </w:drawing>
            </w:r>
          </w:p>
        </w:tc>
      </w:tr>
    </w:tbl>
    <w:p w14:paraId="63035D79" w14:textId="0AA286DC" w:rsidR="003F7E61" w:rsidRPr="0074315E" w:rsidRDefault="0074315E" w:rsidP="0074315E">
      <w:pPr>
        <w:pStyle w:val="Lgende"/>
        <w:jc w:val="center"/>
        <w:rPr>
          <w:i/>
        </w:rPr>
      </w:pPr>
      <w:bookmarkStart w:id="39" w:name="_Toc533413516"/>
      <w:r w:rsidRPr="0074315E">
        <w:t xml:space="preserve">Photo </w:t>
      </w:r>
      <w:r w:rsidR="00A55B2B">
        <w:rPr>
          <w:noProof/>
        </w:rPr>
        <w:fldChar w:fldCharType="begin"/>
      </w:r>
      <w:r w:rsidR="00A55B2B">
        <w:rPr>
          <w:noProof/>
        </w:rPr>
        <w:instrText xml:space="preserve"> SEQ Photo \* ARABIC </w:instrText>
      </w:r>
      <w:r w:rsidR="00A55B2B">
        <w:rPr>
          <w:noProof/>
        </w:rPr>
        <w:fldChar w:fldCharType="separate"/>
      </w:r>
      <w:r w:rsidR="00C47BFF">
        <w:rPr>
          <w:noProof/>
        </w:rPr>
        <w:t>5</w:t>
      </w:r>
      <w:r w:rsidR="00A55B2B">
        <w:rPr>
          <w:noProof/>
        </w:rPr>
        <w:fldChar w:fldCharType="end"/>
      </w:r>
      <w:r w:rsidRPr="0074315E">
        <w:t> :</w:t>
      </w:r>
      <w:r w:rsidRPr="0074315E">
        <w:rPr>
          <w:i/>
        </w:rPr>
        <w:t xml:space="preserve"> </w:t>
      </w:r>
      <w:r w:rsidR="003F7E61" w:rsidRPr="0074315E">
        <w:rPr>
          <w:i/>
        </w:rPr>
        <w:t>Conclusions générales et des enseignements tirés</w:t>
      </w:r>
      <w:bookmarkEnd w:id="39"/>
    </w:p>
    <w:p w14:paraId="1325C95F" w14:textId="3CB6901D" w:rsidR="003F7E61" w:rsidRPr="003F7E61" w:rsidRDefault="003F7E61" w:rsidP="003F7E61">
      <w:pPr>
        <w:jc w:val="both"/>
        <w:rPr>
          <w:rFonts w:ascii="Times New Roman" w:eastAsia="Calibri" w:hAnsi="Times New Roman" w:cs="Times New Roman"/>
          <w:sz w:val="24"/>
          <w:szCs w:val="24"/>
        </w:rPr>
      </w:pPr>
      <w:r w:rsidRPr="003F7E61">
        <w:rPr>
          <w:rFonts w:ascii="Times New Roman" w:eastAsia="Calibri" w:hAnsi="Times New Roman" w:cs="Times New Roman"/>
          <w:sz w:val="24"/>
          <w:szCs w:val="24"/>
        </w:rPr>
        <w:t>La réalisation de ces deux actions pilotes grâce à l’appui du projet a permis d’amorcer l’autonomisation de ces deux communautés villageoises leur permettant de mieux appréhender et de faire face aux problèmes de pauvreté et de renforcer leur résilience au changement climatique. En plus du renforcement des capacités des acteurs, le changement opéré dans la manière d’appréhender les difficultés et de changement de comportement pour une prise en compte dans le quotidien d’une g</w:t>
      </w:r>
      <w:r w:rsidR="00280046">
        <w:rPr>
          <w:rFonts w:ascii="Times New Roman" w:eastAsia="Calibri" w:hAnsi="Times New Roman" w:cs="Times New Roman"/>
          <w:sz w:val="24"/>
          <w:szCs w:val="24"/>
        </w:rPr>
        <w:t>estion durable</w:t>
      </w:r>
      <w:r w:rsidRPr="003F7E61">
        <w:rPr>
          <w:rFonts w:ascii="Times New Roman" w:eastAsia="Calibri" w:hAnsi="Times New Roman" w:cs="Times New Roman"/>
          <w:sz w:val="24"/>
          <w:szCs w:val="24"/>
        </w:rPr>
        <w:t xml:space="preserve"> de l’environnement sont à saluer. L’appropriation de ces deux communautés du projet est un gage certain de la pérennisation des actions mises en œuvre.</w:t>
      </w:r>
    </w:p>
    <w:p w14:paraId="6B1A2F1E" w14:textId="77777777" w:rsidR="003F7E61" w:rsidRDefault="003F7E61" w:rsidP="005A319E">
      <w:pPr>
        <w:spacing w:after="0" w:line="240" w:lineRule="auto"/>
        <w:jc w:val="both"/>
        <w:rPr>
          <w:rFonts w:ascii="Times New Roman" w:hAnsi="Times New Roman" w:cs="Times New Roman"/>
          <w:iCs/>
          <w:lang w:val="fr-CA"/>
        </w:rPr>
      </w:pPr>
    </w:p>
    <w:p w14:paraId="26A86124" w14:textId="77777777" w:rsidR="009851F3" w:rsidRPr="00E056B1" w:rsidRDefault="009851F3" w:rsidP="003A74BD">
      <w:pPr>
        <w:autoSpaceDE w:val="0"/>
        <w:autoSpaceDN w:val="0"/>
        <w:adjustRightInd w:val="0"/>
        <w:spacing w:after="0" w:line="240" w:lineRule="auto"/>
        <w:outlineLvl w:val="1"/>
        <w:rPr>
          <w:rFonts w:ascii="Times New Roman" w:hAnsi="Times New Roman" w:cs="Times New Roman"/>
          <w:b/>
          <w:color w:val="000000"/>
          <w:sz w:val="24"/>
          <w:szCs w:val="24"/>
        </w:rPr>
      </w:pPr>
      <w:bookmarkStart w:id="40" w:name="_Toc533413753"/>
      <w:r w:rsidRPr="00E056B1">
        <w:rPr>
          <w:rFonts w:ascii="Times New Roman" w:hAnsi="Times New Roman" w:cs="Times New Roman"/>
          <w:b/>
          <w:color w:val="000000"/>
          <w:sz w:val="24"/>
          <w:szCs w:val="24"/>
        </w:rPr>
        <w:t>2.</w:t>
      </w:r>
      <w:r w:rsidR="00F9674D">
        <w:rPr>
          <w:rFonts w:ascii="Times New Roman" w:hAnsi="Times New Roman" w:cs="Times New Roman"/>
          <w:b/>
          <w:color w:val="000000"/>
          <w:sz w:val="24"/>
          <w:szCs w:val="24"/>
        </w:rPr>
        <w:t>4</w:t>
      </w:r>
      <w:r w:rsidRPr="00E056B1">
        <w:rPr>
          <w:rFonts w:ascii="Times New Roman" w:hAnsi="Times New Roman" w:cs="Times New Roman"/>
          <w:b/>
          <w:color w:val="000000"/>
          <w:sz w:val="24"/>
          <w:szCs w:val="24"/>
        </w:rPr>
        <w:t>. Obstacles et besoins scientifiques et techniques</w:t>
      </w:r>
      <w:bookmarkEnd w:id="40"/>
    </w:p>
    <w:p w14:paraId="24A376E6" w14:textId="77777777" w:rsidR="009851F3" w:rsidRPr="00E056B1" w:rsidRDefault="009851F3" w:rsidP="00E056B1">
      <w:pPr>
        <w:autoSpaceDE w:val="0"/>
        <w:autoSpaceDN w:val="0"/>
        <w:adjustRightInd w:val="0"/>
        <w:spacing w:after="0" w:line="240" w:lineRule="auto"/>
        <w:jc w:val="both"/>
        <w:rPr>
          <w:rFonts w:ascii="Times New Roman" w:hAnsi="Times New Roman" w:cs="Times New Roman"/>
          <w:b/>
          <w:bCs/>
          <w:color w:val="000000"/>
          <w:sz w:val="24"/>
          <w:szCs w:val="24"/>
        </w:rPr>
      </w:pPr>
    </w:p>
    <w:p w14:paraId="2E1520B6" w14:textId="77777777" w:rsidR="003B7089" w:rsidRPr="00E056B1" w:rsidRDefault="00F9674D" w:rsidP="003A74BD">
      <w:pPr>
        <w:spacing w:after="0" w:line="240" w:lineRule="auto"/>
        <w:outlineLvl w:val="2"/>
        <w:rPr>
          <w:rFonts w:ascii="Times New Roman" w:hAnsi="Times New Roman" w:cs="Times New Roman"/>
          <w:b/>
          <w:iCs/>
          <w:kern w:val="22"/>
          <w:sz w:val="24"/>
          <w:szCs w:val="24"/>
        </w:rPr>
      </w:pPr>
      <w:bookmarkStart w:id="41" w:name="_Toc533413754"/>
      <w:r>
        <w:rPr>
          <w:rFonts w:ascii="Times New Roman" w:hAnsi="Times New Roman" w:cs="Times New Roman"/>
          <w:b/>
          <w:iCs/>
          <w:kern w:val="22"/>
          <w:sz w:val="24"/>
          <w:szCs w:val="24"/>
        </w:rPr>
        <w:t>2.4</w:t>
      </w:r>
      <w:r w:rsidR="003B7089" w:rsidRPr="00E056B1">
        <w:rPr>
          <w:rFonts w:ascii="Times New Roman" w:hAnsi="Times New Roman" w:cs="Times New Roman"/>
          <w:b/>
          <w:iCs/>
          <w:kern w:val="22"/>
          <w:sz w:val="24"/>
          <w:szCs w:val="24"/>
        </w:rPr>
        <w:t xml:space="preserve">.1. </w:t>
      </w:r>
      <w:r w:rsidR="008D552C" w:rsidRPr="00E056B1">
        <w:rPr>
          <w:rFonts w:ascii="Times New Roman" w:hAnsi="Times New Roman" w:cs="Times New Roman"/>
          <w:b/>
          <w:iCs/>
          <w:kern w:val="22"/>
          <w:sz w:val="24"/>
          <w:szCs w:val="24"/>
        </w:rPr>
        <w:t>O</w:t>
      </w:r>
      <w:r w:rsidR="009851F3" w:rsidRPr="00E056B1">
        <w:rPr>
          <w:rFonts w:ascii="Times New Roman" w:hAnsi="Times New Roman" w:cs="Times New Roman"/>
          <w:b/>
          <w:iCs/>
          <w:kern w:val="22"/>
          <w:sz w:val="24"/>
          <w:szCs w:val="24"/>
        </w:rPr>
        <w:t xml:space="preserve">bstacles identifiés ou rencontrés en termes de mise en œuvre </w:t>
      </w:r>
      <w:r w:rsidR="003B7089" w:rsidRPr="00E056B1">
        <w:rPr>
          <w:rFonts w:ascii="Times New Roman" w:hAnsi="Times New Roman" w:cs="Times New Roman"/>
          <w:b/>
          <w:iCs/>
          <w:kern w:val="22"/>
          <w:sz w:val="24"/>
          <w:szCs w:val="24"/>
        </w:rPr>
        <w:t>de la SPANB</w:t>
      </w:r>
      <w:bookmarkEnd w:id="41"/>
    </w:p>
    <w:p w14:paraId="7B94A0B5" w14:textId="77777777" w:rsidR="003B7089" w:rsidRPr="00E056B1" w:rsidRDefault="003B7089" w:rsidP="00E056B1">
      <w:pPr>
        <w:spacing w:after="0" w:line="240" w:lineRule="auto"/>
        <w:jc w:val="both"/>
        <w:rPr>
          <w:rFonts w:ascii="Times New Roman" w:hAnsi="Times New Roman" w:cs="Times New Roman"/>
          <w:i/>
          <w:iCs/>
          <w:kern w:val="22"/>
          <w:sz w:val="24"/>
          <w:szCs w:val="24"/>
        </w:rPr>
      </w:pPr>
    </w:p>
    <w:p w14:paraId="0FE6419C" w14:textId="77777777" w:rsidR="006B16E3" w:rsidRPr="00E056B1" w:rsidRDefault="00D304FD" w:rsidP="00E056B1">
      <w:pPr>
        <w:spacing w:after="0" w:line="240" w:lineRule="auto"/>
        <w:jc w:val="both"/>
        <w:rPr>
          <w:rFonts w:ascii="Times New Roman" w:hAnsi="Times New Roman" w:cs="Times New Roman"/>
          <w:b/>
          <w:i/>
          <w:iCs/>
          <w:kern w:val="22"/>
          <w:sz w:val="24"/>
          <w:szCs w:val="24"/>
        </w:rPr>
      </w:pPr>
      <w:r w:rsidRPr="00E056B1">
        <w:rPr>
          <w:rFonts w:ascii="Times New Roman" w:hAnsi="Times New Roman" w:cs="Times New Roman"/>
          <w:b/>
          <w:i/>
          <w:iCs/>
          <w:kern w:val="22"/>
          <w:sz w:val="24"/>
          <w:szCs w:val="24"/>
        </w:rPr>
        <w:t>Sur le plan de la g</w:t>
      </w:r>
      <w:r w:rsidR="006B16E3" w:rsidRPr="00E056B1">
        <w:rPr>
          <w:rFonts w:ascii="Times New Roman" w:hAnsi="Times New Roman" w:cs="Times New Roman"/>
          <w:b/>
          <w:i/>
          <w:iCs/>
          <w:kern w:val="22"/>
          <w:sz w:val="24"/>
          <w:szCs w:val="24"/>
        </w:rPr>
        <w:t>ouvernance :</w:t>
      </w:r>
    </w:p>
    <w:p w14:paraId="0F6FA8E9" w14:textId="77777777" w:rsidR="006B16E3" w:rsidRPr="00E056B1" w:rsidRDefault="006B16E3"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Ingérence négative du politique dans la gestion des ressources naturelles</w:t>
      </w:r>
      <w:r w:rsidR="00D304FD" w:rsidRPr="00E056B1">
        <w:rPr>
          <w:rFonts w:ascii="Times New Roman" w:eastAsia="Calibri" w:hAnsi="Times New Roman" w:cs="Times New Roman"/>
          <w:sz w:val="24"/>
          <w:szCs w:val="24"/>
        </w:rPr>
        <w:t>, notamment en matière de gestion des aires protégées ;</w:t>
      </w:r>
    </w:p>
    <w:p w14:paraId="49AF9EB4" w14:textId="77777777" w:rsidR="0002642D" w:rsidRPr="00E056B1" w:rsidRDefault="006B28E9" w:rsidP="00E50666">
      <w:pPr>
        <w:pStyle w:val="Paragraphedeliste"/>
        <w:numPr>
          <w:ilvl w:val="0"/>
          <w:numId w:val="12"/>
        </w:numPr>
        <w:spacing w:after="0" w:line="240" w:lineRule="auto"/>
        <w:jc w:val="both"/>
        <w:rPr>
          <w:rFonts w:ascii="Times New Roman" w:hAnsi="Times New Roman" w:cs="Times New Roman"/>
          <w:iCs/>
          <w:kern w:val="22"/>
          <w:sz w:val="24"/>
          <w:szCs w:val="24"/>
        </w:rPr>
      </w:pPr>
      <w:r w:rsidRPr="00E056B1">
        <w:rPr>
          <w:rFonts w:ascii="Times New Roman" w:hAnsi="Times New Roman" w:cs="Times New Roman"/>
          <w:sz w:val="24"/>
          <w:szCs w:val="24"/>
        </w:rPr>
        <w:t>Faible niveau de décentralisation </w:t>
      </w:r>
      <w:r w:rsidR="004731C1" w:rsidRPr="00E056B1">
        <w:rPr>
          <w:rFonts w:ascii="Times New Roman" w:eastAsia="Calibri" w:hAnsi="Times New Roman" w:cs="Times New Roman"/>
          <w:sz w:val="24"/>
          <w:szCs w:val="24"/>
        </w:rPr>
        <w:t>;</w:t>
      </w:r>
    </w:p>
    <w:p w14:paraId="716831BC" w14:textId="77777777" w:rsidR="00CF3DF5" w:rsidRPr="00E056B1" w:rsidRDefault="006B28E9" w:rsidP="00E50666">
      <w:pPr>
        <w:pStyle w:val="Paragraphedeliste"/>
        <w:numPr>
          <w:ilvl w:val="0"/>
          <w:numId w:val="12"/>
        </w:numPr>
        <w:spacing w:after="0" w:line="240" w:lineRule="auto"/>
        <w:jc w:val="both"/>
        <w:rPr>
          <w:rFonts w:ascii="Times New Roman" w:hAnsi="Times New Roman" w:cs="Times New Roman"/>
          <w:iCs/>
          <w:kern w:val="22"/>
          <w:sz w:val="24"/>
          <w:szCs w:val="24"/>
        </w:rPr>
      </w:pPr>
      <w:r w:rsidRPr="00E056B1">
        <w:rPr>
          <w:rFonts w:ascii="Times New Roman" w:eastAsia="Calibri" w:hAnsi="Times New Roman" w:cs="Times New Roman"/>
          <w:sz w:val="24"/>
          <w:szCs w:val="24"/>
        </w:rPr>
        <w:t xml:space="preserve"> instabilité institutionnelle, f</w:t>
      </w:r>
      <w:r w:rsidR="004E0C33" w:rsidRPr="00E056B1">
        <w:rPr>
          <w:rFonts w:ascii="Times New Roman" w:eastAsia="Calibri" w:hAnsi="Times New Roman" w:cs="Times New Roman"/>
          <w:sz w:val="24"/>
          <w:szCs w:val="24"/>
        </w:rPr>
        <w:t xml:space="preserve">aible synergie </w:t>
      </w:r>
      <w:r w:rsidR="008974A2" w:rsidRPr="00E056B1">
        <w:rPr>
          <w:rFonts w:ascii="Times New Roman" w:eastAsia="Calibri" w:hAnsi="Times New Roman" w:cs="Times New Roman"/>
          <w:sz w:val="24"/>
          <w:szCs w:val="24"/>
        </w:rPr>
        <w:t>entre l</w:t>
      </w:r>
      <w:r w:rsidR="004E0C33" w:rsidRPr="00E056B1">
        <w:rPr>
          <w:rFonts w:ascii="Times New Roman" w:eastAsia="Calibri" w:hAnsi="Times New Roman" w:cs="Times New Roman"/>
          <w:sz w:val="24"/>
          <w:szCs w:val="24"/>
        </w:rPr>
        <w:t>es instituti</w:t>
      </w:r>
      <w:r w:rsidR="008974A2" w:rsidRPr="00E056B1">
        <w:rPr>
          <w:rFonts w:ascii="Times New Roman" w:eastAsia="Calibri" w:hAnsi="Times New Roman" w:cs="Times New Roman"/>
          <w:sz w:val="24"/>
          <w:szCs w:val="24"/>
        </w:rPr>
        <w:t>ons intervenant dans le secteur</w:t>
      </w:r>
      <w:r w:rsidR="004731C1" w:rsidRPr="00E056B1">
        <w:rPr>
          <w:rFonts w:ascii="Times New Roman" w:eastAsia="Calibri" w:hAnsi="Times New Roman" w:cs="Times New Roman"/>
          <w:sz w:val="24"/>
          <w:szCs w:val="24"/>
        </w:rPr>
        <w:t xml:space="preserve">, </w:t>
      </w:r>
      <w:r w:rsidR="008974A2" w:rsidRPr="00E056B1">
        <w:rPr>
          <w:rFonts w:ascii="Times New Roman" w:eastAsia="Calibri" w:hAnsi="Times New Roman" w:cs="Times New Roman"/>
          <w:sz w:val="24"/>
          <w:szCs w:val="24"/>
        </w:rPr>
        <w:t>etc</w:t>
      </w:r>
      <w:r w:rsidR="0002642D" w:rsidRPr="00E056B1">
        <w:rPr>
          <w:rFonts w:ascii="Times New Roman" w:eastAsia="Calibri" w:hAnsi="Times New Roman" w:cs="Times New Roman"/>
          <w:sz w:val="24"/>
          <w:szCs w:val="24"/>
        </w:rPr>
        <w:t>.</w:t>
      </w:r>
    </w:p>
    <w:p w14:paraId="4548EB0A" w14:textId="77777777" w:rsidR="003E1E08" w:rsidRPr="00E056B1" w:rsidRDefault="000E69F5" w:rsidP="00E50666">
      <w:pPr>
        <w:pStyle w:val="Paragraphedeliste"/>
        <w:numPr>
          <w:ilvl w:val="0"/>
          <w:numId w:val="12"/>
        </w:numPr>
        <w:spacing w:after="0" w:line="240" w:lineRule="auto"/>
        <w:jc w:val="both"/>
        <w:rPr>
          <w:rFonts w:ascii="Times New Roman" w:hAnsi="Times New Roman" w:cs="Times New Roman"/>
          <w:iCs/>
          <w:kern w:val="22"/>
          <w:sz w:val="24"/>
          <w:szCs w:val="24"/>
        </w:rPr>
      </w:pPr>
      <w:r>
        <w:rPr>
          <w:rFonts w:ascii="Times New Roman" w:hAnsi="Times New Roman" w:cs="Times New Roman"/>
          <w:sz w:val="24"/>
          <w:szCs w:val="24"/>
        </w:rPr>
        <w:t>Insuffisance</w:t>
      </w:r>
      <w:r w:rsidR="004958C6" w:rsidRPr="00E056B1">
        <w:rPr>
          <w:rFonts w:ascii="Times New Roman" w:hAnsi="Times New Roman" w:cs="Times New Roman"/>
          <w:sz w:val="24"/>
          <w:szCs w:val="24"/>
        </w:rPr>
        <w:t xml:space="preserve"> des textes d’application adaptés aux réalitées locales</w:t>
      </w:r>
      <w:r w:rsidR="00CF3DF5" w:rsidRPr="00E056B1">
        <w:rPr>
          <w:rFonts w:ascii="Times New Roman" w:hAnsi="Times New Roman" w:cs="Times New Roman"/>
          <w:sz w:val="24"/>
          <w:szCs w:val="24"/>
        </w:rPr>
        <w:t xml:space="preserve"> ou </w:t>
      </w:r>
      <w:r w:rsidR="00CF3DF5" w:rsidRPr="00E056B1">
        <w:rPr>
          <w:rFonts w:ascii="Times New Roman" w:eastAsia="Calibri" w:hAnsi="Times New Roman" w:cs="Times New Roman"/>
          <w:sz w:val="24"/>
          <w:szCs w:val="24"/>
        </w:rPr>
        <w:t>complexité d’application de certains textes (Ex. le code sur le foncier)</w:t>
      </w:r>
      <w:r w:rsidR="006B28E9" w:rsidRPr="00E056B1">
        <w:rPr>
          <w:rFonts w:ascii="Times New Roman" w:eastAsia="Calibri" w:hAnsi="Times New Roman" w:cs="Times New Roman"/>
          <w:sz w:val="24"/>
          <w:szCs w:val="24"/>
        </w:rPr>
        <w:t xml:space="preserve">, ou encore </w:t>
      </w:r>
      <w:r w:rsidR="006B28E9" w:rsidRPr="00E056B1">
        <w:rPr>
          <w:rFonts w:ascii="Times New Roman" w:hAnsi="Times New Roman" w:cs="Times New Roman"/>
          <w:sz w:val="24"/>
          <w:szCs w:val="24"/>
        </w:rPr>
        <w:t>inadéquation d’autres par rapport aux réalités actuelles ;</w:t>
      </w:r>
    </w:p>
    <w:p w14:paraId="196DAE49" w14:textId="77777777" w:rsidR="003E1E08" w:rsidRPr="00E056B1" w:rsidRDefault="003E1E08" w:rsidP="00E50666">
      <w:pPr>
        <w:pStyle w:val="Paragraphedeliste"/>
        <w:numPr>
          <w:ilvl w:val="0"/>
          <w:numId w:val="12"/>
        </w:numPr>
        <w:spacing w:after="0" w:line="240" w:lineRule="auto"/>
        <w:jc w:val="both"/>
        <w:rPr>
          <w:rFonts w:ascii="Times New Roman" w:hAnsi="Times New Roman" w:cs="Times New Roman"/>
          <w:iCs/>
          <w:kern w:val="22"/>
          <w:sz w:val="24"/>
          <w:szCs w:val="24"/>
        </w:rPr>
      </w:pPr>
      <w:r w:rsidRPr="00E056B1">
        <w:rPr>
          <w:rFonts w:ascii="Times New Roman" w:hAnsi="Times New Roman" w:cs="Times New Roman"/>
          <w:sz w:val="24"/>
          <w:szCs w:val="24"/>
        </w:rPr>
        <w:t>I</w:t>
      </w:r>
      <w:r w:rsidRPr="00E056B1">
        <w:rPr>
          <w:rFonts w:ascii="Times New Roman" w:eastAsia="Calibri" w:hAnsi="Times New Roman" w:cs="Times New Roman"/>
          <w:sz w:val="24"/>
          <w:szCs w:val="24"/>
        </w:rPr>
        <w:t xml:space="preserve">nsuffisance du personnel forestier ; </w:t>
      </w:r>
    </w:p>
    <w:p w14:paraId="1FC3DD38" w14:textId="77777777" w:rsidR="003E685A" w:rsidRPr="00E056B1" w:rsidRDefault="003E685A" w:rsidP="00E50666">
      <w:pPr>
        <w:pStyle w:val="Paragraphedeliste"/>
        <w:numPr>
          <w:ilvl w:val="0"/>
          <w:numId w:val="12"/>
        </w:numPr>
        <w:spacing w:after="0" w:line="240" w:lineRule="auto"/>
        <w:jc w:val="both"/>
        <w:rPr>
          <w:rFonts w:ascii="Times New Roman" w:hAnsi="Times New Roman" w:cs="Times New Roman"/>
          <w:iCs/>
          <w:kern w:val="22"/>
          <w:sz w:val="24"/>
          <w:szCs w:val="24"/>
        </w:rPr>
      </w:pPr>
      <w:r w:rsidRPr="00E056B1">
        <w:rPr>
          <w:rFonts w:ascii="Times New Roman" w:eastAsia="Calibri" w:hAnsi="Times New Roman" w:cs="Times New Roman"/>
          <w:sz w:val="24"/>
          <w:szCs w:val="24"/>
        </w:rPr>
        <w:t>Difficulté de collaboration des</w:t>
      </w:r>
      <w:r w:rsidR="00087FF9">
        <w:rPr>
          <w:rFonts w:ascii="Times New Roman" w:eastAsia="Calibri" w:hAnsi="Times New Roman" w:cs="Times New Roman"/>
          <w:sz w:val="24"/>
          <w:szCs w:val="24"/>
        </w:rPr>
        <w:t xml:space="preserve"> services étatiques avec les</w:t>
      </w:r>
      <w:r w:rsidRPr="00E056B1">
        <w:rPr>
          <w:rFonts w:ascii="Times New Roman" w:eastAsia="Calibri" w:hAnsi="Times New Roman" w:cs="Times New Roman"/>
          <w:sz w:val="24"/>
          <w:szCs w:val="24"/>
        </w:rPr>
        <w:t xml:space="preserve"> ONG ;</w:t>
      </w:r>
    </w:p>
    <w:p w14:paraId="380A77C0" w14:textId="77777777" w:rsidR="003E685A" w:rsidRPr="00E056B1" w:rsidRDefault="003E685A" w:rsidP="00E50666">
      <w:pPr>
        <w:pStyle w:val="Paragraphedeliste"/>
        <w:numPr>
          <w:ilvl w:val="0"/>
          <w:numId w:val="12"/>
        </w:numPr>
        <w:tabs>
          <w:tab w:val="left" w:pos="0"/>
        </w:tabs>
        <w:spacing w:after="0" w:line="240" w:lineRule="auto"/>
        <w:rPr>
          <w:rFonts w:ascii="Times New Roman" w:eastAsia="Times New Roman" w:hAnsi="Times New Roman" w:cs="Times New Roman"/>
          <w:sz w:val="24"/>
          <w:szCs w:val="24"/>
          <w:lang w:eastAsia="fr-FR"/>
        </w:rPr>
      </w:pPr>
      <w:r w:rsidRPr="00E056B1">
        <w:rPr>
          <w:rFonts w:ascii="Times New Roman" w:eastAsia="Times New Roman" w:hAnsi="Times New Roman" w:cs="Times New Roman"/>
          <w:sz w:val="24"/>
          <w:szCs w:val="24"/>
          <w:lang w:eastAsia="fr-FR"/>
        </w:rPr>
        <w:t>Faible capacité des OSC en termes de financement, de matériel et de formation pour la mise en œuvre de leurs activités ;</w:t>
      </w:r>
    </w:p>
    <w:p w14:paraId="04A0C264" w14:textId="42C3903D" w:rsidR="003E1E08" w:rsidRPr="00E056B1" w:rsidRDefault="00087FF9" w:rsidP="00E50666">
      <w:pPr>
        <w:pStyle w:val="Paragraphedeliste"/>
        <w:numPr>
          <w:ilvl w:val="0"/>
          <w:numId w:val="12"/>
        </w:numPr>
        <w:spacing w:after="0" w:line="240" w:lineRule="auto"/>
        <w:jc w:val="both"/>
        <w:rPr>
          <w:rFonts w:ascii="Times New Roman" w:hAnsi="Times New Roman" w:cs="Times New Roman"/>
          <w:iCs/>
          <w:kern w:val="22"/>
          <w:sz w:val="24"/>
          <w:szCs w:val="24"/>
        </w:rPr>
      </w:pPr>
      <w:r>
        <w:rPr>
          <w:rFonts w:ascii="Times New Roman" w:eastAsia="Calibri" w:hAnsi="Times New Roman" w:cs="Times New Roman"/>
          <w:sz w:val="24"/>
          <w:szCs w:val="24"/>
        </w:rPr>
        <w:t>Insuffisance</w:t>
      </w:r>
      <w:r w:rsidR="008974A2" w:rsidRPr="00E056B1">
        <w:rPr>
          <w:rFonts w:ascii="Times New Roman" w:eastAsia="Calibri" w:hAnsi="Times New Roman" w:cs="Times New Roman"/>
          <w:sz w:val="24"/>
          <w:szCs w:val="24"/>
        </w:rPr>
        <w:t xml:space="preserve"> de budget de fonctionnement des</w:t>
      </w:r>
      <w:r w:rsidR="00280046">
        <w:rPr>
          <w:rFonts w:ascii="Times New Roman" w:eastAsia="Calibri" w:hAnsi="Times New Roman" w:cs="Times New Roman"/>
          <w:sz w:val="24"/>
          <w:szCs w:val="24"/>
        </w:rPr>
        <w:t xml:space="preserve"> </w:t>
      </w:r>
      <w:r>
        <w:rPr>
          <w:rFonts w:ascii="Times New Roman" w:eastAsia="Calibri" w:hAnsi="Times New Roman" w:cs="Times New Roman"/>
          <w:sz w:val="24"/>
          <w:szCs w:val="24"/>
        </w:rPr>
        <w:t>services</w:t>
      </w:r>
      <w:r w:rsidR="00AD4D09">
        <w:rPr>
          <w:rFonts w:ascii="Times New Roman" w:eastAsia="Calibri" w:hAnsi="Times New Roman" w:cs="Times New Roman"/>
          <w:sz w:val="24"/>
          <w:szCs w:val="24"/>
        </w:rPr>
        <w:t xml:space="preserve"> </w:t>
      </w:r>
      <w:r>
        <w:rPr>
          <w:rFonts w:ascii="Times New Roman" w:eastAsia="Calibri" w:hAnsi="Times New Roman" w:cs="Times New Roman"/>
          <w:sz w:val="24"/>
          <w:szCs w:val="24"/>
        </w:rPr>
        <w:t>déconcentrés</w:t>
      </w:r>
      <w:r w:rsidR="008974A2" w:rsidRPr="00E056B1">
        <w:rPr>
          <w:rFonts w:ascii="Times New Roman" w:eastAsia="Calibri" w:hAnsi="Times New Roman" w:cs="Times New Roman"/>
          <w:sz w:val="24"/>
          <w:szCs w:val="24"/>
        </w:rPr>
        <w:t>;</w:t>
      </w:r>
    </w:p>
    <w:p w14:paraId="20530DC0" w14:textId="613C6455" w:rsidR="001711FB" w:rsidRPr="00CD4B9B" w:rsidRDefault="00B46BB8"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CD4B9B">
        <w:rPr>
          <w:rFonts w:ascii="Times New Roman" w:eastAsia="Calibri" w:hAnsi="Times New Roman" w:cs="Times New Roman"/>
          <w:sz w:val="24"/>
          <w:szCs w:val="24"/>
        </w:rPr>
        <w:t>Non prise des mesures visant à réglementer l’accès aux ressources phytogénétiques</w:t>
      </w:r>
      <w:r w:rsidR="00AD4D09" w:rsidRPr="00CD4B9B">
        <w:rPr>
          <w:rFonts w:ascii="Times New Roman" w:eastAsia="Calibri" w:hAnsi="Times New Roman" w:cs="Times New Roman"/>
          <w:sz w:val="24"/>
          <w:szCs w:val="24"/>
        </w:rPr>
        <w:t xml:space="preserve"> pour l’alimentation et l’agriculture.</w:t>
      </w:r>
      <w:r w:rsidRPr="00CD4B9B">
        <w:rPr>
          <w:rFonts w:ascii="Times New Roman" w:eastAsia="Calibri" w:hAnsi="Times New Roman" w:cs="Times New Roman"/>
          <w:sz w:val="24"/>
          <w:szCs w:val="24"/>
        </w:rPr>
        <w:t xml:space="preserve"> De même, les mesures et procédures juridiques</w:t>
      </w:r>
      <w:r w:rsidR="00AD4D09" w:rsidRPr="00CD4B9B">
        <w:rPr>
          <w:rFonts w:ascii="Times New Roman" w:eastAsia="Calibri" w:hAnsi="Times New Roman" w:cs="Times New Roman"/>
          <w:sz w:val="24"/>
          <w:szCs w:val="24"/>
        </w:rPr>
        <w:t>, politiques et administratives pour l’accès et le partages des avantages découlant de l’utilisation des ressources génétiques ne sont pas encore prises</w:t>
      </w:r>
      <w:r w:rsidR="00CD4B9B">
        <w:rPr>
          <w:rFonts w:ascii="Times New Roman" w:eastAsia="Calibri" w:hAnsi="Times New Roman" w:cs="Times New Roman"/>
          <w:sz w:val="24"/>
          <w:szCs w:val="24"/>
        </w:rPr>
        <w:t>.</w:t>
      </w:r>
      <w:r w:rsidRPr="00CD4B9B">
        <w:rPr>
          <w:rFonts w:ascii="Times New Roman" w:eastAsia="Calibri" w:hAnsi="Times New Roman" w:cs="Times New Roman"/>
          <w:sz w:val="24"/>
          <w:szCs w:val="24"/>
        </w:rPr>
        <w:t xml:space="preserve"> </w:t>
      </w:r>
    </w:p>
    <w:p w14:paraId="2D43470F" w14:textId="77777777" w:rsidR="004E0C33" w:rsidRPr="00E056B1" w:rsidRDefault="003E7982" w:rsidP="00E056B1">
      <w:pPr>
        <w:spacing w:after="0" w:line="240" w:lineRule="auto"/>
        <w:rPr>
          <w:rFonts w:ascii="Times New Roman" w:eastAsia="Calibri" w:hAnsi="Times New Roman" w:cs="Times New Roman"/>
          <w:b/>
          <w:i/>
          <w:sz w:val="24"/>
          <w:szCs w:val="24"/>
        </w:rPr>
      </w:pPr>
      <w:r w:rsidRPr="00E056B1">
        <w:rPr>
          <w:rFonts w:ascii="Times New Roman" w:eastAsia="Calibri" w:hAnsi="Times New Roman" w:cs="Times New Roman"/>
          <w:b/>
          <w:i/>
          <w:sz w:val="24"/>
          <w:szCs w:val="24"/>
        </w:rPr>
        <w:t>Sur le plan de la formation et renforcement des capacités :</w:t>
      </w:r>
    </w:p>
    <w:p w14:paraId="0909C8CB" w14:textId="64E1F342" w:rsidR="00087FF9" w:rsidRDefault="003E7982"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Insuffisance de recyclage et de formation</w:t>
      </w:r>
      <w:r w:rsidR="00CD4B9B">
        <w:rPr>
          <w:rFonts w:ascii="Times New Roman" w:eastAsia="Calibri" w:hAnsi="Times New Roman" w:cs="Times New Roman"/>
          <w:sz w:val="24"/>
          <w:szCs w:val="24"/>
        </w:rPr>
        <w:t xml:space="preserve"> du personnel du MERF ;</w:t>
      </w:r>
      <w:r w:rsidRPr="00E056B1">
        <w:rPr>
          <w:rFonts w:ascii="Times New Roman" w:eastAsia="Calibri" w:hAnsi="Times New Roman" w:cs="Times New Roman"/>
          <w:sz w:val="24"/>
          <w:szCs w:val="24"/>
        </w:rPr>
        <w:t xml:space="preserve">  </w:t>
      </w:r>
    </w:p>
    <w:p w14:paraId="5768CC04" w14:textId="77777777" w:rsidR="003E7982" w:rsidRPr="00E056B1" w:rsidRDefault="00087FF9" w:rsidP="00E50666">
      <w:pPr>
        <w:pStyle w:val="Paragraphedeliste"/>
        <w:numPr>
          <w:ilvl w:val="0"/>
          <w:numId w:val="1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insuffisance</w:t>
      </w:r>
      <w:r w:rsidR="003E7982" w:rsidRPr="00E056B1">
        <w:rPr>
          <w:rFonts w:ascii="Times New Roman" w:eastAsia="Calibri" w:hAnsi="Times New Roman" w:cs="Times New Roman"/>
          <w:sz w:val="24"/>
          <w:szCs w:val="24"/>
        </w:rPr>
        <w:t xml:space="preserve"> de ressource hum</w:t>
      </w:r>
      <w:r>
        <w:rPr>
          <w:rFonts w:ascii="Times New Roman" w:eastAsia="Calibri" w:hAnsi="Times New Roman" w:cs="Times New Roman"/>
          <w:sz w:val="24"/>
          <w:szCs w:val="24"/>
        </w:rPr>
        <w:t>a</w:t>
      </w:r>
      <w:r w:rsidR="003E7982" w:rsidRPr="00E056B1">
        <w:rPr>
          <w:rFonts w:ascii="Times New Roman" w:eastAsia="Calibri" w:hAnsi="Times New Roman" w:cs="Times New Roman"/>
          <w:sz w:val="24"/>
          <w:szCs w:val="24"/>
        </w:rPr>
        <w:t>ine ;</w:t>
      </w:r>
    </w:p>
    <w:p w14:paraId="6A679F1A" w14:textId="4B3E17C6" w:rsidR="006744B9" w:rsidRPr="00E056B1" w:rsidRDefault="00CD4B9B" w:rsidP="00E50666">
      <w:pPr>
        <w:pStyle w:val="Paragraphedeliste"/>
        <w:numPr>
          <w:ilvl w:val="0"/>
          <w:numId w:val="1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w:t>
      </w:r>
      <w:r w:rsidR="00087FF9">
        <w:rPr>
          <w:rFonts w:ascii="Times New Roman" w:eastAsia="Calibri" w:hAnsi="Times New Roman" w:cs="Times New Roman"/>
          <w:sz w:val="24"/>
          <w:szCs w:val="24"/>
        </w:rPr>
        <w:t>nsuffisance de vulgarisation des documents sur les thématique</w:t>
      </w:r>
      <w:r w:rsidR="009C7085">
        <w:rPr>
          <w:rFonts w:ascii="Times New Roman" w:eastAsia="Calibri" w:hAnsi="Times New Roman" w:cs="Times New Roman"/>
          <w:sz w:val="24"/>
          <w:szCs w:val="24"/>
        </w:rPr>
        <w:t>s</w:t>
      </w:r>
      <w:r w:rsidR="00087FF9">
        <w:rPr>
          <w:rFonts w:ascii="Times New Roman" w:eastAsia="Calibri" w:hAnsi="Times New Roman" w:cs="Times New Roman"/>
          <w:sz w:val="24"/>
          <w:szCs w:val="24"/>
        </w:rPr>
        <w:t xml:space="preserve"> de la biodiversité</w:t>
      </w:r>
      <w:r w:rsidR="006744B9" w:rsidRPr="00E056B1">
        <w:rPr>
          <w:rFonts w:ascii="Times New Roman" w:eastAsia="Calibri" w:hAnsi="Times New Roman" w:cs="Times New Roman"/>
          <w:sz w:val="24"/>
          <w:szCs w:val="24"/>
        </w:rPr>
        <w:t>;</w:t>
      </w:r>
    </w:p>
    <w:p w14:paraId="244F86A2" w14:textId="2822D6E1" w:rsidR="00CB6292" w:rsidRDefault="00CD4B9B" w:rsidP="00E50666">
      <w:pPr>
        <w:pStyle w:val="Paragraphedeliste"/>
        <w:numPr>
          <w:ilvl w:val="0"/>
          <w:numId w:val="12"/>
        </w:numPr>
        <w:spacing w:after="0" w:line="240" w:lineRule="auto"/>
        <w:rPr>
          <w:rFonts w:ascii="Times New Roman" w:hAnsi="Times New Roman" w:cs="Times New Roman"/>
          <w:sz w:val="24"/>
          <w:szCs w:val="24"/>
        </w:rPr>
      </w:pPr>
      <w:r>
        <w:rPr>
          <w:rFonts w:ascii="Times New Roman" w:hAnsi="Times New Roman" w:cs="Times New Roman"/>
          <w:sz w:val="24"/>
          <w:szCs w:val="24"/>
        </w:rPr>
        <w:t>i</w:t>
      </w:r>
      <w:r w:rsidR="00087FF9">
        <w:rPr>
          <w:rFonts w:ascii="Times New Roman" w:hAnsi="Times New Roman" w:cs="Times New Roman"/>
          <w:sz w:val="24"/>
          <w:szCs w:val="24"/>
        </w:rPr>
        <w:t>nsuffisance</w:t>
      </w:r>
      <w:r w:rsidR="00CB6292" w:rsidRPr="00E056B1">
        <w:rPr>
          <w:rFonts w:ascii="Times New Roman" w:hAnsi="Times New Roman" w:cs="Times New Roman"/>
          <w:sz w:val="24"/>
          <w:szCs w:val="24"/>
        </w:rPr>
        <w:t xml:space="preserve"> d’éducation environnementale au sein des populations ;</w:t>
      </w:r>
    </w:p>
    <w:p w14:paraId="5B295965" w14:textId="77777777" w:rsidR="0074315E" w:rsidRDefault="0074315E" w:rsidP="0074315E">
      <w:pPr>
        <w:spacing w:after="0" w:line="240" w:lineRule="auto"/>
        <w:rPr>
          <w:rFonts w:ascii="Times New Roman" w:hAnsi="Times New Roman" w:cs="Times New Roman"/>
          <w:sz w:val="24"/>
          <w:szCs w:val="24"/>
        </w:rPr>
      </w:pPr>
    </w:p>
    <w:p w14:paraId="7FAEDB6B" w14:textId="77777777" w:rsidR="0074315E" w:rsidRPr="0074315E" w:rsidRDefault="0074315E" w:rsidP="0074315E">
      <w:pPr>
        <w:spacing w:after="0" w:line="240" w:lineRule="auto"/>
        <w:rPr>
          <w:rFonts w:ascii="Times New Roman" w:hAnsi="Times New Roman" w:cs="Times New Roman"/>
          <w:sz w:val="24"/>
          <w:szCs w:val="24"/>
        </w:rPr>
      </w:pPr>
    </w:p>
    <w:p w14:paraId="19ECB4B1" w14:textId="77777777" w:rsidR="00051483" w:rsidRPr="009C7085" w:rsidRDefault="00051483" w:rsidP="009C7085">
      <w:pPr>
        <w:spacing w:after="0" w:line="240" w:lineRule="auto"/>
        <w:rPr>
          <w:rFonts w:ascii="Times New Roman" w:hAnsi="Times New Roman" w:cs="Times New Roman"/>
          <w:sz w:val="24"/>
          <w:szCs w:val="24"/>
        </w:rPr>
      </w:pPr>
    </w:p>
    <w:p w14:paraId="28DCBADA" w14:textId="77777777" w:rsidR="004E0C33" w:rsidRPr="00E056B1" w:rsidRDefault="004E0C33" w:rsidP="00E056B1">
      <w:pPr>
        <w:spacing w:after="0" w:line="240" w:lineRule="auto"/>
        <w:jc w:val="both"/>
        <w:rPr>
          <w:rFonts w:ascii="Times New Roman" w:hAnsi="Times New Roman" w:cs="Times New Roman"/>
          <w:b/>
          <w:i/>
          <w:iCs/>
          <w:kern w:val="22"/>
          <w:sz w:val="24"/>
          <w:szCs w:val="24"/>
        </w:rPr>
      </w:pPr>
      <w:r w:rsidRPr="00E056B1">
        <w:rPr>
          <w:rFonts w:ascii="Times New Roman" w:hAnsi="Times New Roman" w:cs="Times New Roman"/>
          <w:b/>
          <w:i/>
          <w:iCs/>
          <w:kern w:val="22"/>
          <w:sz w:val="24"/>
          <w:szCs w:val="24"/>
        </w:rPr>
        <w:t>Sur les plans scientifiqu</w:t>
      </w:r>
      <w:r w:rsidR="004731C1" w:rsidRPr="00E056B1">
        <w:rPr>
          <w:rFonts w:ascii="Times New Roman" w:hAnsi="Times New Roman" w:cs="Times New Roman"/>
          <w:b/>
          <w:i/>
          <w:iCs/>
          <w:kern w:val="22"/>
          <w:sz w:val="24"/>
          <w:szCs w:val="24"/>
        </w:rPr>
        <w:t>e</w:t>
      </w:r>
      <w:r w:rsidRPr="00E056B1">
        <w:rPr>
          <w:rFonts w:ascii="Times New Roman" w:hAnsi="Times New Roman" w:cs="Times New Roman"/>
          <w:b/>
          <w:i/>
          <w:iCs/>
          <w:kern w:val="22"/>
          <w:sz w:val="24"/>
          <w:szCs w:val="24"/>
        </w:rPr>
        <w:t>, technologique et de l’innovation</w:t>
      </w:r>
    </w:p>
    <w:p w14:paraId="36F8FACA" w14:textId="77777777" w:rsidR="004E0C33" w:rsidRPr="00E056B1" w:rsidRDefault="00392814" w:rsidP="00E50666">
      <w:pPr>
        <w:pStyle w:val="Paragraphedeliste"/>
        <w:numPr>
          <w:ilvl w:val="0"/>
          <w:numId w:val="1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Faible valorisation</w:t>
      </w:r>
      <w:r w:rsidR="004E0C33" w:rsidRPr="00E056B1">
        <w:rPr>
          <w:rFonts w:ascii="Times New Roman" w:eastAsia="Calibri" w:hAnsi="Times New Roman" w:cs="Times New Roman"/>
          <w:sz w:val="24"/>
          <w:szCs w:val="24"/>
        </w:rPr>
        <w:t xml:space="preserve"> des paquets technologiques </w:t>
      </w:r>
      <w:r>
        <w:rPr>
          <w:rFonts w:ascii="Times New Roman" w:eastAsia="Calibri" w:hAnsi="Times New Roman" w:cs="Times New Roman"/>
          <w:sz w:val="24"/>
          <w:szCs w:val="24"/>
        </w:rPr>
        <w:t xml:space="preserve">issus de la recherche </w:t>
      </w:r>
      <w:r w:rsidR="004E0C33" w:rsidRPr="00E056B1">
        <w:rPr>
          <w:rFonts w:ascii="Times New Roman" w:eastAsia="Calibri" w:hAnsi="Times New Roman" w:cs="Times New Roman"/>
          <w:sz w:val="24"/>
          <w:szCs w:val="24"/>
        </w:rPr>
        <w:t>dans les pratiques de gestion de la biodiversité ;</w:t>
      </w:r>
    </w:p>
    <w:p w14:paraId="08B9D6B3" w14:textId="77777777" w:rsidR="00467BE6" w:rsidRPr="00E056B1" w:rsidRDefault="001340B8"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Manque de continuité dans la mise</w:t>
      </w:r>
      <w:r w:rsidR="00467BE6" w:rsidRPr="00E056B1">
        <w:rPr>
          <w:rFonts w:ascii="Times New Roman" w:eastAsia="Calibri" w:hAnsi="Times New Roman" w:cs="Times New Roman"/>
          <w:sz w:val="24"/>
          <w:szCs w:val="24"/>
        </w:rPr>
        <w:t xml:space="preserve"> en œuvre de</w:t>
      </w:r>
      <w:r w:rsidR="00392814">
        <w:rPr>
          <w:rFonts w:ascii="Times New Roman" w:eastAsia="Calibri" w:hAnsi="Times New Roman" w:cs="Times New Roman"/>
          <w:sz w:val="24"/>
          <w:szCs w:val="24"/>
        </w:rPr>
        <w:t xml:space="preserve"> certain</w:t>
      </w:r>
      <w:r w:rsidR="00467BE6" w:rsidRPr="00E056B1">
        <w:rPr>
          <w:rFonts w:ascii="Times New Roman" w:eastAsia="Calibri" w:hAnsi="Times New Roman" w:cs="Times New Roman"/>
          <w:sz w:val="24"/>
          <w:szCs w:val="24"/>
        </w:rPr>
        <w:t>s projets;</w:t>
      </w:r>
    </w:p>
    <w:p w14:paraId="5C6E5729" w14:textId="77777777" w:rsidR="00E4570E" w:rsidRPr="00E056B1" w:rsidRDefault="00392814" w:rsidP="00E50666">
      <w:pPr>
        <w:pStyle w:val="Paragraphedeliste"/>
        <w:numPr>
          <w:ilvl w:val="0"/>
          <w:numId w:val="1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Faible application des techniques de gestion durable des terres, des feux et d’utilisation efficiente de l’eau</w:t>
      </w:r>
      <w:r w:rsidR="00DB2A24" w:rsidRPr="00E056B1">
        <w:rPr>
          <w:rFonts w:ascii="Times New Roman" w:eastAsia="Calibri" w:hAnsi="Times New Roman" w:cs="Times New Roman"/>
          <w:sz w:val="24"/>
          <w:szCs w:val="24"/>
        </w:rPr>
        <w:t>;</w:t>
      </w:r>
    </w:p>
    <w:p w14:paraId="10129A56" w14:textId="77777777" w:rsidR="003E685A" w:rsidRPr="00E056B1" w:rsidRDefault="0020432B"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Insuffisance de compétence technique sur certaine</w:t>
      </w:r>
      <w:r w:rsidR="00ED0DFE" w:rsidRPr="00E056B1">
        <w:rPr>
          <w:rFonts w:ascii="Times New Roman" w:eastAsia="Calibri" w:hAnsi="Times New Roman" w:cs="Times New Roman"/>
          <w:sz w:val="24"/>
          <w:szCs w:val="24"/>
        </w:rPr>
        <w:t>s</w:t>
      </w:r>
      <w:r w:rsidRPr="00E056B1">
        <w:rPr>
          <w:rFonts w:ascii="Times New Roman" w:eastAsia="Calibri" w:hAnsi="Times New Roman" w:cs="Times New Roman"/>
          <w:sz w:val="24"/>
          <w:szCs w:val="24"/>
        </w:rPr>
        <w:t xml:space="preserve"> thématiques de la biodiversité ;</w:t>
      </w:r>
    </w:p>
    <w:p w14:paraId="45A27646" w14:textId="77777777" w:rsidR="00AD4D09" w:rsidRPr="009C7085" w:rsidRDefault="00AD4D09" w:rsidP="009C7085">
      <w:pPr>
        <w:spacing w:after="0" w:line="240" w:lineRule="auto"/>
        <w:ind w:left="144"/>
        <w:jc w:val="both"/>
        <w:rPr>
          <w:rFonts w:ascii="Times New Roman" w:hAnsi="Times New Roman" w:cs="Times New Roman"/>
          <w:iCs/>
          <w:kern w:val="22"/>
          <w:sz w:val="24"/>
          <w:szCs w:val="24"/>
        </w:rPr>
      </w:pPr>
    </w:p>
    <w:p w14:paraId="01665C9D" w14:textId="77777777" w:rsidR="00247221" w:rsidRPr="00E056B1" w:rsidRDefault="00247221" w:rsidP="00E056B1">
      <w:pPr>
        <w:spacing w:after="0" w:line="240" w:lineRule="auto"/>
        <w:jc w:val="both"/>
        <w:rPr>
          <w:rFonts w:ascii="Times New Roman" w:hAnsi="Times New Roman" w:cs="Times New Roman"/>
          <w:b/>
          <w:i/>
          <w:iCs/>
          <w:kern w:val="22"/>
          <w:sz w:val="24"/>
          <w:szCs w:val="24"/>
        </w:rPr>
      </w:pPr>
      <w:r w:rsidRPr="00E056B1">
        <w:rPr>
          <w:rFonts w:ascii="Times New Roman" w:hAnsi="Times New Roman" w:cs="Times New Roman"/>
          <w:b/>
          <w:i/>
          <w:iCs/>
          <w:kern w:val="22"/>
          <w:sz w:val="24"/>
          <w:szCs w:val="24"/>
        </w:rPr>
        <w:t>Sur le plan logistique</w:t>
      </w:r>
    </w:p>
    <w:p w14:paraId="4EFB9DE5" w14:textId="77777777" w:rsidR="003E7982" w:rsidRPr="00E056B1" w:rsidRDefault="003E7982"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Infrastructures inadaptées</w:t>
      </w:r>
      <w:r w:rsidR="001F684D" w:rsidRPr="00E056B1">
        <w:rPr>
          <w:rFonts w:ascii="Times New Roman" w:eastAsia="Calibri" w:hAnsi="Times New Roman" w:cs="Times New Roman"/>
          <w:sz w:val="24"/>
          <w:szCs w:val="24"/>
        </w:rPr>
        <w:t> ;</w:t>
      </w:r>
    </w:p>
    <w:p w14:paraId="25E53023" w14:textId="77777777" w:rsidR="003E7982" w:rsidRPr="00E056B1" w:rsidRDefault="00446951" w:rsidP="00E50666">
      <w:pPr>
        <w:pStyle w:val="Paragraphedeliste"/>
        <w:numPr>
          <w:ilvl w:val="0"/>
          <w:numId w:val="12"/>
        </w:num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t>Insuffisance</w:t>
      </w:r>
      <w:r w:rsidR="001F684D" w:rsidRPr="00E056B1">
        <w:rPr>
          <w:rFonts w:ascii="Times New Roman" w:eastAsia="Calibri" w:hAnsi="Times New Roman" w:cs="Times New Roman"/>
          <w:sz w:val="24"/>
          <w:szCs w:val="24"/>
        </w:rPr>
        <w:t xml:space="preserve"> de moyen de déplacement à tous les agents ;</w:t>
      </w:r>
    </w:p>
    <w:p w14:paraId="64747AC4" w14:textId="77777777" w:rsidR="00C70F0E" w:rsidRPr="00E056B1" w:rsidRDefault="00446951" w:rsidP="00E50666">
      <w:pPr>
        <w:pStyle w:val="Paragraphedeliste"/>
        <w:numPr>
          <w:ilvl w:val="0"/>
          <w:numId w:val="12"/>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Insuffisance d’outils</w:t>
      </w:r>
      <w:r w:rsidR="00C70F0E" w:rsidRPr="00E056B1">
        <w:rPr>
          <w:rFonts w:ascii="Times New Roman" w:eastAsia="Calibri" w:hAnsi="Times New Roman" w:cs="Times New Roman"/>
          <w:sz w:val="24"/>
          <w:szCs w:val="24"/>
        </w:rPr>
        <w:t xml:space="preserve"> de collecte des informations</w:t>
      </w:r>
      <w:r w:rsidR="00ED0DFE" w:rsidRPr="00E056B1">
        <w:rPr>
          <w:rFonts w:ascii="Times New Roman" w:eastAsia="Calibri" w:hAnsi="Times New Roman" w:cs="Times New Roman"/>
          <w:sz w:val="24"/>
          <w:szCs w:val="24"/>
        </w:rPr>
        <w:t> ;</w:t>
      </w:r>
    </w:p>
    <w:p w14:paraId="6396990D" w14:textId="6C1EC2EC" w:rsidR="00C70F0E" w:rsidRPr="00E056B1" w:rsidRDefault="00694C73"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Manque d</w:t>
      </w:r>
      <w:r w:rsidR="00446951">
        <w:rPr>
          <w:rFonts w:ascii="Times New Roman" w:eastAsia="Calibri" w:hAnsi="Times New Roman" w:cs="Times New Roman"/>
          <w:sz w:val="24"/>
          <w:szCs w:val="24"/>
        </w:rPr>
        <w:t>e dispositifs adéquat</w:t>
      </w:r>
      <w:r w:rsidR="00CD4B9B">
        <w:rPr>
          <w:rFonts w:ascii="Times New Roman" w:eastAsia="Calibri" w:hAnsi="Times New Roman" w:cs="Times New Roman"/>
          <w:sz w:val="24"/>
          <w:szCs w:val="24"/>
        </w:rPr>
        <w:t>s</w:t>
      </w:r>
      <w:r w:rsidR="00446951">
        <w:rPr>
          <w:rFonts w:ascii="Times New Roman" w:eastAsia="Calibri" w:hAnsi="Times New Roman" w:cs="Times New Roman"/>
          <w:sz w:val="24"/>
          <w:szCs w:val="24"/>
        </w:rPr>
        <w:t xml:space="preserve"> d</w:t>
      </w:r>
      <w:r w:rsidRPr="00E056B1">
        <w:rPr>
          <w:rFonts w:ascii="Times New Roman" w:eastAsia="Calibri" w:hAnsi="Times New Roman" w:cs="Times New Roman"/>
          <w:sz w:val="24"/>
          <w:szCs w:val="24"/>
        </w:rPr>
        <w:t>’éclo</w:t>
      </w:r>
      <w:r w:rsidR="00ED0DFE" w:rsidRPr="00E056B1">
        <w:rPr>
          <w:rFonts w:ascii="Times New Roman" w:eastAsia="Calibri" w:hAnsi="Times New Roman" w:cs="Times New Roman"/>
          <w:sz w:val="24"/>
          <w:szCs w:val="24"/>
        </w:rPr>
        <w:t>serie d’œufs de tortues marines menacées de disparition</w:t>
      </w:r>
      <w:r w:rsidRPr="00E056B1">
        <w:rPr>
          <w:rFonts w:ascii="Times New Roman" w:eastAsia="Calibri" w:hAnsi="Times New Roman" w:cs="Times New Roman"/>
          <w:sz w:val="24"/>
          <w:szCs w:val="24"/>
        </w:rPr>
        <w:t>;</w:t>
      </w:r>
    </w:p>
    <w:p w14:paraId="237A7E7C" w14:textId="77777777" w:rsidR="00247221" w:rsidRPr="009C7085" w:rsidRDefault="00446951"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Pr>
          <w:rFonts w:ascii="Times New Roman" w:eastAsia="Calibri" w:hAnsi="Times New Roman" w:cs="Times New Roman"/>
          <w:sz w:val="24"/>
          <w:szCs w:val="24"/>
        </w:rPr>
        <w:t>Insuffisance</w:t>
      </w:r>
      <w:r w:rsidR="00247221" w:rsidRPr="00E056B1">
        <w:rPr>
          <w:rFonts w:ascii="Times New Roman" w:eastAsia="Calibri" w:hAnsi="Times New Roman" w:cs="Times New Roman"/>
          <w:sz w:val="24"/>
          <w:szCs w:val="24"/>
        </w:rPr>
        <w:t xml:space="preserve"> d’équipements adéquats de lutte contre les feux de végétation</w:t>
      </w:r>
      <w:r w:rsidR="00574392" w:rsidRPr="00E056B1">
        <w:rPr>
          <w:rFonts w:ascii="Times New Roman" w:eastAsia="Calibri" w:hAnsi="Times New Roman" w:cs="Times New Roman"/>
          <w:sz w:val="24"/>
          <w:szCs w:val="24"/>
        </w:rPr>
        <w:t>.</w:t>
      </w:r>
    </w:p>
    <w:p w14:paraId="2D533111" w14:textId="77777777" w:rsidR="00446951" w:rsidRPr="00E056B1" w:rsidRDefault="00446951" w:rsidP="009C7085">
      <w:pPr>
        <w:pStyle w:val="Paragraphedeliste"/>
        <w:spacing w:after="0" w:line="240" w:lineRule="auto"/>
        <w:ind w:left="504"/>
        <w:jc w:val="both"/>
        <w:rPr>
          <w:rFonts w:ascii="Times New Roman" w:hAnsi="Times New Roman" w:cs="Times New Roman"/>
          <w:i/>
          <w:iCs/>
          <w:kern w:val="22"/>
          <w:sz w:val="24"/>
          <w:szCs w:val="24"/>
        </w:rPr>
      </w:pPr>
    </w:p>
    <w:p w14:paraId="6B8E20BB" w14:textId="77777777" w:rsidR="00E77934" w:rsidRPr="00E056B1" w:rsidRDefault="00D304FD" w:rsidP="00E056B1">
      <w:pPr>
        <w:spacing w:after="0" w:line="240" w:lineRule="auto"/>
        <w:jc w:val="both"/>
        <w:rPr>
          <w:rFonts w:ascii="Times New Roman" w:hAnsi="Times New Roman" w:cs="Times New Roman"/>
          <w:b/>
          <w:i/>
          <w:iCs/>
          <w:kern w:val="22"/>
          <w:sz w:val="24"/>
          <w:szCs w:val="24"/>
        </w:rPr>
      </w:pPr>
      <w:r w:rsidRPr="00E056B1">
        <w:rPr>
          <w:rFonts w:ascii="Times New Roman" w:hAnsi="Times New Roman" w:cs="Times New Roman"/>
          <w:b/>
          <w:i/>
          <w:iCs/>
          <w:kern w:val="22"/>
          <w:sz w:val="24"/>
          <w:szCs w:val="24"/>
        </w:rPr>
        <w:t>Sur le plan socio-économique</w:t>
      </w:r>
    </w:p>
    <w:p w14:paraId="468A91AE" w14:textId="77777777" w:rsidR="00A40E10" w:rsidRPr="00E056B1" w:rsidRDefault="00A40E10"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color w:val="000000"/>
          <w:sz w:val="24"/>
          <w:szCs w:val="24"/>
        </w:rPr>
        <w:t>Faible capacité de</w:t>
      </w:r>
      <w:r w:rsidR="00446951">
        <w:rPr>
          <w:rFonts w:ascii="Times New Roman" w:eastAsia="Calibri" w:hAnsi="Times New Roman" w:cs="Times New Roman"/>
          <w:color w:val="000000"/>
          <w:sz w:val="24"/>
          <w:szCs w:val="24"/>
        </w:rPr>
        <w:t>s</w:t>
      </w:r>
      <w:r w:rsidRPr="00E056B1">
        <w:rPr>
          <w:rFonts w:ascii="Times New Roman" w:eastAsia="Calibri" w:hAnsi="Times New Roman" w:cs="Times New Roman"/>
          <w:color w:val="000000"/>
          <w:sz w:val="24"/>
          <w:szCs w:val="24"/>
        </w:rPr>
        <w:t xml:space="preserve"> communauté</w:t>
      </w:r>
      <w:r w:rsidR="00446951">
        <w:rPr>
          <w:rFonts w:ascii="Times New Roman" w:eastAsia="Calibri" w:hAnsi="Times New Roman" w:cs="Times New Roman"/>
          <w:color w:val="000000"/>
          <w:sz w:val="24"/>
          <w:szCs w:val="24"/>
        </w:rPr>
        <w:t>s</w:t>
      </w:r>
      <w:r w:rsidRPr="00E056B1">
        <w:rPr>
          <w:rFonts w:ascii="Times New Roman" w:eastAsia="Calibri" w:hAnsi="Times New Roman" w:cs="Times New Roman"/>
          <w:color w:val="000000"/>
          <w:sz w:val="24"/>
          <w:szCs w:val="24"/>
        </w:rPr>
        <w:t xml:space="preserve"> dans la gestion des problèmes environnementaux </w:t>
      </w:r>
      <w:r w:rsidRPr="00E056B1">
        <w:rPr>
          <w:rFonts w:ascii="Times New Roman" w:eastAsia="Calibri" w:hAnsi="Times New Roman" w:cs="Times New Roman"/>
          <w:sz w:val="24"/>
          <w:szCs w:val="24"/>
        </w:rPr>
        <w:t>;</w:t>
      </w:r>
    </w:p>
    <w:p w14:paraId="4D03A1D8" w14:textId="77777777" w:rsidR="00D03344" w:rsidRPr="00E056B1" w:rsidRDefault="00C70F0E"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I</w:t>
      </w:r>
      <w:r w:rsidR="00D304FD" w:rsidRPr="00E056B1">
        <w:rPr>
          <w:rFonts w:ascii="Times New Roman" w:eastAsia="Calibri" w:hAnsi="Times New Roman" w:cs="Times New Roman"/>
          <w:sz w:val="24"/>
          <w:szCs w:val="24"/>
        </w:rPr>
        <w:t>ncivisme environnemental</w:t>
      </w:r>
      <w:r w:rsidR="00D03344" w:rsidRPr="00E056B1">
        <w:rPr>
          <w:rFonts w:ascii="Times New Roman" w:eastAsia="Calibri" w:hAnsi="Times New Roman" w:cs="Times New Roman"/>
          <w:sz w:val="24"/>
          <w:szCs w:val="24"/>
        </w:rPr>
        <w:t xml:space="preserve"> et insuffisance de la culture citoyenne ; </w:t>
      </w:r>
    </w:p>
    <w:p w14:paraId="1F64A8F2" w14:textId="77777777" w:rsidR="003E1E08" w:rsidRPr="00350B16" w:rsidRDefault="00446951"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9C7085">
        <w:rPr>
          <w:rFonts w:ascii="Times New Roman" w:hAnsi="Times New Roman" w:cs="Times New Roman"/>
          <w:sz w:val="24"/>
          <w:szCs w:val="24"/>
        </w:rPr>
        <w:t xml:space="preserve">Faible </w:t>
      </w:r>
      <w:r w:rsidR="00CB6292" w:rsidRPr="009C7085">
        <w:rPr>
          <w:rFonts w:ascii="Times New Roman" w:hAnsi="Times New Roman" w:cs="Times New Roman"/>
          <w:sz w:val="24"/>
          <w:szCs w:val="24"/>
        </w:rPr>
        <w:t>engagemen</w:t>
      </w:r>
      <w:r w:rsidR="00ED0DFE" w:rsidRPr="009C7085">
        <w:rPr>
          <w:rFonts w:ascii="Times New Roman" w:hAnsi="Times New Roman" w:cs="Times New Roman"/>
          <w:sz w:val="24"/>
          <w:szCs w:val="24"/>
        </w:rPr>
        <w:t>t des communautés et difficulté</w:t>
      </w:r>
      <w:r w:rsidR="00CB6292" w:rsidRPr="009C7085">
        <w:rPr>
          <w:rFonts w:ascii="Times New Roman" w:hAnsi="Times New Roman" w:cs="Times New Roman"/>
          <w:sz w:val="24"/>
          <w:szCs w:val="24"/>
        </w:rPr>
        <w:t xml:space="preserve"> d</w:t>
      </w:r>
      <w:r w:rsidR="00CB6292" w:rsidRPr="00350B16">
        <w:rPr>
          <w:rFonts w:ascii="Times New Roman" w:hAnsi="Times New Roman" w:cs="Times New Roman"/>
          <w:sz w:val="24"/>
          <w:szCs w:val="24"/>
        </w:rPr>
        <w:t>’appropriation des projets ;</w:t>
      </w:r>
    </w:p>
    <w:p w14:paraId="73B21EB5" w14:textId="63814215" w:rsidR="003E1E08" w:rsidRPr="00E056B1" w:rsidRDefault="003E1E08" w:rsidP="00E50666">
      <w:pPr>
        <w:pStyle w:val="Paragraphedeliste"/>
        <w:numPr>
          <w:ilvl w:val="0"/>
          <w:numId w:val="12"/>
        </w:numPr>
        <w:spacing w:after="0" w:line="240" w:lineRule="auto"/>
        <w:jc w:val="both"/>
        <w:rPr>
          <w:rFonts w:ascii="Times New Roman" w:hAnsi="Times New Roman" w:cs="Times New Roman"/>
          <w:sz w:val="24"/>
          <w:szCs w:val="24"/>
        </w:rPr>
      </w:pPr>
      <w:r w:rsidRPr="00E056B1">
        <w:rPr>
          <w:rFonts w:ascii="Times New Roman" w:eastAsia="Calibri" w:hAnsi="Times New Roman" w:cs="Times New Roman"/>
          <w:sz w:val="24"/>
          <w:szCs w:val="24"/>
        </w:rPr>
        <w:t xml:space="preserve">Envahissement des réserves </w:t>
      </w:r>
      <w:r w:rsidR="00CB2A0A">
        <w:rPr>
          <w:rFonts w:ascii="Times New Roman" w:eastAsia="Calibri" w:hAnsi="Times New Roman" w:cs="Times New Roman"/>
          <w:sz w:val="24"/>
          <w:szCs w:val="24"/>
        </w:rPr>
        <w:t>administratives</w:t>
      </w:r>
      <w:r w:rsidR="00280046">
        <w:rPr>
          <w:rFonts w:ascii="Times New Roman" w:eastAsia="Calibri" w:hAnsi="Times New Roman" w:cs="Times New Roman"/>
          <w:sz w:val="24"/>
          <w:szCs w:val="24"/>
        </w:rPr>
        <w:t xml:space="preserve"> </w:t>
      </w:r>
      <w:r w:rsidRPr="00E056B1">
        <w:rPr>
          <w:rFonts w:ascii="Times New Roman" w:eastAsia="Calibri" w:hAnsi="Times New Roman" w:cs="Times New Roman"/>
          <w:sz w:val="24"/>
          <w:szCs w:val="24"/>
        </w:rPr>
        <w:t xml:space="preserve">et ventes illicites des domaines étatiques ; </w:t>
      </w:r>
    </w:p>
    <w:p w14:paraId="1350FAF2" w14:textId="77777777" w:rsidR="0002642D" w:rsidRPr="00E056B1" w:rsidRDefault="00CB2A0A"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Pr>
          <w:rFonts w:ascii="Times New Roman" w:eastAsia="Calibri" w:hAnsi="Times New Roman" w:cs="Times New Roman"/>
          <w:sz w:val="24"/>
          <w:szCs w:val="24"/>
        </w:rPr>
        <w:t>Non respect des couloirs de t</w:t>
      </w:r>
      <w:r w:rsidR="00A40E10" w:rsidRPr="00E056B1">
        <w:rPr>
          <w:rFonts w:ascii="Times New Roman" w:eastAsia="Calibri" w:hAnsi="Times New Roman" w:cs="Times New Roman"/>
          <w:sz w:val="24"/>
          <w:szCs w:val="24"/>
        </w:rPr>
        <w:t>ranshumance</w:t>
      </w:r>
      <w:r w:rsidR="0002642D" w:rsidRPr="00E056B1">
        <w:rPr>
          <w:rFonts w:ascii="Times New Roman" w:eastAsia="Calibri" w:hAnsi="Times New Roman" w:cs="Times New Roman"/>
          <w:sz w:val="24"/>
          <w:szCs w:val="24"/>
        </w:rPr>
        <w:t>;</w:t>
      </w:r>
    </w:p>
    <w:p w14:paraId="24B7CCB0" w14:textId="5B9A484F" w:rsidR="003E7982" w:rsidRPr="00E056B1" w:rsidRDefault="00EF3812"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Pr>
          <w:rFonts w:ascii="Times New Roman" w:hAnsi="Times New Roman" w:cs="Times New Roman"/>
          <w:sz w:val="24"/>
          <w:szCs w:val="24"/>
        </w:rPr>
        <w:t>Faible représentativité dans la prise de décisions</w:t>
      </w:r>
      <w:r w:rsidR="003E7982" w:rsidRPr="00E056B1">
        <w:rPr>
          <w:rFonts w:ascii="Times New Roman" w:hAnsi="Times New Roman" w:cs="Times New Roman"/>
          <w:sz w:val="24"/>
          <w:szCs w:val="24"/>
        </w:rPr>
        <w:t xml:space="preserve"> de certains groupes sociaux utilisateurs de la biodiversité</w:t>
      </w:r>
      <w:r w:rsidR="00B46BB8" w:rsidRPr="00E056B1">
        <w:rPr>
          <w:rFonts w:ascii="Times New Roman" w:hAnsi="Times New Roman" w:cs="Times New Roman"/>
          <w:sz w:val="24"/>
          <w:szCs w:val="24"/>
        </w:rPr>
        <w:t xml:space="preserve">, </w:t>
      </w:r>
    </w:p>
    <w:p w14:paraId="3A344D4F" w14:textId="77777777" w:rsidR="001F684D" w:rsidRPr="00E056B1" w:rsidRDefault="00CB2A0A"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Pr>
          <w:rFonts w:ascii="Times New Roman" w:eastAsia="Calibri" w:hAnsi="Times New Roman" w:cs="Times New Roman"/>
          <w:sz w:val="24"/>
          <w:szCs w:val="24"/>
        </w:rPr>
        <w:t>Non opérationnalisation de la</w:t>
      </w:r>
      <w:r w:rsidR="001F684D" w:rsidRPr="00E056B1">
        <w:rPr>
          <w:rFonts w:ascii="Times New Roman" w:eastAsia="Calibri" w:hAnsi="Times New Roman" w:cs="Times New Roman"/>
          <w:sz w:val="24"/>
          <w:szCs w:val="24"/>
        </w:rPr>
        <w:t xml:space="preserve"> CNDD et du FNE ;</w:t>
      </w:r>
    </w:p>
    <w:p w14:paraId="0386B395" w14:textId="77777777" w:rsidR="00694C73" w:rsidRPr="00E056B1" w:rsidRDefault="008651FF"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350B16">
        <w:rPr>
          <w:rFonts w:ascii="Times New Roman" w:eastAsia="Calibri" w:hAnsi="Times New Roman" w:cs="Times New Roman"/>
          <w:sz w:val="24"/>
          <w:szCs w:val="24"/>
        </w:rPr>
        <w:t>Insuffisance de</w:t>
      </w:r>
      <w:r w:rsidR="00C70F0E" w:rsidRPr="00350B16">
        <w:rPr>
          <w:rFonts w:ascii="Times New Roman" w:eastAsia="Calibri" w:hAnsi="Times New Roman" w:cs="Times New Roman"/>
          <w:sz w:val="24"/>
          <w:szCs w:val="24"/>
        </w:rPr>
        <w:t xml:space="preserve"> prise en compte des us et coutumes, des </w:t>
      </w:r>
      <w:r w:rsidR="009B4146" w:rsidRPr="00350B16">
        <w:rPr>
          <w:rFonts w:ascii="Times New Roman" w:eastAsia="Calibri" w:hAnsi="Times New Roman" w:cs="Times New Roman"/>
          <w:sz w:val="24"/>
          <w:szCs w:val="24"/>
        </w:rPr>
        <w:t>connaissances</w:t>
      </w:r>
      <w:r w:rsidR="00C70F0E" w:rsidRPr="00E056B1">
        <w:rPr>
          <w:rFonts w:ascii="Times New Roman" w:eastAsia="Calibri" w:hAnsi="Times New Roman" w:cs="Times New Roman"/>
          <w:sz w:val="24"/>
          <w:szCs w:val="24"/>
        </w:rPr>
        <w:t xml:space="preserve"> endogènes dans la gestion de la biodiversité ;</w:t>
      </w:r>
    </w:p>
    <w:p w14:paraId="61A41379" w14:textId="77777777" w:rsidR="00A40E10" w:rsidRPr="00E056B1" w:rsidRDefault="00ED0DFE" w:rsidP="00E50666">
      <w:pPr>
        <w:pStyle w:val="Paragraphedeliste"/>
        <w:numPr>
          <w:ilvl w:val="0"/>
          <w:numId w:val="12"/>
        </w:numPr>
        <w:spacing w:after="0" w:line="240" w:lineRule="auto"/>
        <w:rPr>
          <w:rFonts w:ascii="Times New Roman" w:eastAsia="Calibri" w:hAnsi="Times New Roman" w:cs="Times New Roman"/>
          <w:color w:val="000000"/>
          <w:sz w:val="24"/>
          <w:szCs w:val="24"/>
        </w:rPr>
      </w:pPr>
      <w:r w:rsidRPr="00E056B1">
        <w:rPr>
          <w:rFonts w:ascii="Times New Roman" w:eastAsia="Calibri" w:hAnsi="Times New Roman" w:cs="Times New Roman"/>
          <w:color w:val="000000"/>
          <w:sz w:val="24"/>
          <w:szCs w:val="24"/>
        </w:rPr>
        <w:t>P</w:t>
      </w:r>
      <w:r w:rsidR="00A40E10" w:rsidRPr="00E056B1">
        <w:rPr>
          <w:rFonts w:ascii="Times New Roman" w:eastAsia="Calibri" w:hAnsi="Times New Roman" w:cs="Times New Roman"/>
          <w:color w:val="000000"/>
          <w:sz w:val="24"/>
          <w:szCs w:val="24"/>
        </w:rPr>
        <w:t>ersistance de certains mœurs et comportements préjudiciables à l'environnement ;</w:t>
      </w:r>
    </w:p>
    <w:p w14:paraId="6E8BF992" w14:textId="77777777" w:rsidR="00694C73" w:rsidRPr="00E056B1" w:rsidRDefault="00694C73"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 xml:space="preserve">Faible </w:t>
      </w:r>
      <w:r w:rsidR="00DA0A52" w:rsidRPr="00E056B1">
        <w:rPr>
          <w:rFonts w:ascii="Times New Roman" w:eastAsia="Calibri" w:hAnsi="Times New Roman" w:cs="Times New Roman"/>
          <w:sz w:val="24"/>
          <w:szCs w:val="24"/>
        </w:rPr>
        <w:t>degré d’intégration de la conservation de la biodiversité dans la révision des plans de développement communaux</w:t>
      </w:r>
      <w:r w:rsidRPr="00E056B1">
        <w:rPr>
          <w:rFonts w:ascii="Times New Roman" w:eastAsia="Calibri" w:hAnsi="Times New Roman" w:cs="Times New Roman"/>
          <w:sz w:val="24"/>
          <w:szCs w:val="24"/>
        </w:rPr>
        <w:t> ;</w:t>
      </w:r>
    </w:p>
    <w:p w14:paraId="0AF25678" w14:textId="77777777" w:rsidR="006744B9" w:rsidRPr="00E056B1" w:rsidRDefault="00350B16"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Pr>
          <w:rFonts w:ascii="Times New Roman" w:eastAsia="Calibri" w:hAnsi="Times New Roman" w:cs="Times New Roman"/>
          <w:sz w:val="24"/>
          <w:szCs w:val="24"/>
        </w:rPr>
        <w:t>I</w:t>
      </w:r>
      <w:r w:rsidR="006744B9" w:rsidRPr="00E056B1">
        <w:rPr>
          <w:rFonts w:ascii="Times New Roman" w:eastAsia="Calibri" w:hAnsi="Times New Roman" w:cs="Times New Roman"/>
          <w:sz w:val="24"/>
          <w:szCs w:val="24"/>
        </w:rPr>
        <w:t>nsécurité foncières à l’origine de c</w:t>
      </w:r>
      <w:r w:rsidR="0020432B" w:rsidRPr="00E056B1">
        <w:rPr>
          <w:rFonts w:ascii="Times New Roman" w:hAnsi="Times New Roman" w:cs="Times New Roman"/>
          <w:sz w:val="24"/>
          <w:szCs w:val="24"/>
        </w:rPr>
        <w:t>onflits fonciers</w:t>
      </w:r>
      <w:r w:rsidR="006744B9" w:rsidRPr="00E056B1">
        <w:rPr>
          <w:rFonts w:ascii="Times New Roman" w:hAnsi="Times New Roman" w:cs="Times New Roman"/>
          <w:sz w:val="24"/>
          <w:szCs w:val="24"/>
        </w:rPr>
        <w:t> ;</w:t>
      </w:r>
    </w:p>
    <w:p w14:paraId="0DEBF9F6" w14:textId="77777777" w:rsidR="00D03344" w:rsidRPr="00E056B1" w:rsidRDefault="006744B9"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Destruction des espaces reboisés par les animaux en divagation</w:t>
      </w:r>
      <w:r w:rsidR="00D03344" w:rsidRPr="00E056B1">
        <w:rPr>
          <w:rFonts w:ascii="Times New Roman" w:eastAsia="Calibri" w:hAnsi="Times New Roman" w:cs="Times New Roman"/>
          <w:sz w:val="24"/>
          <w:szCs w:val="24"/>
        </w:rPr>
        <w:t>, les feux occasionnés par les transhumants, les piromans, les fabricants de charbon, les chasseurs, etc ;</w:t>
      </w:r>
    </w:p>
    <w:p w14:paraId="30E106F8" w14:textId="77777777" w:rsidR="006744B9" w:rsidRPr="00E056B1" w:rsidRDefault="006744B9"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 xml:space="preserve">Durée </w:t>
      </w:r>
      <w:r w:rsidR="009B4146">
        <w:rPr>
          <w:rFonts w:ascii="Times New Roman" w:eastAsia="Calibri" w:hAnsi="Times New Roman" w:cs="Times New Roman"/>
          <w:sz w:val="24"/>
          <w:szCs w:val="24"/>
        </w:rPr>
        <w:t>relativement</w:t>
      </w:r>
      <w:r w:rsidRPr="00E056B1">
        <w:rPr>
          <w:rFonts w:ascii="Times New Roman" w:eastAsia="Calibri" w:hAnsi="Times New Roman" w:cs="Times New Roman"/>
          <w:sz w:val="24"/>
          <w:szCs w:val="24"/>
        </w:rPr>
        <w:t xml:space="preserve"> courte des projets de reboisement,</w:t>
      </w:r>
    </w:p>
    <w:p w14:paraId="43D51F33" w14:textId="77777777" w:rsidR="0011400C" w:rsidRPr="00E056B1" w:rsidRDefault="006744B9"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Utilisation abusive des pesticides causant des dommages irréversible</w:t>
      </w:r>
      <w:r w:rsidR="00574392" w:rsidRPr="00E056B1">
        <w:rPr>
          <w:rFonts w:ascii="Times New Roman" w:eastAsia="Calibri" w:hAnsi="Times New Roman" w:cs="Times New Roman"/>
          <w:sz w:val="24"/>
          <w:szCs w:val="24"/>
        </w:rPr>
        <w:t>s</w:t>
      </w:r>
      <w:r w:rsidRPr="00E056B1">
        <w:rPr>
          <w:rFonts w:ascii="Times New Roman" w:eastAsia="Calibri" w:hAnsi="Times New Roman" w:cs="Times New Roman"/>
          <w:sz w:val="24"/>
          <w:szCs w:val="24"/>
        </w:rPr>
        <w:t xml:space="preserve"> à la biodiversité</w:t>
      </w:r>
      <w:r w:rsidR="0011400C" w:rsidRPr="00E056B1">
        <w:rPr>
          <w:rFonts w:ascii="Times New Roman" w:eastAsia="Calibri" w:hAnsi="Times New Roman" w:cs="Times New Roman"/>
          <w:sz w:val="24"/>
          <w:szCs w:val="24"/>
        </w:rPr>
        <w:t>) ;</w:t>
      </w:r>
    </w:p>
    <w:p w14:paraId="621ACFD3" w14:textId="77777777" w:rsidR="003E1E08" w:rsidRPr="00E056B1" w:rsidRDefault="00A40E10"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color w:val="000000"/>
          <w:sz w:val="24"/>
          <w:szCs w:val="24"/>
        </w:rPr>
        <w:t>Accentuation de</w:t>
      </w:r>
      <w:r w:rsidR="009B4146">
        <w:rPr>
          <w:rFonts w:ascii="Times New Roman" w:eastAsia="Calibri" w:hAnsi="Times New Roman" w:cs="Times New Roman"/>
          <w:color w:val="000000"/>
          <w:sz w:val="24"/>
          <w:szCs w:val="24"/>
        </w:rPr>
        <w:t xml:space="preserve"> la pauvreté</w:t>
      </w:r>
      <w:r w:rsidRPr="00E056B1">
        <w:rPr>
          <w:rFonts w:ascii="Times New Roman" w:eastAsia="Calibri" w:hAnsi="Times New Roman" w:cs="Times New Roman"/>
          <w:color w:val="000000"/>
          <w:sz w:val="24"/>
          <w:szCs w:val="24"/>
        </w:rPr>
        <w:t xml:space="preserve"> de la population et la dégradation des conditions de vie ;</w:t>
      </w:r>
    </w:p>
    <w:p w14:paraId="39A3CBDC" w14:textId="77777777" w:rsidR="0011400C" w:rsidRPr="00E056B1" w:rsidRDefault="0011400C"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Augmentation de surface cultivée sans cesse croissante à cause de la démographie galopante ;</w:t>
      </w:r>
    </w:p>
    <w:p w14:paraId="5BD09A93" w14:textId="77777777" w:rsidR="0011400C" w:rsidRPr="00E056B1" w:rsidRDefault="0011400C"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Accaparement des terres ;</w:t>
      </w:r>
    </w:p>
    <w:p w14:paraId="6CC6E991" w14:textId="77777777" w:rsidR="008974A2" w:rsidRPr="00E056B1" w:rsidRDefault="009B4146"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Pr>
          <w:rFonts w:ascii="Times New Roman" w:eastAsia="Calibri" w:hAnsi="Times New Roman" w:cs="Times New Roman"/>
          <w:sz w:val="24"/>
          <w:szCs w:val="24"/>
        </w:rPr>
        <w:t xml:space="preserve">Faible </w:t>
      </w:r>
      <w:r w:rsidR="008974A2" w:rsidRPr="00E056B1">
        <w:rPr>
          <w:rFonts w:ascii="Times New Roman" w:eastAsia="Calibri" w:hAnsi="Times New Roman" w:cs="Times New Roman"/>
          <w:sz w:val="24"/>
          <w:szCs w:val="24"/>
        </w:rPr>
        <w:t>accompagne</w:t>
      </w:r>
      <w:r>
        <w:rPr>
          <w:rFonts w:ascii="Times New Roman" w:eastAsia="Calibri" w:hAnsi="Times New Roman" w:cs="Times New Roman"/>
          <w:sz w:val="24"/>
          <w:szCs w:val="24"/>
        </w:rPr>
        <w:t>me</w:t>
      </w:r>
      <w:r w:rsidR="008974A2" w:rsidRPr="00E056B1">
        <w:rPr>
          <w:rFonts w:ascii="Times New Roman" w:eastAsia="Calibri" w:hAnsi="Times New Roman" w:cs="Times New Roman"/>
          <w:sz w:val="24"/>
          <w:szCs w:val="24"/>
        </w:rPr>
        <w:t>nt matériel, technique et financier</w:t>
      </w:r>
      <w:r>
        <w:rPr>
          <w:rFonts w:ascii="Times New Roman" w:eastAsia="Calibri" w:hAnsi="Times New Roman" w:cs="Times New Roman"/>
          <w:sz w:val="24"/>
          <w:szCs w:val="24"/>
        </w:rPr>
        <w:t xml:space="preserve"> des communautés</w:t>
      </w:r>
      <w:r w:rsidR="00574392" w:rsidRPr="00E056B1">
        <w:rPr>
          <w:rFonts w:ascii="Times New Roman" w:eastAsia="Calibri" w:hAnsi="Times New Roman" w:cs="Times New Roman"/>
          <w:sz w:val="24"/>
          <w:szCs w:val="24"/>
        </w:rPr>
        <w:t>.</w:t>
      </w:r>
    </w:p>
    <w:p w14:paraId="25FB5CA8" w14:textId="77777777" w:rsidR="00350B16" w:rsidRPr="00350B16" w:rsidRDefault="00350B16" w:rsidP="00E056B1">
      <w:pPr>
        <w:spacing w:after="0" w:line="240" w:lineRule="auto"/>
        <w:jc w:val="both"/>
        <w:rPr>
          <w:rFonts w:ascii="Times New Roman" w:hAnsi="Times New Roman" w:cs="Times New Roman"/>
          <w:iCs/>
          <w:kern w:val="22"/>
          <w:sz w:val="24"/>
          <w:szCs w:val="24"/>
        </w:rPr>
      </w:pPr>
    </w:p>
    <w:p w14:paraId="371E71F9" w14:textId="77777777" w:rsidR="00D304FD" w:rsidRPr="00E056B1" w:rsidRDefault="004E0C33" w:rsidP="00E056B1">
      <w:pPr>
        <w:spacing w:after="0" w:line="240" w:lineRule="auto"/>
        <w:jc w:val="both"/>
        <w:rPr>
          <w:rFonts w:ascii="Times New Roman" w:hAnsi="Times New Roman" w:cs="Times New Roman"/>
          <w:b/>
          <w:i/>
          <w:iCs/>
          <w:kern w:val="22"/>
          <w:sz w:val="24"/>
          <w:szCs w:val="24"/>
        </w:rPr>
      </w:pPr>
      <w:r w:rsidRPr="00E056B1">
        <w:rPr>
          <w:rFonts w:ascii="Times New Roman" w:hAnsi="Times New Roman" w:cs="Times New Roman"/>
          <w:b/>
          <w:i/>
          <w:iCs/>
          <w:kern w:val="22"/>
          <w:sz w:val="24"/>
          <w:szCs w:val="24"/>
        </w:rPr>
        <w:t>Sur les plans de la communication et la gestion des connaissances</w:t>
      </w:r>
    </w:p>
    <w:p w14:paraId="2607283D" w14:textId="77777777" w:rsidR="00E4570E" w:rsidRPr="00E056B1" w:rsidRDefault="001340B8"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Faible niveau de</w:t>
      </w:r>
      <w:r w:rsidR="00467BE6" w:rsidRPr="00E056B1">
        <w:rPr>
          <w:rFonts w:ascii="Times New Roman" w:eastAsia="Calibri" w:hAnsi="Times New Roman" w:cs="Times New Roman"/>
          <w:sz w:val="24"/>
          <w:szCs w:val="24"/>
        </w:rPr>
        <w:t xml:space="preserve"> vulgarisation, </w:t>
      </w:r>
      <w:r w:rsidR="003E1E08" w:rsidRPr="00E056B1">
        <w:rPr>
          <w:rFonts w:ascii="Times New Roman" w:eastAsia="Calibri" w:hAnsi="Times New Roman" w:cs="Times New Roman"/>
          <w:sz w:val="24"/>
          <w:szCs w:val="24"/>
        </w:rPr>
        <w:t xml:space="preserve">de sensibilisation </w:t>
      </w:r>
      <w:r w:rsidR="00E4570E" w:rsidRPr="00E056B1">
        <w:rPr>
          <w:rFonts w:ascii="Times New Roman" w:eastAsia="Calibri" w:hAnsi="Times New Roman" w:cs="Times New Roman"/>
          <w:sz w:val="24"/>
          <w:szCs w:val="24"/>
        </w:rPr>
        <w:t>et d</w:t>
      </w:r>
      <w:r w:rsidR="00467BE6" w:rsidRPr="00E056B1">
        <w:rPr>
          <w:rFonts w:ascii="Times New Roman" w:eastAsia="Calibri" w:hAnsi="Times New Roman" w:cs="Times New Roman"/>
          <w:sz w:val="24"/>
          <w:szCs w:val="24"/>
        </w:rPr>
        <w:t xml:space="preserve">e partage </w:t>
      </w:r>
      <w:r w:rsidRPr="00E056B1">
        <w:rPr>
          <w:rFonts w:ascii="Times New Roman" w:eastAsia="Calibri" w:hAnsi="Times New Roman" w:cs="Times New Roman"/>
          <w:sz w:val="24"/>
          <w:szCs w:val="24"/>
        </w:rPr>
        <w:t>de connaissance</w:t>
      </w:r>
      <w:r w:rsidR="00E4570E" w:rsidRPr="00E056B1">
        <w:rPr>
          <w:rFonts w:ascii="Times New Roman" w:eastAsia="Calibri" w:hAnsi="Times New Roman" w:cs="Times New Roman"/>
          <w:sz w:val="24"/>
          <w:szCs w:val="24"/>
        </w:rPr>
        <w:t>s relatives à la biodiversité</w:t>
      </w:r>
      <w:r w:rsidR="00C70F0E" w:rsidRPr="00E056B1">
        <w:rPr>
          <w:rFonts w:ascii="Times New Roman" w:eastAsia="Calibri" w:hAnsi="Times New Roman" w:cs="Times New Roman"/>
          <w:sz w:val="24"/>
          <w:szCs w:val="24"/>
        </w:rPr>
        <w:t xml:space="preserve"> et les services écosystémiques</w:t>
      </w:r>
      <w:r w:rsidR="00E4570E" w:rsidRPr="00E056B1">
        <w:rPr>
          <w:rFonts w:ascii="Times New Roman" w:eastAsia="Calibri" w:hAnsi="Times New Roman" w:cs="Times New Roman"/>
          <w:sz w:val="24"/>
          <w:szCs w:val="24"/>
        </w:rPr>
        <w:t xml:space="preserve">. Les quelques mesures d’application prises sont </w:t>
      </w:r>
      <w:r w:rsidR="00B94FDA">
        <w:rPr>
          <w:rFonts w:ascii="Times New Roman" w:eastAsia="Calibri" w:hAnsi="Times New Roman" w:cs="Times New Roman"/>
          <w:sz w:val="24"/>
          <w:szCs w:val="24"/>
        </w:rPr>
        <w:t>faiblement</w:t>
      </w:r>
      <w:r w:rsidR="00E4570E" w:rsidRPr="00E056B1">
        <w:rPr>
          <w:rFonts w:ascii="Times New Roman" w:eastAsia="Calibri" w:hAnsi="Times New Roman" w:cs="Times New Roman"/>
          <w:sz w:val="24"/>
          <w:szCs w:val="24"/>
        </w:rPr>
        <w:t xml:space="preserve"> connues des populations et les couches socio-professionnelles cibles;</w:t>
      </w:r>
    </w:p>
    <w:p w14:paraId="7B9F6A46" w14:textId="77777777" w:rsidR="00C70F0E" w:rsidRPr="00E056B1" w:rsidRDefault="00C70F0E"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Insuffisance de rencontres pour le renforcement des capacités des journalistes sur la biodiversité ;</w:t>
      </w:r>
    </w:p>
    <w:p w14:paraId="2DBCEF86" w14:textId="77777777" w:rsidR="00C70F0E" w:rsidRPr="00E056B1" w:rsidRDefault="00C70F0E" w:rsidP="00E50666">
      <w:pPr>
        <w:pStyle w:val="Paragraphedeliste"/>
        <w:numPr>
          <w:ilvl w:val="0"/>
          <w:numId w:val="12"/>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Faible participations aux grand</w:t>
      </w:r>
      <w:r w:rsidR="00B94FDA">
        <w:rPr>
          <w:rFonts w:ascii="Times New Roman" w:eastAsia="Calibri" w:hAnsi="Times New Roman" w:cs="Times New Roman"/>
          <w:sz w:val="24"/>
          <w:szCs w:val="24"/>
        </w:rPr>
        <w:t>e</w:t>
      </w:r>
      <w:r w:rsidRPr="00E056B1">
        <w:rPr>
          <w:rFonts w:ascii="Times New Roman" w:eastAsia="Calibri" w:hAnsi="Times New Roman" w:cs="Times New Roman"/>
          <w:sz w:val="24"/>
          <w:szCs w:val="24"/>
        </w:rPr>
        <w:t>s rencontres nationales et internationales sur la biodiversité ;</w:t>
      </w:r>
    </w:p>
    <w:p w14:paraId="443DB754" w14:textId="77777777" w:rsidR="003E685A" w:rsidRPr="00350B16" w:rsidRDefault="003E685A" w:rsidP="00E50666">
      <w:pPr>
        <w:pStyle w:val="Paragraphedeliste"/>
        <w:numPr>
          <w:ilvl w:val="0"/>
          <w:numId w:val="12"/>
        </w:numPr>
        <w:spacing w:after="0" w:line="240" w:lineRule="auto"/>
        <w:jc w:val="both"/>
        <w:rPr>
          <w:rFonts w:ascii="Times New Roman" w:hAnsi="Times New Roman" w:cs="Times New Roman"/>
          <w:i/>
          <w:iCs/>
          <w:kern w:val="22"/>
          <w:sz w:val="24"/>
          <w:szCs w:val="24"/>
        </w:rPr>
      </w:pPr>
      <w:r w:rsidRPr="00E056B1">
        <w:rPr>
          <w:rFonts w:ascii="Times New Roman" w:eastAsia="Calibri" w:hAnsi="Times New Roman" w:cs="Times New Roman"/>
          <w:sz w:val="24"/>
          <w:szCs w:val="24"/>
        </w:rPr>
        <w:t>Peu d’actions touchant les organisations de femmes sur les questions de la biodiversité</w:t>
      </w:r>
      <w:r w:rsidR="00574392" w:rsidRPr="00E056B1">
        <w:rPr>
          <w:rFonts w:ascii="Times New Roman" w:eastAsia="Calibri" w:hAnsi="Times New Roman" w:cs="Times New Roman"/>
          <w:sz w:val="24"/>
          <w:szCs w:val="24"/>
        </w:rPr>
        <w:t>.</w:t>
      </w:r>
    </w:p>
    <w:p w14:paraId="0EAEEE94" w14:textId="77777777" w:rsidR="00350B16" w:rsidRPr="00E056B1" w:rsidRDefault="00350B16" w:rsidP="00350B16">
      <w:pPr>
        <w:pStyle w:val="Paragraphedeliste"/>
        <w:spacing w:after="0" w:line="240" w:lineRule="auto"/>
        <w:ind w:left="504"/>
        <w:jc w:val="both"/>
        <w:rPr>
          <w:rFonts w:ascii="Times New Roman" w:hAnsi="Times New Roman" w:cs="Times New Roman"/>
          <w:i/>
          <w:iCs/>
          <w:kern w:val="22"/>
          <w:sz w:val="24"/>
          <w:szCs w:val="24"/>
        </w:rPr>
      </w:pPr>
    </w:p>
    <w:p w14:paraId="68036E2B" w14:textId="77777777" w:rsidR="0057607C" w:rsidRPr="00E056B1" w:rsidRDefault="00A40E10" w:rsidP="00E056B1">
      <w:pPr>
        <w:spacing w:after="0" w:line="240" w:lineRule="auto"/>
        <w:ind w:left="-216"/>
        <w:jc w:val="both"/>
        <w:rPr>
          <w:rFonts w:ascii="Times New Roman" w:eastAsia="Calibri" w:hAnsi="Times New Roman" w:cs="Times New Roman"/>
          <w:b/>
          <w:i/>
          <w:sz w:val="24"/>
          <w:szCs w:val="24"/>
        </w:rPr>
      </w:pPr>
      <w:r w:rsidRPr="00E056B1">
        <w:rPr>
          <w:rFonts w:ascii="Times New Roman" w:eastAsia="Calibri" w:hAnsi="Times New Roman" w:cs="Times New Roman"/>
          <w:b/>
          <w:i/>
          <w:sz w:val="24"/>
          <w:szCs w:val="24"/>
        </w:rPr>
        <w:t>Sur le plan des risques et catastrophes naturelles</w:t>
      </w:r>
      <w:r w:rsidR="003E1E08" w:rsidRPr="00E056B1">
        <w:rPr>
          <w:rFonts w:ascii="Times New Roman" w:eastAsia="Calibri" w:hAnsi="Times New Roman" w:cs="Times New Roman"/>
          <w:b/>
          <w:i/>
          <w:sz w:val="24"/>
          <w:szCs w:val="24"/>
        </w:rPr>
        <w:t> :</w:t>
      </w:r>
    </w:p>
    <w:p w14:paraId="66A64F9F" w14:textId="77777777" w:rsidR="0011400C" w:rsidRPr="00350B16" w:rsidRDefault="003E1E08"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Aléas liés au changement climatique (</w:t>
      </w:r>
      <w:r w:rsidR="00B94FDA">
        <w:rPr>
          <w:rFonts w:ascii="Times New Roman" w:eastAsia="Calibri" w:hAnsi="Times New Roman" w:cs="Times New Roman"/>
          <w:sz w:val="24"/>
          <w:szCs w:val="24"/>
        </w:rPr>
        <w:t>inondations</w:t>
      </w:r>
      <w:r w:rsidRPr="00E056B1">
        <w:rPr>
          <w:rFonts w:ascii="Times New Roman" w:eastAsia="Calibri" w:hAnsi="Times New Roman" w:cs="Times New Roman"/>
          <w:sz w:val="24"/>
          <w:szCs w:val="24"/>
        </w:rPr>
        <w:t>, sécheresse)</w:t>
      </w:r>
      <w:r w:rsidR="00574392" w:rsidRPr="00E056B1">
        <w:rPr>
          <w:rFonts w:ascii="Times New Roman" w:eastAsia="Calibri" w:hAnsi="Times New Roman" w:cs="Times New Roman"/>
          <w:sz w:val="24"/>
          <w:szCs w:val="24"/>
        </w:rPr>
        <w:t>.</w:t>
      </w:r>
    </w:p>
    <w:p w14:paraId="15496519" w14:textId="77777777" w:rsidR="00B94FDA" w:rsidRPr="00350B16" w:rsidRDefault="00B94FDA"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Pr>
          <w:rFonts w:ascii="Times New Roman" w:eastAsia="Calibri" w:hAnsi="Times New Roman" w:cs="Times New Roman"/>
          <w:sz w:val="24"/>
          <w:szCs w:val="24"/>
        </w:rPr>
        <w:t>Vulnérabilité des populations face aux changements climatiques et catastrophes naturelles</w:t>
      </w:r>
    </w:p>
    <w:p w14:paraId="3BB83DDC" w14:textId="77777777" w:rsidR="00B94FDA" w:rsidRPr="00E056B1" w:rsidRDefault="00B94FDA"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Pr>
          <w:rFonts w:ascii="Times New Roman" w:eastAsia="Calibri" w:hAnsi="Times New Roman" w:cs="Times New Roman"/>
          <w:sz w:val="24"/>
          <w:szCs w:val="24"/>
        </w:rPr>
        <w:t>Faible capacité d’adaptation des populations</w:t>
      </w:r>
    </w:p>
    <w:p w14:paraId="650C9C90" w14:textId="77777777" w:rsidR="006D0410" w:rsidRDefault="006D0410" w:rsidP="00E056B1">
      <w:pPr>
        <w:spacing w:after="0" w:line="240" w:lineRule="auto"/>
        <w:ind w:left="144"/>
        <w:jc w:val="both"/>
        <w:rPr>
          <w:rFonts w:ascii="Times New Roman" w:eastAsia="Calibri" w:hAnsi="Times New Roman" w:cs="Times New Roman"/>
          <w:sz w:val="24"/>
          <w:szCs w:val="24"/>
        </w:rPr>
      </w:pPr>
    </w:p>
    <w:p w14:paraId="2FDF29F6" w14:textId="77777777" w:rsidR="006D0410" w:rsidRPr="003A74BD" w:rsidRDefault="006D0410" w:rsidP="00E056B1">
      <w:pPr>
        <w:spacing w:after="0" w:line="240" w:lineRule="auto"/>
        <w:ind w:left="144"/>
        <w:jc w:val="both"/>
        <w:rPr>
          <w:rFonts w:ascii="Times New Roman" w:eastAsia="Calibri" w:hAnsi="Times New Roman" w:cs="Times New Roman"/>
          <w:sz w:val="24"/>
          <w:szCs w:val="24"/>
        </w:rPr>
      </w:pPr>
    </w:p>
    <w:p w14:paraId="1F59A08E" w14:textId="77777777" w:rsidR="0011400C" w:rsidRPr="00E056B1" w:rsidRDefault="00F9674D" w:rsidP="003A74BD">
      <w:pPr>
        <w:spacing w:after="0" w:line="240" w:lineRule="auto"/>
        <w:outlineLvl w:val="2"/>
        <w:rPr>
          <w:rFonts w:ascii="Times New Roman" w:eastAsia="Calibri" w:hAnsi="Times New Roman" w:cs="Times New Roman"/>
          <w:b/>
          <w:sz w:val="24"/>
          <w:szCs w:val="24"/>
        </w:rPr>
      </w:pPr>
      <w:bookmarkStart w:id="42" w:name="_Toc533413755"/>
      <w:r>
        <w:rPr>
          <w:rFonts w:ascii="Times New Roman" w:hAnsi="Times New Roman" w:cs="Times New Roman"/>
          <w:b/>
          <w:iCs/>
          <w:kern w:val="22"/>
          <w:sz w:val="24"/>
          <w:szCs w:val="24"/>
        </w:rPr>
        <w:t>2.4</w:t>
      </w:r>
      <w:r w:rsidR="0011400C" w:rsidRPr="00E056B1">
        <w:rPr>
          <w:rFonts w:ascii="Times New Roman" w:hAnsi="Times New Roman" w:cs="Times New Roman"/>
          <w:b/>
          <w:iCs/>
          <w:kern w:val="22"/>
          <w:sz w:val="24"/>
          <w:szCs w:val="24"/>
        </w:rPr>
        <w:t>.2. Q</w:t>
      </w:r>
      <w:r w:rsidR="003467CD" w:rsidRPr="00E056B1">
        <w:rPr>
          <w:rFonts w:ascii="Times New Roman" w:hAnsi="Times New Roman" w:cs="Times New Roman"/>
          <w:b/>
          <w:iCs/>
          <w:kern w:val="22"/>
          <w:sz w:val="24"/>
          <w:szCs w:val="24"/>
        </w:rPr>
        <w:t xml:space="preserve">uestions spécifiques et </w:t>
      </w:r>
      <w:r w:rsidR="0011400C" w:rsidRPr="00E056B1">
        <w:rPr>
          <w:rFonts w:ascii="Times New Roman" w:hAnsi="Times New Roman" w:cs="Times New Roman"/>
          <w:b/>
          <w:iCs/>
          <w:kern w:val="22"/>
          <w:sz w:val="24"/>
          <w:szCs w:val="24"/>
        </w:rPr>
        <w:t>domaines thématiques pour lesquels une assistance est requise</w:t>
      </w:r>
      <w:bookmarkEnd w:id="42"/>
    </w:p>
    <w:p w14:paraId="4C71276D" w14:textId="77777777" w:rsidR="00016E1E" w:rsidRPr="00E056B1" w:rsidRDefault="00016E1E" w:rsidP="00E056B1">
      <w:pPr>
        <w:spacing w:after="0" w:line="240" w:lineRule="auto"/>
        <w:jc w:val="both"/>
        <w:rPr>
          <w:rFonts w:ascii="Times New Roman" w:hAnsi="Times New Roman" w:cs="Times New Roman"/>
          <w:b/>
          <w:iCs/>
          <w:kern w:val="22"/>
          <w:sz w:val="24"/>
          <w:szCs w:val="24"/>
        </w:rPr>
      </w:pPr>
    </w:p>
    <w:p w14:paraId="2C025126" w14:textId="77777777" w:rsidR="0057607C" w:rsidRPr="00E056B1" w:rsidRDefault="00F9674D" w:rsidP="00E056B1">
      <w:pPr>
        <w:spacing w:after="0" w:line="240" w:lineRule="auto"/>
        <w:jc w:val="both"/>
        <w:rPr>
          <w:rFonts w:ascii="Times New Roman" w:hAnsi="Times New Roman" w:cs="Times New Roman"/>
          <w:b/>
          <w:iCs/>
          <w:kern w:val="22"/>
          <w:sz w:val="24"/>
          <w:szCs w:val="24"/>
        </w:rPr>
      </w:pPr>
      <w:r>
        <w:rPr>
          <w:rFonts w:ascii="Times New Roman" w:hAnsi="Times New Roman" w:cs="Times New Roman"/>
          <w:b/>
          <w:iCs/>
          <w:kern w:val="22"/>
          <w:sz w:val="24"/>
          <w:szCs w:val="24"/>
        </w:rPr>
        <w:t>2.4</w:t>
      </w:r>
      <w:r w:rsidR="00016E1E" w:rsidRPr="00E056B1">
        <w:rPr>
          <w:rFonts w:ascii="Times New Roman" w:hAnsi="Times New Roman" w:cs="Times New Roman"/>
          <w:b/>
          <w:iCs/>
          <w:kern w:val="22"/>
          <w:sz w:val="24"/>
          <w:szCs w:val="24"/>
        </w:rPr>
        <w:t>.2.1. Renforcement des capacités</w:t>
      </w:r>
    </w:p>
    <w:p w14:paraId="6FEFDC65" w14:textId="77777777" w:rsidR="0057607C" w:rsidRPr="00E056B1" w:rsidRDefault="0057607C" w:rsidP="00E056B1">
      <w:pPr>
        <w:spacing w:after="0" w:line="240" w:lineRule="auto"/>
        <w:jc w:val="both"/>
        <w:rPr>
          <w:rFonts w:ascii="Times New Roman" w:hAnsi="Times New Roman" w:cs="Times New Roman"/>
          <w:b/>
          <w:iCs/>
          <w:kern w:val="22"/>
          <w:sz w:val="24"/>
          <w:szCs w:val="24"/>
        </w:rPr>
      </w:pPr>
    </w:p>
    <w:p w14:paraId="5FE6F45E" w14:textId="48D4DEFB" w:rsidR="00545CA2" w:rsidRPr="00E056B1" w:rsidRDefault="00EF3812" w:rsidP="00E50666">
      <w:pPr>
        <w:pStyle w:val="Paragraphedeliste"/>
        <w:numPr>
          <w:ilvl w:val="0"/>
          <w:numId w:val="18"/>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Amélioration de la mise en œuvre des </w:t>
      </w:r>
      <w:r w:rsidR="00545CA2" w:rsidRPr="00E056B1">
        <w:rPr>
          <w:rFonts w:ascii="Times New Roman" w:eastAsia="Calibri" w:hAnsi="Times New Roman" w:cs="Times New Roman"/>
          <w:sz w:val="24"/>
          <w:szCs w:val="24"/>
        </w:rPr>
        <w:t>politiques, stratégies, programmes et plans d’action des politiques sectorielles de développement</w:t>
      </w:r>
      <w:r>
        <w:rPr>
          <w:rFonts w:ascii="Times New Roman" w:eastAsia="Calibri" w:hAnsi="Times New Roman" w:cs="Times New Roman"/>
          <w:sz w:val="24"/>
          <w:szCs w:val="24"/>
        </w:rPr>
        <w:t xml:space="preserve"> en matière de la conservation de la biodiversité.</w:t>
      </w:r>
      <w:r w:rsidR="00545CA2" w:rsidRPr="00E056B1">
        <w:rPr>
          <w:rFonts w:ascii="Times New Roman" w:eastAsia="Calibri" w:hAnsi="Times New Roman" w:cs="Times New Roman"/>
          <w:sz w:val="24"/>
          <w:szCs w:val="24"/>
        </w:rPr>
        <w:t> ;</w:t>
      </w:r>
    </w:p>
    <w:p w14:paraId="3A39A6B8" w14:textId="77777777" w:rsidR="003E4280" w:rsidRPr="00E056B1" w:rsidRDefault="00E27C80"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Augmentation de l’effectif du personnel pour une meilleure couverture de toute l’étendue du territoire national</w:t>
      </w:r>
      <w:r w:rsidR="003E4280" w:rsidRPr="00E056B1">
        <w:rPr>
          <w:rFonts w:ascii="Times New Roman" w:hAnsi="Times New Roman" w:cs="Times New Roman"/>
          <w:sz w:val="24"/>
          <w:szCs w:val="24"/>
        </w:rPr>
        <w:t> </w:t>
      </w:r>
      <w:r w:rsidR="003E4280" w:rsidRPr="00E056B1">
        <w:rPr>
          <w:rFonts w:ascii="Times New Roman" w:eastAsia="Calibri" w:hAnsi="Times New Roman" w:cs="Times New Roman"/>
          <w:sz w:val="24"/>
          <w:szCs w:val="24"/>
        </w:rPr>
        <w:t>;</w:t>
      </w:r>
    </w:p>
    <w:p w14:paraId="50BDC240" w14:textId="7CD12853" w:rsidR="007816C2" w:rsidRPr="00E056B1" w:rsidRDefault="007816C2" w:rsidP="00E50666">
      <w:pPr>
        <w:pStyle w:val="Paragraphedeliste"/>
        <w:numPr>
          <w:ilvl w:val="0"/>
          <w:numId w:val="18"/>
        </w:numPr>
        <w:spacing w:after="0" w:line="240" w:lineRule="auto"/>
        <w:rPr>
          <w:rFonts w:ascii="Times New Roman" w:hAnsi="Times New Roman" w:cs="Times New Roman"/>
          <w:sz w:val="24"/>
          <w:szCs w:val="24"/>
        </w:rPr>
      </w:pPr>
      <w:r w:rsidRPr="00E056B1">
        <w:rPr>
          <w:rFonts w:ascii="Times New Roman" w:eastAsia="Calibri" w:hAnsi="Times New Roman" w:cs="Times New Roman"/>
          <w:sz w:val="24"/>
          <w:szCs w:val="24"/>
        </w:rPr>
        <w:t>Amélioration des infrastructures </w:t>
      </w:r>
      <w:r w:rsidR="00232DFB">
        <w:rPr>
          <w:rFonts w:ascii="Times New Roman" w:eastAsia="Calibri" w:hAnsi="Times New Roman" w:cs="Times New Roman"/>
          <w:sz w:val="24"/>
          <w:szCs w:val="24"/>
        </w:rPr>
        <w:t>requises pour la conservation de la biodiversité</w:t>
      </w:r>
      <w:r w:rsidRPr="00E056B1">
        <w:rPr>
          <w:rFonts w:ascii="Times New Roman" w:eastAsia="Calibri" w:hAnsi="Times New Roman" w:cs="Times New Roman"/>
          <w:sz w:val="24"/>
          <w:szCs w:val="24"/>
        </w:rPr>
        <w:t>;</w:t>
      </w:r>
    </w:p>
    <w:p w14:paraId="1AD1F030" w14:textId="77777777" w:rsidR="0057607C" w:rsidRPr="00E056B1" w:rsidRDefault="00016E1E"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Sensibilisation plus large des populations, si nécessaire traduire les documents dans les langues locales et les mettre à la disposition du public</w:t>
      </w:r>
      <w:r w:rsidR="003467CD" w:rsidRPr="00E056B1">
        <w:rPr>
          <w:rFonts w:ascii="Times New Roman" w:eastAsia="Calibri" w:hAnsi="Times New Roman" w:cs="Times New Roman"/>
          <w:sz w:val="24"/>
          <w:szCs w:val="24"/>
        </w:rPr>
        <w:t> ;</w:t>
      </w:r>
    </w:p>
    <w:p w14:paraId="02F81A3D" w14:textId="77777777" w:rsidR="0057607C" w:rsidRPr="00E056B1" w:rsidRDefault="00125E7D"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Pr>
          <w:rFonts w:ascii="Times New Roman" w:hAnsi="Times New Roman" w:cs="Times New Roman"/>
          <w:sz w:val="24"/>
          <w:szCs w:val="24"/>
        </w:rPr>
        <w:t>Vulgarisation</w:t>
      </w:r>
      <w:r w:rsidR="00016E1E" w:rsidRPr="00E056B1">
        <w:rPr>
          <w:rFonts w:ascii="Times New Roman" w:hAnsi="Times New Roman" w:cs="Times New Roman"/>
          <w:sz w:val="24"/>
          <w:szCs w:val="24"/>
        </w:rPr>
        <w:t xml:space="preserve"> du premier rapport sur l’état de la biodiversité pour l’alimentation et l’agriculture au Togo ;</w:t>
      </w:r>
    </w:p>
    <w:p w14:paraId="03133D80" w14:textId="457AFAB5" w:rsidR="0057607C" w:rsidRPr="00E056B1" w:rsidRDefault="0057607C"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Mise en place</w:t>
      </w:r>
      <w:r w:rsidR="00016E1E" w:rsidRPr="00E056B1">
        <w:rPr>
          <w:rFonts w:ascii="Times New Roman" w:eastAsia="Calibri" w:hAnsi="Times New Roman" w:cs="Times New Roman"/>
          <w:sz w:val="24"/>
          <w:szCs w:val="24"/>
        </w:rPr>
        <w:t xml:space="preserve"> des parcelles de démonstration </w:t>
      </w:r>
      <w:r w:rsidR="00232DFB">
        <w:rPr>
          <w:rFonts w:ascii="Times New Roman" w:eastAsia="Calibri" w:hAnsi="Times New Roman" w:cs="Times New Roman"/>
          <w:sz w:val="24"/>
          <w:szCs w:val="24"/>
        </w:rPr>
        <w:t xml:space="preserve">de bonnes pratiques en matière de conservation durable de la biodiversité </w:t>
      </w:r>
      <w:r w:rsidR="00016E1E" w:rsidRPr="00E056B1">
        <w:rPr>
          <w:rFonts w:ascii="Times New Roman" w:eastAsia="Calibri" w:hAnsi="Times New Roman" w:cs="Times New Roman"/>
          <w:sz w:val="24"/>
          <w:szCs w:val="24"/>
        </w:rPr>
        <w:t>dans les villages ;</w:t>
      </w:r>
    </w:p>
    <w:p w14:paraId="142B18D8" w14:textId="297B2CAF" w:rsidR="0057607C" w:rsidRPr="00B50FE0" w:rsidRDefault="00232DFB"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Pr>
          <w:rFonts w:ascii="Times New Roman" w:hAnsi="Times New Roman" w:cs="Times New Roman"/>
          <w:sz w:val="24"/>
          <w:szCs w:val="24"/>
        </w:rPr>
        <w:t xml:space="preserve">Mise en œuvre des recommandations de l’étude de base </w:t>
      </w:r>
      <w:r w:rsidR="00016E1E" w:rsidRPr="00E056B1">
        <w:rPr>
          <w:rFonts w:ascii="Times New Roman" w:hAnsi="Times New Roman" w:cs="Times New Roman"/>
          <w:sz w:val="24"/>
          <w:szCs w:val="24"/>
        </w:rPr>
        <w:t xml:space="preserve"> sur les indicateurs de sensibilisation, de communication et d’engagement du public sur la biodiversité au Togo ;</w:t>
      </w:r>
    </w:p>
    <w:p w14:paraId="1D158CFC" w14:textId="289EE599" w:rsidR="00232DFB" w:rsidRPr="00B50FE0" w:rsidRDefault="00232DFB"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Pr>
          <w:rFonts w:ascii="Times New Roman" w:hAnsi="Times New Roman" w:cs="Times New Roman"/>
          <w:sz w:val="24"/>
          <w:szCs w:val="24"/>
        </w:rPr>
        <w:t xml:space="preserve">Partage et vulgarisation des lois </w:t>
      </w:r>
    </w:p>
    <w:p w14:paraId="5464C990" w14:textId="77777777" w:rsidR="00471974" w:rsidRPr="00E056B1" w:rsidRDefault="00471974"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Organisation d’ateliers de formation en faveur des acteurs de la communication et soutien de leur participation aux grandes rencontres sur la diversité biologique ;</w:t>
      </w:r>
    </w:p>
    <w:p w14:paraId="39958D3F" w14:textId="6288A483" w:rsidR="00FC2428" w:rsidRPr="00E056B1" w:rsidRDefault="004F04FB"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Formation</w:t>
      </w:r>
      <w:r w:rsidR="00232DFB">
        <w:rPr>
          <w:rFonts w:ascii="Times New Roman" w:eastAsia="Calibri" w:hAnsi="Times New Roman" w:cs="Times New Roman"/>
          <w:sz w:val="24"/>
          <w:szCs w:val="24"/>
        </w:rPr>
        <w:t xml:space="preserve"> des principaux acteurs</w:t>
      </w:r>
      <w:r w:rsidRPr="00E056B1">
        <w:rPr>
          <w:rFonts w:ascii="Times New Roman" w:eastAsia="Calibri" w:hAnsi="Times New Roman" w:cs="Times New Roman"/>
          <w:sz w:val="24"/>
          <w:szCs w:val="24"/>
        </w:rPr>
        <w:t xml:space="preserve"> en technique de sensibilisation et mécanisme de suivi</w:t>
      </w:r>
      <w:r w:rsidR="00FC2428" w:rsidRPr="00E056B1">
        <w:rPr>
          <w:rFonts w:ascii="Times New Roman" w:eastAsia="Calibri" w:hAnsi="Times New Roman" w:cs="Times New Roman"/>
          <w:sz w:val="24"/>
          <w:szCs w:val="24"/>
        </w:rPr>
        <w:t> ;</w:t>
      </w:r>
    </w:p>
    <w:p w14:paraId="39587BC9" w14:textId="77777777" w:rsidR="00016E1E" w:rsidRPr="00E056B1" w:rsidRDefault="00FC2428"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hAnsi="Times New Roman" w:cs="Times New Roman"/>
          <w:sz w:val="24"/>
          <w:szCs w:val="24"/>
        </w:rPr>
        <w:t>Introduction de l’éducation environnementale dans les écoles</w:t>
      </w:r>
      <w:r w:rsidR="003E4280" w:rsidRPr="00E056B1">
        <w:rPr>
          <w:rFonts w:ascii="Times New Roman" w:hAnsi="Times New Roman" w:cs="Times New Roman"/>
          <w:sz w:val="24"/>
          <w:szCs w:val="24"/>
        </w:rPr>
        <w:t>, s</w:t>
      </w:r>
      <w:r w:rsidRPr="00E056B1">
        <w:rPr>
          <w:rFonts w:ascii="Times New Roman" w:hAnsi="Times New Roman" w:cs="Times New Roman"/>
          <w:sz w:val="24"/>
          <w:szCs w:val="24"/>
        </w:rPr>
        <w:t>pots publicitaires sur la biodiversit</w:t>
      </w:r>
      <w:r w:rsidR="003E4280" w:rsidRPr="00E056B1">
        <w:rPr>
          <w:rFonts w:ascii="Times New Roman" w:hAnsi="Times New Roman" w:cs="Times New Roman"/>
          <w:sz w:val="24"/>
          <w:szCs w:val="24"/>
        </w:rPr>
        <w:t xml:space="preserve">é, </w:t>
      </w:r>
      <w:r w:rsidRPr="00E056B1">
        <w:rPr>
          <w:rFonts w:ascii="Times New Roman" w:hAnsi="Times New Roman" w:cs="Times New Roman"/>
          <w:sz w:val="24"/>
          <w:szCs w:val="24"/>
        </w:rPr>
        <w:t>semaine de l’environnement dans tous les cantons</w:t>
      </w:r>
      <w:r w:rsidR="003E4280" w:rsidRPr="00E056B1">
        <w:rPr>
          <w:rFonts w:ascii="Times New Roman" w:hAnsi="Times New Roman" w:cs="Times New Roman"/>
          <w:sz w:val="24"/>
          <w:szCs w:val="24"/>
        </w:rPr>
        <w:t> ;</w:t>
      </w:r>
    </w:p>
    <w:p w14:paraId="129195F4" w14:textId="77777777" w:rsidR="00E27C80" w:rsidRPr="00E056B1" w:rsidRDefault="00E27C80"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Renforcement des capacités des organisations des femmes sur la préservation de la biodiversité ;</w:t>
      </w:r>
    </w:p>
    <w:p w14:paraId="76327380" w14:textId="77777777" w:rsidR="0063205F" w:rsidRPr="00E056B1" w:rsidRDefault="0063205F"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Réinstallation des personnes occupant les aires protégées</w:t>
      </w:r>
      <w:r w:rsidR="00350B16">
        <w:rPr>
          <w:rFonts w:ascii="Times New Roman" w:eastAsia="Calibri" w:hAnsi="Times New Roman" w:cs="Times New Roman"/>
          <w:sz w:val="24"/>
          <w:szCs w:val="24"/>
        </w:rPr>
        <w:t> ;</w:t>
      </w:r>
    </w:p>
    <w:p w14:paraId="0885E8BE" w14:textId="77777777" w:rsidR="00F95817" w:rsidRDefault="00F95817" w:rsidP="00E50666">
      <w:pPr>
        <w:pStyle w:val="Paragraphedeliste"/>
        <w:numPr>
          <w:ilvl w:val="0"/>
          <w:numId w:val="18"/>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Expertise en matière de création d’AMP</w:t>
      </w:r>
      <w:r w:rsidR="006D0410">
        <w:rPr>
          <w:rFonts w:ascii="Times New Roman" w:eastAsia="Calibri" w:hAnsi="Times New Roman" w:cs="Times New Roman"/>
          <w:sz w:val="24"/>
          <w:szCs w:val="24"/>
        </w:rPr>
        <w:t> ;</w:t>
      </w:r>
    </w:p>
    <w:p w14:paraId="143E8297" w14:textId="756E05D2" w:rsidR="00F874A7" w:rsidRPr="00F874A7" w:rsidRDefault="00F874A7" w:rsidP="00E50666">
      <w:pPr>
        <w:pStyle w:val="Paragraphedeliste"/>
        <w:numPr>
          <w:ilvl w:val="0"/>
          <w:numId w:val="18"/>
        </w:numPr>
        <w:spacing w:after="0"/>
        <w:rPr>
          <w:rFonts w:ascii="Times New Roman" w:eastAsia="Calibri" w:hAnsi="Times New Roman" w:cs="Times New Roman"/>
          <w:sz w:val="24"/>
          <w:szCs w:val="24"/>
        </w:rPr>
      </w:pPr>
      <w:r w:rsidRPr="00F874A7">
        <w:rPr>
          <w:rFonts w:ascii="Times New Roman" w:eastAsia="Calibri" w:hAnsi="Times New Roman" w:cs="Times New Roman"/>
          <w:sz w:val="24"/>
          <w:szCs w:val="24"/>
        </w:rPr>
        <w:t>Elaboration d’un guide d’identification</w:t>
      </w:r>
      <w:r w:rsidR="00EF3812">
        <w:rPr>
          <w:rFonts w:ascii="Times New Roman" w:eastAsia="Calibri" w:hAnsi="Times New Roman" w:cs="Times New Roman"/>
          <w:sz w:val="24"/>
          <w:szCs w:val="24"/>
        </w:rPr>
        <w:t xml:space="preserve"> d</w:t>
      </w:r>
      <w:r w:rsidRPr="00F874A7">
        <w:rPr>
          <w:rFonts w:ascii="Times New Roman" w:eastAsia="Calibri" w:hAnsi="Times New Roman" w:cs="Times New Roman"/>
          <w:sz w:val="24"/>
          <w:szCs w:val="24"/>
        </w:rPr>
        <w:t>es espèces de poissons d’eau douce.</w:t>
      </w:r>
    </w:p>
    <w:p w14:paraId="3D248BDC" w14:textId="77777777" w:rsidR="00295D1A" w:rsidRPr="00E056B1" w:rsidRDefault="00295D1A" w:rsidP="00350B16">
      <w:pPr>
        <w:spacing w:after="0" w:line="240" w:lineRule="auto"/>
        <w:jc w:val="both"/>
        <w:rPr>
          <w:rFonts w:ascii="Times New Roman" w:hAnsi="Times New Roman" w:cs="Times New Roman"/>
          <w:b/>
          <w:iCs/>
          <w:kern w:val="22"/>
          <w:sz w:val="24"/>
          <w:szCs w:val="24"/>
        </w:rPr>
      </w:pPr>
    </w:p>
    <w:p w14:paraId="3E1648D2" w14:textId="77777777" w:rsidR="00016E1E" w:rsidRPr="00E056B1" w:rsidRDefault="00F9674D" w:rsidP="00E056B1">
      <w:pPr>
        <w:spacing w:after="0" w:line="240" w:lineRule="auto"/>
        <w:jc w:val="both"/>
        <w:rPr>
          <w:rFonts w:ascii="Times New Roman" w:hAnsi="Times New Roman" w:cs="Times New Roman"/>
          <w:b/>
          <w:iCs/>
          <w:kern w:val="22"/>
          <w:sz w:val="24"/>
          <w:szCs w:val="24"/>
        </w:rPr>
      </w:pPr>
      <w:r>
        <w:rPr>
          <w:rFonts w:ascii="Times New Roman" w:hAnsi="Times New Roman" w:cs="Times New Roman"/>
          <w:b/>
          <w:iCs/>
          <w:kern w:val="22"/>
          <w:sz w:val="24"/>
          <w:szCs w:val="24"/>
        </w:rPr>
        <w:t>2.4</w:t>
      </w:r>
      <w:r w:rsidR="00016E1E" w:rsidRPr="00E056B1">
        <w:rPr>
          <w:rFonts w:ascii="Times New Roman" w:hAnsi="Times New Roman" w:cs="Times New Roman"/>
          <w:b/>
          <w:iCs/>
          <w:kern w:val="22"/>
          <w:sz w:val="24"/>
          <w:szCs w:val="24"/>
        </w:rPr>
        <w:t>.2.2. C</w:t>
      </w:r>
      <w:r w:rsidR="00C07BCE" w:rsidRPr="00E056B1">
        <w:rPr>
          <w:rFonts w:ascii="Times New Roman" w:hAnsi="Times New Roman" w:cs="Times New Roman"/>
          <w:b/>
          <w:iCs/>
          <w:kern w:val="22"/>
          <w:sz w:val="24"/>
          <w:szCs w:val="24"/>
        </w:rPr>
        <w:t xml:space="preserve">oopération technique, </w:t>
      </w:r>
      <w:r w:rsidR="00016E1E" w:rsidRPr="00E056B1">
        <w:rPr>
          <w:rFonts w:ascii="Times New Roman" w:hAnsi="Times New Roman" w:cs="Times New Roman"/>
          <w:b/>
          <w:iCs/>
          <w:kern w:val="22"/>
          <w:sz w:val="24"/>
          <w:szCs w:val="24"/>
        </w:rPr>
        <w:t>scientifique</w:t>
      </w:r>
      <w:r w:rsidR="00C07BCE" w:rsidRPr="00E056B1">
        <w:rPr>
          <w:rFonts w:ascii="Times New Roman" w:hAnsi="Times New Roman" w:cs="Times New Roman"/>
          <w:b/>
          <w:iCs/>
          <w:kern w:val="22"/>
          <w:sz w:val="24"/>
          <w:szCs w:val="24"/>
        </w:rPr>
        <w:t xml:space="preserve"> et financière</w:t>
      </w:r>
    </w:p>
    <w:p w14:paraId="77F46838" w14:textId="77777777" w:rsidR="0057607C" w:rsidRPr="00E056B1" w:rsidRDefault="0057607C" w:rsidP="00E056B1">
      <w:pPr>
        <w:spacing w:after="0" w:line="240" w:lineRule="auto"/>
        <w:jc w:val="both"/>
        <w:rPr>
          <w:rFonts w:ascii="Times New Roman" w:eastAsia="Calibri" w:hAnsi="Times New Roman" w:cs="Times New Roman"/>
          <w:b/>
          <w:i/>
          <w:sz w:val="24"/>
          <w:szCs w:val="24"/>
        </w:rPr>
      </w:pPr>
    </w:p>
    <w:p w14:paraId="361F7BBE" w14:textId="42EAE05D" w:rsidR="00071404" w:rsidRPr="00071404" w:rsidRDefault="00071404"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B50FE0">
        <w:rPr>
          <w:rFonts w:ascii="Times New Roman" w:eastAsia="Calibri" w:hAnsi="Times New Roman" w:cs="Times New Roman"/>
          <w:sz w:val="24"/>
          <w:szCs w:val="24"/>
        </w:rPr>
        <w:t>Elaboration du schéma national d’aménagement du territoire ;</w:t>
      </w:r>
    </w:p>
    <w:p w14:paraId="764F1491" w14:textId="77777777" w:rsidR="0057607C" w:rsidRPr="00E056B1" w:rsidRDefault="003467CD"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Création d’un cadre de concertation des parties prenantes sur la gestion des ressources naturelles</w:t>
      </w:r>
      <w:r w:rsidR="007816C2" w:rsidRPr="00E056B1">
        <w:rPr>
          <w:rFonts w:ascii="Times New Roman" w:eastAsia="Calibri" w:hAnsi="Times New Roman" w:cs="Times New Roman"/>
          <w:sz w:val="24"/>
          <w:szCs w:val="24"/>
        </w:rPr>
        <w:t xml:space="preserve"> (création d’une plate forme des acteurs de la biodiversité</w:t>
      </w:r>
      <w:r w:rsidR="003E4280" w:rsidRPr="00E056B1">
        <w:rPr>
          <w:rFonts w:ascii="Times New Roman" w:eastAsia="Calibri" w:hAnsi="Times New Roman" w:cs="Times New Roman"/>
          <w:sz w:val="24"/>
          <w:szCs w:val="24"/>
        </w:rPr>
        <w:t xml:space="preserve">, </w:t>
      </w:r>
      <w:r w:rsidR="003E4280" w:rsidRPr="00E056B1">
        <w:rPr>
          <w:rFonts w:ascii="Times New Roman" w:hAnsi="Times New Roman" w:cs="Times New Roman"/>
          <w:sz w:val="24"/>
          <w:szCs w:val="24"/>
        </w:rPr>
        <w:t>renforcement de la synergie d’actions des communautés, des ONG et du Gouvernement</w:t>
      </w:r>
      <w:r w:rsidR="007816C2" w:rsidRPr="00E056B1">
        <w:rPr>
          <w:rFonts w:ascii="Times New Roman" w:eastAsia="Calibri" w:hAnsi="Times New Roman" w:cs="Times New Roman"/>
          <w:sz w:val="24"/>
          <w:szCs w:val="24"/>
        </w:rPr>
        <w:t>)</w:t>
      </w:r>
      <w:r w:rsidRPr="00E056B1">
        <w:rPr>
          <w:rFonts w:ascii="Times New Roman" w:eastAsia="Calibri" w:hAnsi="Times New Roman" w:cs="Times New Roman"/>
          <w:sz w:val="24"/>
          <w:szCs w:val="24"/>
        </w:rPr>
        <w:t>;</w:t>
      </w:r>
    </w:p>
    <w:p w14:paraId="52D4F1FD" w14:textId="77777777" w:rsidR="003467CD" w:rsidRPr="00E056B1" w:rsidRDefault="003467CD"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Elaboration de curricula sur les enjeux de la biodiversité dans les écoles et universités ;</w:t>
      </w:r>
    </w:p>
    <w:p w14:paraId="4E5465BB" w14:textId="3980F73F" w:rsidR="00E05DF0" w:rsidRPr="00E056B1" w:rsidRDefault="00E05DF0"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Prise en compte d</w:t>
      </w:r>
      <w:r w:rsidR="00071404">
        <w:rPr>
          <w:rFonts w:ascii="Times New Roman" w:eastAsia="Calibri" w:hAnsi="Times New Roman" w:cs="Times New Roman"/>
          <w:sz w:val="24"/>
          <w:szCs w:val="24"/>
        </w:rPr>
        <w:t>u</w:t>
      </w:r>
      <w:r w:rsidRPr="00E056B1">
        <w:rPr>
          <w:rFonts w:ascii="Times New Roman" w:eastAsia="Calibri" w:hAnsi="Times New Roman" w:cs="Times New Roman"/>
          <w:sz w:val="24"/>
          <w:szCs w:val="24"/>
        </w:rPr>
        <w:t xml:space="preserve"> système multilatéral d’accès et de partage des avantages</w:t>
      </w:r>
      <w:r w:rsidR="00071404">
        <w:rPr>
          <w:rFonts w:ascii="Times New Roman" w:eastAsia="Calibri" w:hAnsi="Times New Roman" w:cs="Times New Roman"/>
          <w:sz w:val="24"/>
          <w:szCs w:val="24"/>
        </w:rPr>
        <w:t xml:space="preserve"> relatifs au traité international sur les ressources phytogénétique pour l’alimentation et l’agriculture</w:t>
      </w:r>
      <w:r w:rsidRPr="00E056B1">
        <w:rPr>
          <w:rFonts w:ascii="Times New Roman" w:eastAsia="Calibri" w:hAnsi="Times New Roman" w:cs="Times New Roman"/>
          <w:sz w:val="24"/>
          <w:szCs w:val="24"/>
        </w:rPr>
        <w:t xml:space="preserve"> relevant du domaine public (Annexe I du traité) ;</w:t>
      </w:r>
    </w:p>
    <w:p w14:paraId="16CF8337" w14:textId="77777777" w:rsidR="00C07BCE" w:rsidRPr="00E056B1" w:rsidRDefault="00C07BCE"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Organisation d’un dialogue national sur l’aménagement participatif des aires protégées du Togo ;</w:t>
      </w:r>
    </w:p>
    <w:p w14:paraId="31E98503" w14:textId="70D11C3B" w:rsidR="00C07BCE" w:rsidRPr="00E056B1" w:rsidRDefault="00C07BCE"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eastAsia="Calibri" w:hAnsi="Times New Roman" w:cs="Times New Roman"/>
          <w:sz w:val="24"/>
          <w:szCs w:val="24"/>
        </w:rPr>
        <w:t xml:space="preserve">Financement de la mise </w:t>
      </w:r>
      <w:r w:rsidR="00280046">
        <w:rPr>
          <w:rFonts w:ascii="Times New Roman" w:eastAsia="Calibri" w:hAnsi="Times New Roman" w:cs="Times New Roman"/>
          <w:sz w:val="24"/>
          <w:szCs w:val="24"/>
        </w:rPr>
        <w:t xml:space="preserve">en </w:t>
      </w:r>
      <w:r w:rsidRPr="00E056B1">
        <w:rPr>
          <w:rFonts w:ascii="Times New Roman" w:eastAsia="Calibri" w:hAnsi="Times New Roman" w:cs="Times New Roman"/>
          <w:sz w:val="24"/>
          <w:szCs w:val="24"/>
        </w:rPr>
        <w:t>œuvre des plans d’aménagement et de gestion disponibles des aires protégées</w:t>
      </w:r>
      <w:r w:rsidR="00071404">
        <w:rPr>
          <w:rFonts w:ascii="Times New Roman" w:eastAsia="Calibri" w:hAnsi="Times New Roman" w:cs="Times New Roman"/>
          <w:sz w:val="24"/>
          <w:szCs w:val="24"/>
        </w:rPr>
        <w:t xml:space="preserve"> et des zones humides</w:t>
      </w:r>
      <w:r w:rsidRPr="00E056B1">
        <w:rPr>
          <w:rFonts w:ascii="Times New Roman" w:eastAsia="Calibri" w:hAnsi="Times New Roman" w:cs="Times New Roman"/>
          <w:sz w:val="24"/>
          <w:szCs w:val="24"/>
        </w:rPr>
        <w:t>;</w:t>
      </w:r>
    </w:p>
    <w:p w14:paraId="66A0881F" w14:textId="77777777" w:rsidR="00471974" w:rsidRPr="00E056B1" w:rsidRDefault="00471974" w:rsidP="00E50666">
      <w:pPr>
        <w:pStyle w:val="Paragraphedeliste"/>
        <w:numPr>
          <w:ilvl w:val="0"/>
          <w:numId w:val="18"/>
        </w:numPr>
        <w:spacing w:after="0" w:line="240" w:lineRule="auto"/>
        <w:jc w:val="both"/>
        <w:rPr>
          <w:rFonts w:ascii="Times New Roman" w:hAnsi="Times New Roman" w:cs="Times New Roman"/>
          <w:b/>
          <w:iCs/>
          <w:kern w:val="22"/>
          <w:sz w:val="24"/>
          <w:szCs w:val="24"/>
        </w:rPr>
      </w:pPr>
      <w:r w:rsidRPr="00E056B1">
        <w:rPr>
          <w:rFonts w:ascii="Times New Roman" w:eastAsia="Calibri" w:hAnsi="Times New Roman" w:cs="Times New Roman"/>
          <w:sz w:val="24"/>
          <w:szCs w:val="24"/>
        </w:rPr>
        <w:t>Développement des activités génératrices de revenus à l’endroit des populations riveraines des aires protégées ;</w:t>
      </w:r>
    </w:p>
    <w:p w14:paraId="37930AC4" w14:textId="1CBB3F62" w:rsidR="007A5E91" w:rsidRPr="00E056B1" w:rsidRDefault="00F95817" w:rsidP="00E50666">
      <w:pPr>
        <w:pStyle w:val="Paragraphedeliste"/>
        <w:numPr>
          <w:ilvl w:val="0"/>
          <w:numId w:val="18"/>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Mise en place des </w:t>
      </w:r>
      <w:r w:rsidR="001D6603" w:rsidRPr="00E056B1">
        <w:rPr>
          <w:rFonts w:ascii="Times New Roman" w:eastAsia="Calibri" w:hAnsi="Times New Roman" w:cs="Times New Roman"/>
          <w:sz w:val="24"/>
          <w:szCs w:val="24"/>
        </w:rPr>
        <w:t>infrastructures</w:t>
      </w:r>
      <w:r w:rsidR="0007140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appropriées </w:t>
      </w:r>
      <w:r w:rsidR="004F04FB" w:rsidRPr="00E056B1">
        <w:rPr>
          <w:rFonts w:ascii="Times New Roman" w:eastAsia="Calibri" w:hAnsi="Times New Roman" w:cs="Times New Roman"/>
          <w:sz w:val="24"/>
          <w:szCs w:val="24"/>
        </w:rPr>
        <w:t>pour les espèces menacées ;</w:t>
      </w:r>
    </w:p>
    <w:p w14:paraId="1F10E48F" w14:textId="77777777" w:rsidR="00F95817" w:rsidRDefault="00F95817" w:rsidP="00E50666">
      <w:pPr>
        <w:pStyle w:val="Paragraphedeliste"/>
        <w:numPr>
          <w:ilvl w:val="0"/>
          <w:numId w:val="18"/>
        </w:num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Création d’une aire marine protégée (AMP)</w:t>
      </w:r>
    </w:p>
    <w:p w14:paraId="661D163E" w14:textId="77777777" w:rsidR="00F874A7" w:rsidRPr="00E056B1" w:rsidRDefault="00F874A7"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Elaboration de plans locaux de développement pour l’intégration de la biodiversité dans les projets, implication et responsabilisation des communautés bénéficiaires ;</w:t>
      </w:r>
    </w:p>
    <w:p w14:paraId="04EB2FA1" w14:textId="77777777" w:rsidR="00F874A7" w:rsidRPr="00350B16" w:rsidRDefault="00F874A7"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Organisation des communauté</w:t>
      </w:r>
      <w:r w:rsidRPr="00E056B1">
        <w:rPr>
          <w:rFonts w:ascii="Times New Roman" w:hAnsi="Times New Roman" w:cs="Times New Roman"/>
          <w:sz w:val="24"/>
          <w:szCs w:val="24"/>
        </w:rPr>
        <w:t>s</w:t>
      </w:r>
      <w:r w:rsidRPr="00E056B1">
        <w:rPr>
          <w:rFonts w:ascii="Times New Roman" w:eastAsia="Calibri" w:hAnsi="Times New Roman" w:cs="Times New Roman"/>
          <w:sz w:val="24"/>
          <w:szCs w:val="24"/>
        </w:rPr>
        <w:t xml:space="preserve"> autour de la gestion des écosystèmes :</w:t>
      </w:r>
    </w:p>
    <w:p w14:paraId="4D8EE491" w14:textId="77777777" w:rsidR="00F874A7" w:rsidRPr="00350B16" w:rsidRDefault="00F874A7"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350B16">
        <w:rPr>
          <w:rFonts w:ascii="Times New Roman" w:eastAsia="Calibri" w:hAnsi="Times New Roman" w:cs="Times New Roman"/>
          <w:sz w:val="24"/>
          <w:szCs w:val="24"/>
        </w:rPr>
        <w:t>Partenariat avec les medias et les organisations de la société civile et les privées pour la conservation et l’utilisation durable de la biodiversité</w:t>
      </w:r>
    </w:p>
    <w:p w14:paraId="7DE3678A" w14:textId="77777777" w:rsidR="007A5E91" w:rsidRPr="00E056B1" w:rsidRDefault="007A5E91" w:rsidP="00E056B1">
      <w:pPr>
        <w:pStyle w:val="Paragraphedeliste"/>
        <w:spacing w:after="0" w:line="240" w:lineRule="auto"/>
        <w:ind w:left="504"/>
        <w:rPr>
          <w:rFonts w:ascii="Times New Roman" w:eastAsia="Calibri" w:hAnsi="Times New Roman" w:cs="Times New Roman"/>
          <w:sz w:val="24"/>
          <w:szCs w:val="24"/>
        </w:rPr>
      </w:pPr>
    </w:p>
    <w:p w14:paraId="1808034F" w14:textId="04571557" w:rsidR="00016E1E" w:rsidRPr="00E056B1" w:rsidRDefault="00F9674D" w:rsidP="00E056B1">
      <w:pPr>
        <w:spacing w:after="0" w:line="240" w:lineRule="auto"/>
        <w:rPr>
          <w:rFonts w:ascii="Times New Roman" w:hAnsi="Times New Roman" w:cs="Times New Roman"/>
          <w:b/>
          <w:iCs/>
          <w:kern w:val="22"/>
          <w:sz w:val="24"/>
          <w:szCs w:val="24"/>
        </w:rPr>
      </w:pPr>
      <w:r>
        <w:rPr>
          <w:rFonts w:ascii="Times New Roman" w:hAnsi="Times New Roman" w:cs="Times New Roman"/>
          <w:b/>
          <w:iCs/>
          <w:kern w:val="22"/>
          <w:sz w:val="24"/>
          <w:szCs w:val="24"/>
        </w:rPr>
        <w:t>2.4</w:t>
      </w:r>
      <w:r w:rsidR="00016E1E" w:rsidRPr="00E056B1">
        <w:rPr>
          <w:rFonts w:ascii="Times New Roman" w:hAnsi="Times New Roman" w:cs="Times New Roman"/>
          <w:b/>
          <w:iCs/>
          <w:kern w:val="22"/>
          <w:sz w:val="24"/>
          <w:szCs w:val="24"/>
        </w:rPr>
        <w:t xml:space="preserve">.2.3. </w:t>
      </w:r>
      <w:r w:rsidR="00F874A7">
        <w:rPr>
          <w:rFonts w:ascii="Times New Roman" w:hAnsi="Times New Roman" w:cs="Times New Roman"/>
          <w:b/>
          <w:iCs/>
          <w:kern w:val="22"/>
          <w:sz w:val="24"/>
          <w:szCs w:val="24"/>
        </w:rPr>
        <w:t>Développement et t</w:t>
      </w:r>
      <w:r w:rsidR="00016E1E" w:rsidRPr="00E056B1">
        <w:rPr>
          <w:rFonts w:ascii="Times New Roman" w:hAnsi="Times New Roman" w:cs="Times New Roman"/>
          <w:b/>
          <w:iCs/>
          <w:kern w:val="22"/>
          <w:sz w:val="24"/>
          <w:szCs w:val="24"/>
        </w:rPr>
        <w:t>ransfert de technologie</w:t>
      </w:r>
    </w:p>
    <w:p w14:paraId="0673B004" w14:textId="77777777" w:rsidR="0057607C" w:rsidRPr="00E056B1" w:rsidRDefault="0057607C" w:rsidP="00E056B1">
      <w:pPr>
        <w:spacing w:after="0" w:line="240" w:lineRule="auto"/>
        <w:jc w:val="both"/>
        <w:rPr>
          <w:rFonts w:ascii="Times New Roman" w:hAnsi="Times New Roman" w:cs="Times New Roman"/>
          <w:b/>
          <w:iCs/>
          <w:kern w:val="22"/>
          <w:sz w:val="24"/>
          <w:szCs w:val="24"/>
        </w:rPr>
      </w:pPr>
    </w:p>
    <w:p w14:paraId="1F34336A" w14:textId="77777777" w:rsidR="00E05DF0" w:rsidRPr="00E056B1" w:rsidRDefault="0021482B"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sidRPr="00E056B1">
        <w:rPr>
          <w:rFonts w:ascii="Times New Roman" w:eastAsia="Calibri" w:hAnsi="Times New Roman" w:cs="Times New Roman"/>
          <w:sz w:val="24"/>
          <w:szCs w:val="24"/>
        </w:rPr>
        <w:t>Accompagnement des projets de développement de paquets technologiques ;</w:t>
      </w:r>
    </w:p>
    <w:p w14:paraId="30A5388F" w14:textId="77777777" w:rsidR="00C07BCE" w:rsidRPr="00E056B1" w:rsidRDefault="00F874A7" w:rsidP="00E50666">
      <w:pPr>
        <w:pStyle w:val="Paragraphedeliste"/>
        <w:numPr>
          <w:ilvl w:val="0"/>
          <w:numId w:val="18"/>
        </w:numPr>
        <w:spacing w:after="0" w:line="240" w:lineRule="auto"/>
        <w:jc w:val="both"/>
        <w:rPr>
          <w:rFonts w:ascii="Times New Roman" w:eastAsia="Calibri" w:hAnsi="Times New Roman" w:cs="Times New Roman"/>
          <w:b/>
          <w:i/>
          <w:sz w:val="24"/>
          <w:szCs w:val="24"/>
        </w:rPr>
      </w:pPr>
      <w:r>
        <w:rPr>
          <w:rFonts w:ascii="Times New Roman" w:eastAsia="Calibri" w:hAnsi="Times New Roman" w:cs="Times New Roman"/>
          <w:sz w:val="24"/>
          <w:szCs w:val="24"/>
        </w:rPr>
        <w:t>Promotion</w:t>
      </w:r>
      <w:r w:rsidR="00E05DF0" w:rsidRPr="00E056B1">
        <w:rPr>
          <w:rFonts w:ascii="Times New Roman" w:eastAsia="Calibri" w:hAnsi="Times New Roman" w:cs="Times New Roman"/>
          <w:sz w:val="24"/>
          <w:szCs w:val="24"/>
        </w:rPr>
        <w:t xml:space="preserve"> des technologies </w:t>
      </w:r>
      <w:r>
        <w:rPr>
          <w:rFonts w:ascii="Times New Roman" w:eastAsia="Calibri" w:hAnsi="Times New Roman" w:cs="Times New Roman"/>
          <w:sz w:val="24"/>
          <w:szCs w:val="24"/>
        </w:rPr>
        <w:t>incitant</w:t>
      </w:r>
      <w:r w:rsidR="00E05DF0" w:rsidRPr="00E056B1">
        <w:rPr>
          <w:rFonts w:ascii="Times New Roman" w:eastAsia="Calibri" w:hAnsi="Times New Roman" w:cs="Times New Roman"/>
          <w:sz w:val="24"/>
          <w:szCs w:val="24"/>
        </w:rPr>
        <w:t xml:space="preserve"> les privés à investir dans la biodiversité</w:t>
      </w:r>
      <w:r w:rsidR="00C07BCE" w:rsidRPr="00E056B1">
        <w:rPr>
          <w:rFonts w:ascii="Times New Roman" w:eastAsia="Calibri" w:hAnsi="Times New Roman" w:cs="Times New Roman"/>
          <w:sz w:val="24"/>
          <w:szCs w:val="24"/>
        </w:rPr>
        <w:t> ;</w:t>
      </w:r>
    </w:p>
    <w:p w14:paraId="4D7791A0" w14:textId="21350643" w:rsidR="007A5E91" w:rsidRPr="00E056B1" w:rsidRDefault="00F874A7" w:rsidP="00E50666">
      <w:pPr>
        <w:pStyle w:val="Paragraphedeliste"/>
        <w:numPr>
          <w:ilvl w:val="0"/>
          <w:numId w:val="18"/>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Récyclage et </w:t>
      </w:r>
      <w:r w:rsidR="00E27C80" w:rsidRPr="00E056B1">
        <w:rPr>
          <w:rFonts w:ascii="Times New Roman" w:eastAsia="Calibri" w:hAnsi="Times New Roman" w:cs="Times New Roman"/>
          <w:sz w:val="24"/>
          <w:szCs w:val="24"/>
        </w:rPr>
        <w:t>Spécialisation des agents des services déconcentrés de l’Etat et les organisations à la base en communication environnementale</w:t>
      </w:r>
      <w:r>
        <w:rPr>
          <w:rFonts w:ascii="Times New Roman" w:eastAsia="Calibri" w:hAnsi="Times New Roman" w:cs="Times New Roman"/>
          <w:sz w:val="24"/>
          <w:szCs w:val="24"/>
        </w:rPr>
        <w:t xml:space="preserve"> à</w:t>
      </w:r>
      <w:r w:rsidR="00280046">
        <w:rPr>
          <w:rFonts w:ascii="Times New Roman" w:eastAsia="Calibri" w:hAnsi="Times New Roman" w:cs="Times New Roman"/>
          <w:sz w:val="24"/>
          <w:szCs w:val="24"/>
        </w:rPr>
        <w:t xml:space="preserve"> </w:t>
      </w:r>
      <w:r>
        <w:rPr>
          <w:rFonts w:ascii="Times New Roman" w:eastAsia="Calibri" w:hAnsi="Times New Roman" w:cs="Times New Roman"/>
          <w:sz w:val="24"/>
          <w:szCs w:val="24"/>
        </w:rPr>
        <w:t>travers les TIC et les outils de SIG/télédétection</w:t>
      </w:r>
      <w:r w:rsidR="00E27C80" w:rsidRPr="00E056B1">
        <w:rPr>
          <w:rFonts w:ascii="Times New Roman" w:eastAsia="Calibri" w:hAnsi="Times New Roman" w:cs="Times New Roman"/>
          <w:sz w:val="24"/>
          <w:szCs w:val="24"/>
        </w:rPr>
        <w:t>;</w:t>
      </w:r>
    </w:p>
    <w:p w14:paraId="7F1A927E" w14:textId="77777777" w:rsidR="007A5E91" w:rsidRPr="00E056B1" w:rsidRDefault="007A5E91"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sz w:val="24"/>
          <w:szCs w:val="24"/>
          <w:lang w:val="fr-CH"/>
        </w:rPr>
        <w:t>Développement de modèles pour l’analyse du changement d’affectation des terres ;</w:t>
      </w:r>
    </w:p>
    <w:p w14:paraId="3972F724" w14:textId="77777777" w:rsidR="00295D1A" w:rsidRPr="00E056B1" w:rsidRDefault="007A5E91"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sz w:val="24"/>
          <w:szCs w:val="24"/>
          <w:lang w:val="fr-CH"/>
        </w:rPr>
        <w:t>A</w:t>
      </w:r>
      <w:r w:rsidRPr="00E056B1">
        <w:rPr>
          <w:rFonts w:ascii="Times New Roman" w:hAnsi="Times New Roman" w:cs="Times New Roman"/>
          <w:sz w:val="24"/>
          <w:szCs w:val="24"/>
        </w:rPr>
        <w:t>mélioration de l’organisation des détenteurs de connaissances traditionnelles (élaboration de protocole d’accès aux ressources</w:t>
      </w:r>
      <w:r w:rsidR="00295D1A" w:rsidRPr="00E056B1">
        <w:rPr>
          <w:rFonts w:ascii="Times New Roman" w:hAnsi="Times New Roman" w:cs="Times New Roman"/>
          <w:sz w:val="24"/>
          <w:szCs w:val="24"/>
        </w:rPr>
        <w:t>, s</w:t>
      </w:r>
      <w:r w:rsidRPr="00E056B1">
        <w:rPr>
          <w:rFonts w:ascii="Times New Roman" w:hAnsi="Times New Roman" w:cs="Times New Roman"/>
          <w:sz w:val="24"/>
          <w:szCs w:val="24"/>
        </w:rPr>
        <w:t xml:space="preserve">ensibilisation </w:t>
      </w:r>
      <w:r w:rsidR="00295D1A" w:rsidRPr="00E056B1">
        <w:rPr>
          <w:rFonts w:ascii="Times New Roman" w:hAnsi="Times New Roman" w:cs="Times New Roman"/>
          <w:sz w:val="24"/>
          <w:szCs w:val="24"/>
        </w:rPr>
        <w:t xml:space="preserve">et </w:t>
      </w:r>
      <w:r w:rsidRPr="00E056B1">
        <w:rPr>
          <w:rFonts w:ascii="Times New Roman" w:hAnsi="Times New Roman" w:cs="Times New Roman"/>
          <w:sz w:val="24"/>
          <w:szCs w:val="24"/>
        </w:rPr>
        <w:t>formation sur le protocole de Nagoya</w:t>
      </w:r>
      <w:r w:rsidR="00295D1A" w:rsidRPr="00E056B1">
        <w:rPr>
          <w:rFonts w:ascii="Times New Roman" w:hAnsi="Times New Roman" w:cs="Times New Roman"/>
          <w:sz w:val="24"/>
          <w:szCs w:val="24"/>
        </w:rPr>
        <w:t xml:space="preserve">, </w:t>
      </w:r>
      <w:r w:rsidRPr="00E056B1">
        <w:rPr>
          <w:rFonts w:ascii="Times New Roman" w:hAnsi="Times New Roman" w:cs="Times New Roman"/>
          <w:sz w:val="24"/>
          <w:szCs w:val="24"/>
        </w:rPr>
        <w:t>mobilisation des ressources financières pour la mise en œuvre du Protocole de Nagoya</w:t>
      </w:r>
      <w:r w:rsidR="00B579E7" w:rsidRPr="00E056B1">
        <w:rPr>
          <w:rFonts w:ascii="Times New Roman" w:hAnsi="Times New Roman" w:cs="Times New Roman"/>
          <w:sz w:val="24"/>
          <w:szCs w:val="24"/>
        </w:rPr>
        <w:t>) ;</w:t>
      </w:r>
    </w:p>
    <w:p w14:paraId="0A7FF43A" w14:textId="77777777" w:rsidR="00B579E7" w:rsidRPr="00E056B1" w:rsidRDefault="00B579E7" w:rsidP="00E50666">
      <w:pPr>
        <w:pStyle w:val="Paragraphedeliste"/>
        <w:numPr>
          <w:ilvl w:val="0"/>
          <w:numId w:val="18"/>
        </w:num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sz w:val="24"/>
          <w:szCs w:val="24"/>
        </w:rPr>
        <w:t>Informatisation et partage des données sur la biodiversité.</w:t>
      </w:r>
    </w:p>
    <w:p w14:paraId="69C907DF" w14:textId="77777777" w:rsidR="00295D1A" w:rsidRPr="00E056B1" w:rsidRDefault="00295D1A" w:rsidP="00E056B1">
      <w:pPr>
        <w:pStyle w:val="Paragraphedeliste"/>
        <w:spacing w:after="0" w:line="240" w:lineRule="auto"/>
        <w:ind w:left="504"/>
        <w:jc w:val="both"/>
        <w:rPr>
          <w:rFonts w:ascii="Times New Roman" w:eastAsia="Calibri" w:hAnsi="Times New Roman" w:cs="Times New Roman"/>
          <w:sz w:val="24"/>
          <w:szCs w:val="24"/>
        </w:rPr>
      </w:pPr>
    </w:p>
    <w:p w14:paraId="603FD5B2" w14:textId="65C3AEC9" w:rsidR="007A0CD4" w:rsidRPr="00E056B1" w:rsidRDefault="00F9674D" w:rsidP="003A74BD">
      <w:pPr>
        <w:spacing w:after="0" w:line="240" w:lineRule="auto"/>
        <w:outlineLvl w:val="2"/>
        <w:rPr>
          <w:rFonts w:ascii="Times New Roman" w:hAnsi="Times New Roman" w:cs="Times New Roman"/>
          <w:b/>
          <w:iCs/>
          <w:kern w:val="22"/>
          <w:sz w:val="24"/>
          <w:szCs w:val="24"/>
        </w:rPr>
      </w:pPr>
      <w:bookmarkStart w:id="43" w:name="_Toc533413756"/>
      <w:r>
        <w:rPr>
          <w:rFonts w:ascii="Times New Roman" w:hAnsi="Times New Roman" w:cs="Times New Roman"/>
          <w:b/>
          <w:iCs/>
          <w:kern w:val="22"/>
          <w:sz w:val="24"/>
          <w:szCs w:val="24"/>
        </w:rPr>
        <w:t>2.4</w:t>
      </w:r>
      <w:r w:rsidR="00295D1A" w:rsidRPr="00E056B1">
        <w:rPr>
          <w:rFonts w:ascii="Times New Roman" w:hAnsi="Times New Roman" w:cs="Times New Roman"/>
          <w:b/>
          <w:iCs/>
          <w:kern w:val="22"/>
          <w:sz w:val="24"/>
          <w:szCs w:val="24"/>
        </w:rPr>
        <w:t>.3. G</w:t>
      </w:r>
      <w:r w:rsidR="009851F3" w:rsidRPr="00E056B1">
        <w:rPr>
          <w:rFonts w:ascii="Times New Roman" w:hAnsi="Times New Roman" w:cs="Times New Roman"/>
          <w:b/>
          <w:iCs/>
          <w:kern w:val="22"/>
          <w:sz w:val="24"/>
          <w:szCs w:val="24"/>
        </w:rPr>
        <w:t xml:space="preserve">roupes </w:t>
      </w:r>
      <w:r w:rsidR="00071404">
        <w:rPr>
          <w:rFonts w:ascii="Times New Roman" w:hAnsi="Times New Roman" w:cs="Times New Roman"/>
          <w:b/>
          <w:iCs/>
          <w:kern w:val="22"/>
          <w:sz w:val="24"/>
          <w:szCs w:val="24"/>
        </w:rPr>
        <w:t xml:space="preserve">d’acteurs porteurs d’enjeux </w:t>
      </w:r>
      <w:r w:rsidR="002C1ABA">
        <w:rPr>
          <w:rFonts w:ascii="Times New Roman" w:hAnsi="Times New Roman" w:cs="Times New Roman"/>
          <w:b/>
          <w:iCs/>
          <w:kern w:val="22"/>
          <w:sz w:val="24"/>
          <w:szCs w:val="24"/>
        </w:rPr>
        <w:t>sur la biodiversité</w:t>
      </w:r>
      <w:bookmarkEnd w:id="43"/>
      <w:r w:rsidR="00071404">
        <w:rPr>
          <w:rFonts w:ascii="Times New Roman" w:hAnsi="Times New Roman" w:cs="Times New Roman"/>
          <w:b/>
          <w:iCs/>
          <w:kern w:val="22"/>
          <w:sz w:val="24"/>
          <w:szCs w:val="24"/>
        </w:rPr>
        <w:t xml:space="preserve"> </w:t>
      </w:r>
    </w:p>
    <w:p w14:paraId="0BF5E5C9" w14:textId="77777777" w:rsidR="007A0CD4" w:rsidRPr="00E056B1" w:rsidRDefault="007A0CD4" w:rsidP="00E056B1">
      <w:pPr>
        <w:spacing w:after="0" w:line="240" w:lineRule="auto"/>
        <w:jc w:val="both"/>
        <w:rPr>
          <w:rFonts w:ascii="Times New Roman" w:hAnsi="Times New Roman" w:cs="Times New Roman"/>
          <w:iCs/>
          <w:kern w:val="22"/>
          <w:sz w:val="24"/>
          <w:szCs w:val="24"/>
        </w:rPr>
      </w:pPr>
    </w:p>
    <w:p w14:paraId="737CF482" w14:textId="2AFC84ED" w:rsidR="0008181F" w:rsidRPr="00E056B1" w:rsidRDefault="0008181F" w:rsidP="00E056B1">
      <w:pPr>
        <w:spacing w:after="0" w:line="240" w:lineRule="auto"/>
        <w:jc w:val="both"/>
        <w:rPr>
          <w:rFonts w:ascii="Times New Roman" w:eastAsia="Calibri" w:hAnsi="Times New Roman" w:cs="Times New Roman"/>
          <w:sz w:val="24"/>
          <w:szCs w:val="24"/>
        </w:rPr>
      </w:pPr>
      <w:r w:rsidRPr="00E056B1">
        <w:rPr>
          <w:rFonts w:ascii="Times New Roman" w:hAnsi="Times New Roman" w:cs="Times New Roman"/>
          <w:color w:val="000000"/>
          <w:sz w:val="24"/>
          <w:szCs w:val="24"/>
        </w:rPr>
        <w:t>Il s’agit de jeter un aut</w:t>
      </w:r>
      <w:r w:rsidR="001D3996" w:rsidRPr="00E056B1">
        <w:rPr>
          <w:rFonts w:ascii="Times New Roman" w:hAnsi="Times New Roman" w:cs="Times New Roman"/>
          <w:color w:val="000000"/>
          <w:sz w:val="24"/>
          <w:szCs w:val="24"/>
        </w:rPr>
        <w:t>re regard</w:t>
      </w:r>
      <w:r w:rsidRPr="00E056B1">
        <w:rPr>
          <w:rFonts w:ascii="Times New Roman" w:hAnsi="Times New Roman" w:cs="Times New Roman"/>
          <w:color w:val="000000"/>
          <w:sz w:val="24"/>
          <w:szCs w:val="24"/>
        </w:rPr>
        <w:t xml:space="preserve"> sur la biodiversité en </w:t>
      </w:r>
      <w:r w:rsidRPr="00E056B1">
        <w:rPr>
          <w:rFonts w:ascii="Times New Roman" w:hAnsi="Times New Roman" w:cs="Times New Roman"/>
          <w:bCs/>
          <w:sz w:val="24"/>
          <w:szCs w:val="24"/>
        </w:rPr>
        <w:t>créant</w:t>
      </w:r>
      <w:r w:rsidR="003E1053" w:rsidRPr="00E056B1">
        <w:rPr>
          <w:rFonts w:ascii="Times New Roman" w:hAnsi="Times New Roman" w:cs="Times New Roman"/>
          <w:bCs/>
          <w:sz w:val="24"/>
          <w:szCs w:val="24"/>
        </w:rPr>
        <w:t xml:space="preserve"> des outils pour gérer des interactions multiples et inter-temporelles</w:t>
      </w:r>
      <w:r w:rsidRPr="00E056B1">
        <w:rPr>
          <w:rFonts w:ascii="Times New Roman" w:hAnsi="Times New Roman" w:cs="Times New Roman"/>
          <w:sz w:val="24"/>
          <w:szCs w:val="24"/>
        </w:rPr>
        <w:t>. Dans ce domaine, les initiatives en faveur d’une meilleure protection de la biodiversité, et en particulier l’implication du secteur privé dans cette dynamique, se multiplient : conventions internationales, stratégies communautaires, nationales, régionales, travaux sur le reporting et l’a</w:t>
      </w:r>
      <w:r w:rsidR="00255B5E" w:rsidRPr="00E056B1">
        <w:rPr>
          <w:rFonts w:ascii="Times New Roman" w:hAnsi="Times New Roman" w:cs="Times New Roman"/>
          <w:sz w:val="24"/>
          <w:szCs w:val="24"/>
        </w:rPr>
        <w:t xml:space="preserve">ffichage environnemental, etc. </w:t>
      </w:r>
      <w:r w:rsidRPr="00E056B1">
        <w:rPr>
          <w:rFonts w:ascii="Times New Roman" w:hAnsi="Times New Roman" w:cs="Times New Roman"/>
          <w:sz w:val="24"/>
          <w:szCs w:val="24"/>
        </w:rPr>
        <w:t xml:space="preserve">Pour que les </w:t>
      </w:r>
      <w:r w:rsidRPr="00E056B1">
        <w:rPr>
          <w:rFonts w:ascii="Times New Roman" w:hAnsi="Times New Roman" w:cs="Times New Roman"/>
          <w:bCs/>
          <w:sz w:val="24"/>
          <w:szCs w:val="24"/>
        </w:rPr>
        <w:t>interactions</w:t>
      </w:r>
      <w:r w:rsidR="00583D11">
        <w:rPr>
          <w:rFonts w:ascii="Times New Roman" w:hAnsi="Times New Roman" w:cs="Times New Roman"/>
          <w:bCs/>
          <w:sz w:val="24"/>
          <w:szCs w:val="24"/>
        </w:rPr>
        <w:t xml:space="preserve"> des différentes parties prenantes dans la gestion de la</w:t>
      </w:r>
      <w:r w:rsidRPr="00E056B1">
        <w:rPr>
          <w:rFonts w:ascii="Times New Roman" w:hAnsi="Times New Roman" w:cs="Times New Roman"/>
          <w:bCs/>
          <w:sz w:val="24"/>
          <w:szCs w:val="24"/>
        </w:rPr>
        <w:t xml:space="preserve"> biodiversité</w:t>
      </w:r>
      <w:r w:rsidR="00583D11">
        <w:rPr>
          <w:rFonts w:ascii="Times New Roman" w:hAnsi="Times New Roman" w:cs="Times New Roman"/>
          <w:bCs/>
          <w:sz w:val="24"/>
          <w:szCs w:val="24"/>
        </w:rPr>
        <w:t xml:space="preserve"> soient prises en compte</w:t>
      </w:r>
      <w:r w:rsidR="003C3065">
        <w:rPr>
          <w:rFonts w:ascii="Times New Roman" w:hAnsi="Times New Roman" w:cs="Times New Roman"/>
          <w:bCs/>
          <w:sz w:val="24"/>
          <w:szCs w:val="24"/>
        </w:rPr>
        <w:t xml:space="preserve"> </w:t>
      </w:r>
      <w:r w:rsidR="00583D11">
        <w:rPr>
          <w:rFonts w:ascii="Times New Roman" w:hAnsi="Times New Roman" w:cs="Times New Roman"/>
          <w:bCs/>
          <w:sz w:val="24"/>
          <w:szCs w:val="24"/>
        </w:rPr>
        <w:t>dans la mise en œuvre de</w:t>
      </w:r>
      <w:r w:rsidR="003C3065">
        <w:rPr>
          <w:rFonts w:ascii="Times New Roman" w:hAnsi="Times New Roman" w:cs="Times New Roman"/>
          <w:bCs/>
          <w:sz w:val="24"/>
          <w:szCs w:val="24"/>
        </w:rPr>
        <w:t xml:space="preserve"> </w:t>
      </w:r>
      <w:r w:rsidRPr="00E056B1">
        <w:rPr>
          <w:rFonts w:ascii="Times New Roman" w:hAnsi="Times New Roman" w:cs="Times New Roman"/>
          <w:bCs/>
          <w:sz w:val="24"/>
          <w:szCs w:val="24"/>
        </w:rPr>
        <w:t xml:space="preserve">la SPANB du Togo, les groupes </w:t>
      </w:r>
      <w:r w:rsidRPr="00E056B1">
        <w:rPr>
          <w:rFonts w:ascii="Times New Roman" w:hAnsi="Times New Roman" w:cs="Times New Roman"/>
          <w:iCs/>
          <w:kern w:val="22"/>
          <w:sz w:val="24"/>
          <w:szCs w:val="24"/>
        </w:rPr>
        <w:t>pour lesquels une assistance est requise sont :</w:t>
      </w:r>
    </w:p>
    <w:p w14:paraId="1BBD0AAD" w14:textId="0F343C04" w:rsidR="0008181F" w:rsidRPr="00E056B1" w:rsidRDefault="003C3065" w:rsidP="00E50666">
      <w:pPr>
        <w:pStyle w:val="Paragraphedeliste"/>
        <w:numPr>
          <w:ilvl w:val="0"/>
          <w:numId w:val="18"/>
        </w:num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p</w:t>
      </w:r>
      <w:r w:rsidR="0008181F" w:rsidRPr="00E056B1">
        <w:rPr>
          <w:rFonts w:ascii="Times New Roman" w:eastAsia="Calibri" w:hAnsi="Times New Roman" w:cs="Times New Roman"/>
          <w:sz w:val="24"/>
          <w:szCs w:val="24"/>
        </w:rPr>
        <w:t>olitiques (décid</w:t>
      </w:r>
      <w:r w:rsidR="00255B5E" w:rsidRPr="00E056B1">
        <w:rPr>
          <w:rFonts w:ascii="Times New Roman" w:eastAsia="Calibri" w:hAnsi="Times New Roman" w:cs="Times New Roman"/>
          <w:sz w:val="24"/>
          <w:szCs w:val="24"/>
        </w:rPr>
        <w:t>eurs, gouvernants, élus locaux), services techniques centraux et déconcentrés des ministères</w:t>
      </w:r>
      <w:r w:rsidR="0008181F" w:rsidRPr="00E056B1">
        <w:rPr>
          <w:rFonts w:ascii="Times New Roman" w:eastAsia="Calibri" w:hAnsi="Times New Roman" w:cs="Times New Roman"/>
          <w:sz w:val="24"/>
          <w:szCs w:val="24"/>
        </w:rPr>
        <w:t>;</w:t>
      </w:r>
    </w:p>
    <w:p w14:paraId="3E4F549B" w14:textId="62833AD1" w:rsidR="0008181F" w:rsidRPr="00E056B1" w:rsidRDefault="00E77934" w:rsidP="00E50666">
      <w:pPr>
        <w:pStyle w:val="Paragraphedeliste"/>
        <w:numPr>
          <w:ilvl w:val="0"/>
          <w:numId w:val="18"/>
        </w:numPr>
        <w:spacing w:after="0" w:line="240" w:lineRule="auto"/>
        <w:rPr>
          <w:rFonts w:ascii="Times New Roman" w:eastAsia="Calibri" w:hAnsi="Times New Roman" w:cs="Times New Roman"/>
          <w:sz w:val="24"/>
          <w:szCs w:val="24"/>
        </w:rPr>
      </w:pPr>
      <w:r w:rsidRPr="00E056B1">
        <w:rPr>
          <w:rFonts w:ascii="Times New Roman" w:eastAsia="Calibri" w:hAnsi="Times New Roman" w:cs="Times New Roman"/>
          <w:sz w:val="24"/>
          <w:szCs w:val="24"/>
        </w:rPr>
        <w:t xml:space="preserve">Autorités </w:t>
      </w:r>
      <w:r w:rsidR="00255B5E" w:rsidRPr="00E056B1">
        <w:rPr>
          <w:rFonts w:ascii="Times New Roman" w:eastAsia="Calibri" w:hAnsi="Times New Roman" w:cs="Times New Roman"/>
          <w:sz w:val="24"/>
          <w:szCs w:val="24"/>
        </w:rPr>
        <w:t>locales et administratives</w:t>
      </w:r>
      <w:r w:rsidR="0008181F" w:rsidRPr="00E056B1">
        <w:rPr>
          <w:rFonts w:ascii="Times New Roman" w:eastAsia="Calibri" w:hAnsi="Times New Roman" w:cs="Times New Roman"/>
          <w:sz w:val="24"/>
          <w:szCs w:val="24"/>
        </w:rPr>
        <w:t>, populations autour des aires protégées</w:t>
      </w:r>
      <w:r w:rsidRPr="00E056B1">
        <w:rPr>
          <w:rFonts w:ascii="Times New Roman" w:eastAsia="Calibri" w:hAnsi="Times New Roman" w:cs="Times New Roman"/>
          <w:sz w:val="24"/>
          <w:szCs w:val="24"/>
        </w:rPr>
        <w:t xml:space="preserve">, </w:t>
      </w:r>
      <w:r w:rsidR="00255B5E" w:rsidRPr="00E056B1">
        <w:rPr>
          <w:rFonts w:ascii="Times New Roman" w:eastAsia="Calibri" w:hAnsi="Times New Roman" w:cs="Times New Roman"/>
          <w:sz w:val="24"/>
          <w:szCs w:val="24"/>
        </w:rPr>
        <w:t>c</w:t>
      </w:r>
      <w:r w:rsidR="00D03344" w:rsidRPr="00E056B1">
        <w:rPr>
          <w:rFonts w:ascii="Times New Roman" w:eastAsia="Calibri" w:hAnsi="Times New Roman" w:cs="Times New Roman"/>
          <w:sz w:val="24"/>
          <w:szCs w:val="24"/>
        </w:rPr>
        <w:t>omités locaux</w:t>
      </w:r>
      <w:r w:rsidR="009C6641" w:rsidRPr="00E056B1">
        <w:rPr>
          <w:rFonts w:ascii="Times New Roman" w:eastAsia="Calibri" w:hAnsi="Times New Roman" w:cs="Times New Roman"/>
          <w:sz w:val="24"/>
          <w:szCs w:val="24"/>
        </w:rPr>
        <w:t>, scouts des villages</w:t>
      </w:r>
      <w:r w:rsidR="00255B5E" w:rsidRPr="00E056B1">
        <w:rPr>
          <w:rFonts w:ascii="Times New Roman" w:eastAsia="Calibri" w:hAnsi="Times New Roman" w:cs="Times New Roman"/>
          <w:sz w:val="24"/>
          <w:szCs w:val="24"/>
        </w:rPr>
        <w:t>,</w:t>
      </w:r>
      <w:r w:rsidR="003C3065">
        <w:rPr>
          <w:rFonts w:ascii="Times New Roman" w:eastAsia="Calibri" w:hAnsi="Times New Roman" w:cs="Times New Roman"/>
          <w:sz w:val="24"/>
          <w:szCs w:val="24"/>
        </w:rPr>
        <w:t xml:space="preserve"> comités de developpement à la base (</w:t>
      </w:r>
      <w:r w:rsidR="00255B5E" w:rsidRPr="00E056B1">
        <w:rPr>
          <w:rFonts w:ascii="Times New Roman" w:eastAsia="Calibri" w:hAnsi="Times New Roman" w:cs="Times New Roman"/>
          <w:sz w:val="24"/>
          <w:szCs w:val="24"/>
        </w:rPr>
        <w:t xml:space="preserve"> CVD, </w:t>
      </w:r>
      <w:r w:rsidR="00255B5E" w:rsidRPr="00E056B1">
        <w:rPr>
          <w:rFonts w:ascii="Times New Roman" w:hAnsi="Times New Roman" w:cs="Times New Roman"/>
          <w:sz w:val="24"/>
          <w:szCs w:val="24"/>
        </w:rPr>
        <w:t>CDQ,</w:t>
      </w:r>
      <w:r w:rsidR="003C3065">
        <w:rPr>
          <w:rFonts w:ascii="Times New Roman" w:hAnsi="Times New Roman" w:cs="Times New Roman"/>
          <w:sz w:val="24"/>
          <w:szCs w:val="24"/>
        </w:rPr>
        <w:t xml:space="preserve"> CCD),</w:t>
      </w:r>
      <w:r w:rsidR="00255B5E" w:rsidRPr="00E056B1">
        <w:rPr>
          <w:rFonts w:ascii="Times New Roman" w:hAnsi="Times New Roman" w:cs="Times New Roman"/>
          <w:sz w:val="24"/>
          <w:szCs w:val="24"/>
        </w:rPr>
        <w:t xml:space="preserve"> les AVGAP/UAVGAP, les groupements de femmes et de jeunes, etc.)</w:t>
      </w:r>
      <w:r w:rsidR="00255B5E" w:rsidRPr="00E056B1">
        <w:rPr>
          <w:rFonts w:ascii="Times New Roman" w:eastAsia="Calibri" w:hAnsi="Times New Roman" w:cs="Times New Roman"/>
          <w:sz w:val="24"/>
          <w:szCs w:val="24"/>
        </w:rPr>
        <w:t>, leaders endogènes</w:t>
      </w:r>
      <w:r w:rsidR="003C3065">
        <w:rPr>
          <w:rFonts w:ascii="Times New Roman" w:eastAsia="Calibri" w:hAnsi="Times New Roman" w:cs="Times New Roman"/>
          <w:sz w:val="24"/>
          <w:szCs w:val="24"/>
        </w:rPr>
        <w:t> </w:t>
      </w:r>
      <w:r w:rsidR="0008181F" w:rsidRPr="00E056B1">
        <w:rPr>
          <w:rFonts w:ascii="Times New Roman" w:eastAsia="Calibri" w:hAnsi="Times New Roman" w:cs="Times New Roman"/>
          <w:sz w:val="24"/>
          <w:szCs w:val="24"/>
        </w:rPr>
        <w:t>;</w:t>
      </w:r>
    </w:p>
    <w:p w14:paraId="046D9C46" w14:textId="61EF1661" w:rsidR="0008181F" w:rsidRPr="00E056B1" w:rsidRDefault="0008181F" w:rsidP="00E50666">
      <w:pPr>
        <w:pStyle w:val="Paragraphedeliste"/>
        <w:numPr>
          <w:ilvl w:val="0"/>
          <w:numId w:val="18"/>
        </w:numPr>
        <w:spacing w:after="0" w:line="240" w:lineRule="auto"/>
        <w:rPr>
          <w:rFonts w:ascii="Times New Roman" w:eastAsia="Calibri" w:hAnsi="Times New Roman" w:cs="Times New Roman"/>
          <w:sz w:val="24"/>
          <w:szCs w:val="24"/>
        </w:rPr>
      </w:pPr>
      <w:r w:rsidRPr="00E056B1">
        <w:rPr>
          <w:rFonts w:ascii="Times New Roman" w:eastAsia="Calibri" w:hAnsi="Times New Roman" w:cs="Times New Roman"/>
          <w:sz w:val="24"/>
          <w:szCs w:val="24"/>
        </w:rPr>
        <w:t>E</w:t>
      </w:r>
      <w:r w:rsidR="00C70F0E" w:rsidRPr="00E056B1">
        <w:rPr>
          <w:rFonts w:ascii="Times New Roman" w:eastAsia="Calibri" w:hAnsi="Times New Roman" w:cs="Times New Roman"/>
          <w:sz w:val="24"/>
          <w:szCs w:val="24"/>
        </w:rPr>
        <w:t>lèves et étudiants</w:t>
      </w:r>
      <w:r w:rsidR="003C3065">
        <w:rPr>
          <w:rFonts w:ascii="Times New Roman" w:eastAsia="Calibri" w:hAnsi="Times New Roman" w:cs="Times New Roman"/>
          <w:sz w:val="24"/>
          <w:szCs w:val="24"/>
        </w:rPr>
        <w:t> </w:t>
      </w:r>
      <w:r w:rsidRPr="00E056B1">
        <w:rPr>
          <w:rFonts w:ascii="Times New Roman" w:eastAsia="Calibri" w:hAnsi="Times New Roman" w:cs="Times New Roman"/>
          <w:sz w:val="24"/>
          <w:szCs w:val="24"/>
        </w:rPr>
        <w:t>;</w:t>
      </w:r>
    </w:p>
    <w:p w14:paraId="7C10D45C" w14:textId="2C3A7888" w:rsidR="0008181F" w:rsidRPr="00E056B1" w:rsidRDefault="00D03344" w:rsidP="00E50666">
      <w:pPr>
        <w:pStyle w:val="Paragraphedeliste"/>
        <w:numPr>
          <w:ilvl w:val="0"/>
          <w:numId w:val="18"/>
        </w:numPr>
        <w:spacing w:after="0" w:line="240" w:lineRule="auto"/>
        <w:rPr>
          <w:rFonts w:ascii="Times New Roman" w:eastAsia="Calibri" w:hAnsi="Times New Roman" w:cs="Times New Roman"/>
          <w:sz w:val="24"/>
          <w:szCs w:val="24"/>
        </w:rPr>
      </w:pPr>
      <w:r w:rsidRPr="00E056B1">
        <w:rPr>
          <w:rFonts w:ascii="Times New Roman" w:hAnsi="Times New Roman" w:cs="Times New Roman"/>
          <w:iCs/>
          <w:kern w:val="22"/>
          <w:sz w:val="24"/>
          <w:szCs w:val="24"/>
        </w:rPr>
        <w:t>Leaders d’opinion</w:t>
      </w:r>
      <w:r w:rsidR="003C3065">
        <w:rPr>
          <w:rFonts w:ascii="Times New Roman" w:hAnsi="Times New Roman" w:cs="Times New Roman"/>
          <w:iCs/>
          <w:kern w:val="22"/>
          <w:sz w:val="24"/>
          <w:szCs w:val="24"/>
        </w:rPr>
        <w:t> </w:t>
      </w:r>
      <w:r w:rsidR="0008181F" w:rsidRPr="00E056B1">
        <w:rPr>
          <w:rFonts w:ascii="Times New Roman" w:hAnsi="Times New Roman" w:cs="Times New Roman"/>
          <w:iCs/>
          <w:kern w:val="22"/>
          <w:sz w:val="24"/>
          <w:szCs w:val="24"/>
        </w:rPr>
        <w:t>;</w:t>
      </w:r>
    </w:p>
    <w:p w14:paraId="2CAFD0B3" w14:textId="77777777" w:rsidR="0008181F" w:rsidRPr="00E056B1" w:rsidRDefault="00D03344" w:rsidP="00E50666">
      <w:pPr>
        <w:pStyle w:val="Paragraphedeliste"/>
        <w:numPr>
          <w:ilvl w:val="0"/>
          <w:numId w:val="18"/>
        </w:numPr>
        <w:spacing w:after="0" w:line="240" w:lineRule="auto"/>
        <w:rPr>
          <w:rFonts w:ascii="Times New Roman" w:eastAsia="Calibri" w:hAnsi="Times New Roman" w:cs="Times New Roman"/>
          <w:sz w:val="24"/>
          <w:szCs w:val="24"/>
        </w:rPr>
      </w:pPr>
      <w:r w:rsidRPr="00E056B1">
        <w:rPr>
          <w:rFonts w:ascii="Times New Roman" w:hAnsi="Times New Roman" w:cs="Times New Roman"/>
          <w:iCs/>
          <w:kern w:val="22"/>
          <w:sz w:val="24"/>
          <w:szCs w:val="24"/>
        </w:rPr>
        <w:t>Chefferie traditionnelle</w:t>
      </w:r>
    </w:p>
    <w:p w14:paraId="6FE61F7E" w14:textId="3A93A869" w:rsidR="0008181F" w:rsidRPr="00E056B1" w:rsidRDefault="00255B5E" w:rsidP="00E50666">
      <w:pPr>
        <w:pStyle w:val="Paragraphedeliste"/>
        <w:numPr>
          <w:ilvl w:val="0"/>
          <w:numId w:val="18"/>
        </w:numPr>
        <w:spacing w:after="0" w:line="240" w:lineRule="auto"/>
        <w:rPr>
          <w:rFonts w:ascii="Times New Roman" w:eastAsia="Calibri" w:hAnsi="Times New Roman" w:cs="Times New Roman"/>
          <w:sz w:val="24"/>
          <w:szCs w:val="24"/>
        </w:rPr>
      </w:pPr>
      <w:r w:rsidRPr="00E056B1">
        <w:rPr>
          <w:rFonts w:ascii="Times New Roman" w:eastAsia="Calibri" w:hAnsi="Times New Roman" w:cs="Times New Roman"/>
          <w:sz w:val="24"/>
          <w:szCs w:val="24"/>
        </w:rPr>
        <w:t>Organisations de la société civile (ONG et associations)</w:t>
      </w:r>
      <w:r w:rsidR="003C3065">
        <w:rPr>
          <w:rFonts w:ascii="Times New Roman" w:eastAsia="Calibri" w:hAnsi="Times New Roman" w:cs="Times New Roman"/>
          <w:sz w:val="24"/>
          <w:szCs w:val="24"/>
        </w:rPr>
        <w:t> </w:t>
      </w:r>
      <w:r w:rsidR="0008181F" w:rsidRPr="00E056B1">
        <w:rPr>
          <w:rFonts w:ascii="Times New Roman" w:hAnsi="Times New Roman" w:cs="Times New Roman"/>
          <w:iCs/>
          <w:kern w:val="22"/>
          <w:sz w:val="24"/>
          <w:szCs w:val="24"/>
        </w:rPr>
        <w:t>;</w:t>
      </w:r>
    </w:p>
    <w:p w14:paraId="6A531504" w14:textId="77777777" w:rsidR="00F917EB" w:rsidRPr="00E056B1" w:rsidRDefault="0008181F" w:rsidP="00E50666">
      <w:pPr>
        <w:pStyle w:val="Paragraphedeliste"/>
        <w:numPr>
          <w:ilvl w:val="0"/>
          <w:numId w:val="18"/>
        </w:numPr>
        <w:spacing w:after="0" w:line="240" w:lineRule="auto"/>
        <w:rPr>
          <w:rFonts w:ascii="Times New Roman" w:eastAsia="Calibri" w:hAnsi="Times New Roman" w:cs="Times New Roman"/>
          <w:sz w:val="24"/>
          <w:szCs w:val="24"/>
        </w:rPr>
      </w:pPr>
      <w:r w:rsidRPr="00E056B1">
        <w:rPr>
          <w:rFonts w:ascii="Times New Roman" w:hAnsi="Times New Roman" w:cs="Times New Roman"/>
          <w:iCs/>
          <w:kern w:val="22"/>
          <w:sz w:val="24"/>
          <w:szCs w:val="24"/>
        </w:rPr>
        <w:t>S</w:t>
      </w:r>
      <w:r w:rsidR="00D03344" w:rsidRPr="00E056B1">
        <w:rPr>
          <w:rFonts w:ascii="Times New Roman" w:hAnsi="Times New Roman" w:cs="Times New Roman"/>
          <w:iCs/>
          <w:kern w:val="22"/>
          <w:sz w:val="24"/>
          <w:szCs w:val="24"/>
        </w:rPr>
        <w:t>ecteur privé</w:t>
      </w:r>
      <w:r w:rsidR="00255B5E" w:rsidRPr="00E056B1">
        <w:rPr>
          <w:rFonts w:ascii="Times New Roman" w:hAnsi="Times New Roman" w:cs="Times New Roman"/>
          <w:iCs/>
          <w:kern w:val="22"/>
          <w:sz w:val="24"/>
          <w:szCs w:val="24"/>
        </w:rPr>
        <w:t>/</w:t>
      </w:r>
      <w:r w:rsidR="00255B5E" w:rsidRPr="00E056B1">
        <w:rPr>
          <w:rFonts w:ascii="Times New Roman" w:eastAsia="Calibri" w:hAnsi="Times New Roman" w:cs="Times New Roman"/>
          <w:sz w:val="24"/>
          <w:szCs w:val="24"/>
        </w:rPr>
        <w:t xml:space="preserve">groupements socio-professionnels </w:t>
      </w:r>
      <w:r w:rsidR="00D03344" w:rsidRPr="00E056B1">
        <w:rPr>
          <w:rFonts w:ascii="Times New Roman" w:hAnsi="Times New Roman" w:cs="Times New Roman"/>
          <w:iCs/>
          <w:kern w:val="22"/>
          <w:sz w:val="24"/>
          <w:szCs w:val="24"/>
        </w:rPr>
        <w:t>(hotelerie, bureaux d’étude, exploitants forestiers</w:t>
      </w:r>
      <w:r w:rsidR="00255B5E" w:rsidRPr="00E056B1">
        <w:rPr>
          <w:rFonts w:ascii="Times New Roman" w:hAnsi="Times New Roman" w:cs="Times New Roman"/>
          <w:iCs/>
          <w:kern w:val="22"/>
          <w:sz w:val="24"/>
          <w:szCs w:val="24"/>
        </w:rPr>
        <w:t xml:space="preserve">, </w:t>
      </w:r>
      <w:r w:rsidR="00255B5E" w:rsidRPr="00E056B1">
        <w:rPr>
          <w:rFonts w:ascii="Times New Roman" w:eastAsia="Calibri" w:hAnsi="Times New Roman" w:cs="Times New Roman"/>
          <w:sz w:val="24"/>
          <w:szCs w:val="24"/>
        </w:rPr>
        <w:t xml:space="preserve">artisans, </w:t>
      </w:r>
      <w:r w:rsidR="00255B5E" w:rsidRPr="00E056B1">
        <w:rPr>
          <w:rFonts w:ascii="Times New Roman" w:hAnsi="Times New Roman" w:cs="Times New Roman"/>
          <w:sz w:val="24"/>
          <w:szCs w:val="24"/>
        </w:rPr>
        <w:t>travailleurs du bois</w:t>
      </w:r>
      <w:r w:rsidR="00255B5E" w:rsidRPr="00E056B1">
        <w:rPr>
          <w:rFonts w:ascii="Times New Roman" w:hAnsi="Times New Roman" w:cs="Times New Roman"/>
          <w:iCs/>
          <w:kern w:val="22"/>
          <w:sz w:val="24"/>
          <w:szCs w:val="24"/>
        </w:rPr>
        <w:t>).</w:t>
      </w:r>
    </w:p>
    <w:p w14:paraId="105A1831" w14:textId="77777777" w:rsidR="00E056B1" w:rsidRDefault="00E056B1">
      <w:pPr>
        <w:rPr>
          <w:rFonts w:ascii="Times New Roman" w:hAnsi="Times New Roman" w:cs="Times New Roman"/>
          <w:bCs/>
          <w:color w:val="000000"/>
          <w:sz w:val="24"/>
          <w:szCs w:val="24"/>
        </w:rPr>
      </w:pPr>
      <w:r>
        <w:rPr>
          <w:rFonts w:ascii="Times New Roman" w:hAnsi="Times New Roman" w:cs="Times New Roman"/>
          <w:bCs/>
          <w:color w:val="000000"/>
          <w:sz w:val="24"/>
          <w:szCs w:val="24"/>
        </w:rPr>
        <w:br w:type="page"/>
      </w:r>
    </w:p>
    <w:p w14:paraId="6B5ECC31" w14:textId="77777777" w:rsidR="00A157AF" w:rsidRPr="00AD6D69" w:rsidRDefault="00A157AF" w:rsidP="00AD6D69">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44" w:name="_Toc533413757"/>
      <w:r w:rsidRPr="00AD6D69">
        <w:rPr>
          <w:rFonts w:ascii="Times New Roman Gras" w:eastAsiaTheme="majorEastAsia" w:hAnsi="Times New Roman Gras" w:cs="Times New Roman"/>
          <w:b/>
          <w:bCs/>
          <w:caps/>
          <w:color w:val="2E74B5" w:themeColor="accent1" w:themeShade="BF"/>
          <w:sz w:val="28"/>
          <w:szCs w:val="28"/>
        </w:rPr>
        <w:t>III. Évaluation du progrès dans la réalisation de chaque objectif national</w:t>
      </w:r>
      <w:bookmarkEnd w:id="44"/>
    </w:p>
    <w:p w14:paraId="2ECC5D14" w14:textId="77777777" w:rsidR="001E4060" w:rsidRDefault="001E4060"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711B83AE" w14:textId="77777777" w:rsidR="00D31C6C" w:rsidRPr="0005198E" w:rsidRDefault="00D31C6C" w:rsidP="00A05444">
      <w:pPr>
        <w:autoSpaceDE w:val="0"/>
        <w:autoSpaceDN w:val="0"/>
        <w:adjustRightInd w:val="0"/>
        <w:spacing w:after="0" w:line="276" w:lineRule="auto"/>
        <w:outlineLvl w:val="1"/>
        <w:rPr>
          <w:rFonts w:ascii="Times New Roman" w:hAnsi="Times New Roman" w:cs="Times New Roman"/>
          <w:b/>
          <w:color w:val="000000"/>
          <w:sz w:val="24"/>
          <w:szCs w:val="24"/>
        </w:rPr>
      </w:pPr>
      <w:bookmarkStart w:id="45" w:name="_Toc533413758"/>
      <w:r w:rsidRPr="0005198E">
        <w:rPr>
          <w:rFonts w:ascii="Times New Roman" w:hAnsi="Times New Roman" w:cs="Times New Roman"/>
          <w:b/>
          <w:color w:val="000000"/>
          <w:sz w:val="24"/>
          <w:szCs w:val="24"/>
        </w:rPr>
        <w:t xml:space="preserve">3.1. </w:t>
      </w:r>
      <w:r w:rsidR="0005198E" w:rsidRPr="0005198E">
        <w:rPr>
          <w:rFonts w:ascii="Times New Roman" w:hAnsi="Times New Roman" w:cs="Times New Roman"/>
          <w:b/>
          <w:iCs/>
          <w:sz w:val="24"/>
          <w:szCs w:val="24"/>
          <w:lang w:val="fr-CA"/>
        </w:rPr>
        <w:t>M</w:t>
      </w:r>
      <w:r w:rsidR="00F9674D" w:rsidRPr="0005198E">
        <w:rPr>
          <w:rFonts w:ascii="Times New Roman" w:hAnsi="Times New Roman" w:cs="Times New Roman"/>
          <w:b/>
          <w:iCs/>
          <w:sz w:val="24"/>
          <w:szCs w:val="24"/>
          <w:lang w:val="fr-CA"/>
        </w:rPr>
        <w:t>éthodes utilisé</w:t>
      </w:r>
      <w:r w:rsidR="0005198E" w:rsidRPr="0005198E">
        <w:rPr>
          <w:rFonts w:ascii="Times New Roman" w:hAnsi="Times New Roman" w:cs="Times New Roman"/>
          <w:b/>
          <w:iCs/>
          <w:sz w:val="24"/>
          <w:szCs w:val="24"/>
          <w:lang w:val="fr-CA"/>
        </w:rPr>
        <w:t>e</w:t>
      </w:r>
      <w:r w:rsidR="00F9674D" w:rsidRPr="0005198E">
        <w:rPr>
          <w:rFonts w:ascii="Times New Roman" w:hAnsi="Times New Roman" w:cs="Times New Roman"/>
          <w:b/>
          <w:iCs/>
          <w:sz w:val="24"/>
          <w:szCs w:val="24"/>
          <w:lang w:val="fr-CA"/>
        </w:rPr>
        <w:t>s pour évaluer les progrès accomplis</w:t>
      </w:r>
      <w:r w:rsidR="0005198E">
        <w:rPr>
          <w:rFonts w:ascii="Times New Roman" w:hAnsi="Times New Roman" w:cs="Times New Roman"/>
          <w:b/>
          <w:iCs/>
          <w:sz w:val="24"/>
          <w:szCs w:val="24"/>
          <w:lang w:val="fr-CA"/>
        </w:rPr>
        <w:t xml:space="preserve"> dans l’application des objectifs nationaux</w:t>
      </w:r>
      <w:bookmarkEnd w:id="45"/>
    </w:p>
    <w:p w14:paraId="4797ABFD" w14:textId="77777777" w:rsidR="00D31C6C" w:rsidRPr="005D5D9B" w:rsidRDefault="00D31C6C" w:rsidP="00D31C6C">
      <w:pPr>
        <w:autoSpaceDE w:val="0"/>
        <w:autoSpaceDN w:val="0"/>
        <w:adjustRightInd w:val="0"/>
        <w:spacing w:after="0" w:line="276" w:lineRule="auto"/>
        <w:jc w:val="both"/>
        <w:rPr>
          <w:rFonts w:ascii="Times New Roman" w:hAnsi="Times New Roman"/>
          <w:sz w:val="24"/>
          <w:szCs w:val="24"/>
        </w:rPr>
      </w:pPr>
    </w:p>
    <w:p w14:paraId="20ADD377" w14:textId="77777777" w:rsidR="00D31C6C" w:rsidRPr="005D5D9B" w:rsidRDefault="0005198E" w:rsidP="00D31C6C">
      <w:pPr>
        <w:autoSpaceDE w:val="0"/>
        <w:autoSpaceDN w:val="0"/>
        <w:adjustRightInd w:val="0"/>
        <w:spacing w:after="0" w:line="276" w:lineRule="auto"/>
        <w:jc w:val="both"/>
        <w:rPr>
          <w:rFonts w:ascii="Times New Roman" w:hAnsi="Times New Roman"/>
          <w:sz w:val="24"/>
          <w:szCs w:val="24"/>
        </w:rPr>
      </w:pPr>
      <w:r>
        <w:rPr>
          <w:rFonts w:ascii="Times New Roman" w:hAnsi="Times New Roman"/>
          <w:sz w:val="24"/>
          <w:szCs w:val="24"/>
        </w:rPr>
        <w:t>P</w:t>
      </w:r>
      <w:r w:rsidR="00D31C6C" w:rsidRPr="005D5D9B">
        <w:rPr>
          <w:rFonts w:ascii="Times New Roman" w:hAnsi="Times New Roman"/>
          <w:sz w:val="24"/>
          <w:szCs w:val="24"/>
        </w:rPr>
        <w:t>our chaque objectif, les niveaux de mise e</w:t>
      </w:r>
      <w:r>
        <w:rPr>
          <w:rFonts w:ascii="Times New Roman" w:hAnsi="Times New Roman"/>
          <w:sz w:val="24"/>
          <w:szCs w:val="24"/>
        </w:rPr>
        <w:t xml:space="preserve">n œuvre de l’objectif national </w:t>
      </w:r>
      <w:r w:rsidR="00D31C6C" w:rsidRPr="005D5D9B">
        <w:rPr>
          <w:rFonts w:ascii="Times New Roman" w:hAnsi="Times New Roman"/>
          <w:sz w:val="24"/>
          <w:szCs w:val="24"/>
        </w:rPr>
        <w:t xml:space="preserve">ont </w:t>
      </w:r>
      <w:r>
        <w:rPr>
          <w:rFonts w:ascii="Times New Roman" w:hAnsi="Times New Roman"/>
          <w:sz w:val="24"/>
          <w:szCs w:val="24"/>
        </w:rPr>
        <w:t xml:space="preserve">été </w:t>
      </w:r>
      <w:r w:rsidR="00D31C6C" w:rsidRPr="005D5D9B">
        <w:rPr>
          <w:rFonts w:ascii="Times New Roman" w:hAnsi="Times New Roman"/>
          <w:sz w:val="24"/>
          <w:szCs w:val="24"/>
        </w:rPr>
        <w:t xml:space="preserve">évalués en fonction des critères de quotation (scores) définis comme </w:t>
      </w:r>
      <w:r>
        <w:rPr>
          <w:rFonts w:ascii="Times New Roman" w:hAnsi="Times New Roman"/>
          <w:sz w:val="24"/>
          <w:szCs w:val="24"/>
        </w:rPr>
        <w:t xml:space="preserve">dans le tableau </w:t>
      </w:r>
      <w:r w:rsidR="00542A1C">
        <w:rPr>
          <w:rFonts w:ascii="Times New Roman" w:hAnsi="Times New Roman"/>
          <w:sz w:val="24"/>
          <w:szCs w:val="24"/>
        </w:rPr>
        <w:t>6</w:t>
      </w:r>
      <w:r>
        <w:rPr>
          <w:rFonts w:ascii="Times New Roman" w:hAnsi="Times New Roman"/>
          <w:sz w:val="24"/>
          <w:szCs w:val="24"/>
        </w:rPr>
        <w:t>.</w:t>
      </w:r>
      <w:r w:rsidR="00D31C6C" w:rsidRPr="005D5D9B">
        <w:rPr>
          <w:rFonts w:ascii="Times New Roman" w:hAnsi="Times New Roman"/>
          <w:sz w:val="24"/>
          <w:szCs w:val="24"/>
        </w:rPr>
        <w:t xml:space="preserve"> Pour chaque objectif, la note du niveau de réalisation est déterminée sur la base des actions entreprises par les différentes parties prenantes impliquées dans la conservation et la gestion durables de la biodiversité.</w:t>
      </w:r>
    </w:p>
    <w:p w14:paraId="47964BCE" w14:textId="77777777" w:rsidR="00D31C6C" w:rsidRDefault="00D31C6C" w:rsidP="0005198E">
      <w:pPr>
        <w:spacing w:after="0" w:line="240" w:lineRule="auto"/>
        <w:jc w:val="both"/>
        <w:rPr>
          <w:rFonts w:ascii="Times New Roman" w:hAnsi="Times New Roman" w:cs="Times New Roman"/>
          <w:b/>
          <w:sz w:val="24"/>
          <w:szCs w:val="24"/>
        </w:rPr>
      </w:pPr>
    </w:p>
    <w:p w14:paraId="6BE6F3ED" w14:textId="0C66D8D9" w:rsidR="00804C8B" w:rsidRPr="00804C8B" w:rsidRDefault="00804C8B" w:rsidP="00804C8B">
      <w:pPr>
        <w:pStyle w:val="Lgende"/>
        <w:rPr>
          <w:rFonts w:ascii="Times New Roman" w:hAnsi="Times New Roman"/>
          <w:b w:val="0"/>
          <w:sz w:val="24"/>
          <w:szCs w:val="24"/>
        </w:rPr>
      </w:pPr>
      <w:bookmarkStart w:id="46" w:name="_Toc533413476"/>
      <w:r w:rsidRPr="00804C8B">
        <w:rPr>
          <w:rFonts w:ascii="Times New Roman" w:hAnsi="Times New Roman"/>
          <w:sz w:val="24"/>
          <w:szCs w:val="24"/>
        </w:rPr>
        <w:t xml:space="preserve">Tableau </w:t>
      </w:r>
      <w:r w:rsidRPr="00804C8B">
        <w:rPr>
          <w:rFonts w:ascii="Times New Roman" w:hAnsi="Times New Roman"/>
          <w:sz w:val="24"/>
          <w:szCs w:val="24"/>
        </w:rPr>
        <w:fldChar w:fldCharType="begin"/>
      </w:r>
      <w:r w:rsidRPr="00804C8B">
        <w:rPr>
          <w:rFonts w:ascii="Times New Roman" w:hAnsi="Times New Roman"/>
          <w:sz w:val="24"/>
          <w:szCs w:val="24"/>
        </w:rPr>
        <w:instrText xml:space="preserve"> SEQ Tableau \* ARABIC </w:instrText>
      </w:r>
      <w:r w:rsidRPr="00804C8B">
        <w:rPr>
          <w:rFonts w:ascii="Times New Roman" w:hAnsi="Times New Roman"/>
          <w:sz w:val="24"/>
          <w:szCs w:val="24"/>
        </w:rPr>
        <w:fldChar w:fldCharType="separate"/>
      </w:r>
      <w:r w:rsidR="00C47BFF">
        <w:rPr>
          <w:rFonts w:ascii="Times New Roman" w:hAnsi="Times New Roman"/>
          <w:noProof/>
          <w:sz w:val="24"/>
          <w:szCs w:val="24"/>
        </w:rPr>
        <w:t>5</w:t>
      </w:r>
      <w:r w:rsidRPr="00804C8B">
        <w:rPr>
          <w:rFonts w:ascii="Times New Roman" w:hAnsi="Times New Roman"/>
          <w:sz w:val="24"/>
          <w:szCs w:val="24"/>
        </w:rPr>
        <w:fldChar w:fldCharType="end"/>
      </w:r>
      <w:r w:rsidR="003C3065">
        <w:rPr>
          <w:rFonts w:ascii="Times New Roman" w:hAnsi="Times New Roman"/>
          <w:sz w:val="24"/>
          <w:szCs w:val="24"/>
        </w:rPr>
        <w:t> </w:t>
      </w:r>
      <w:r w:rsidRPr="00804C8B">
        <w:rPr>
          <w:rFonts w:ascii="Times New Roman" w:hAnsi="Times New Roman"/>
          <w:sz w:val="24"/>
          <w:szCs w:val="24"/>
        </w:rPr>
        <w:t>: Critères d’évaluation quantitative de la mise en œuvre des objectifs nationaux pour la conservation de la biodiversité</w:t>
      </w:r>
      <w:bookmarkEnd w:id="46"/>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31"/>
        <w:gridCol w:w="1643"/>
        <w:gridCol w:w="1376"/>
        <w:gridCol w:w="1230"/>
        <w:gridCol w:w="1098"/>
        <w:gridCol w:w="1110"/>
        <w:gridCol w:w="1163"/>
      </w:tblGrid>
      <w:tr w:rsidR="00CE7C1D" w:rsidRPr="00852467" w14:paraId="7A92F9FF" w14:textId="77777777" w:rsidTr="006D0410">
        <w:trPr>
          <w:jc w:val="center"/>
        </w:trPr>
        <w:tc>
          <w:tcPr>
            <w:tcW w:w="3466" w:type="dxa"/>
            <w:vAlign w:val="center"/>
          </w:tcPr>
          <w:p w14:paraId="1628BFFD" w14:textId="77777777" w:rsidR="00D31C6C" w:rsidRPr="00852467" w:rsidRDefault="00D31C6C" w:rsidP="00297ED9">
            <w:pPr>
              <w:spacing w:after="0" w:line="276" w:lineRule="auto"/>
              <w:rPr>
                <w:rFonts w:ascii="Times New Roman" w:hAnsi="Times New Roman"/>
                <w:b/>
                <w:sz w:val="24"/>
                <w:szCs w:val="24"/>
              </w:rPr>
            </w:pPr>
            <w:r w:rsidRPr="00852467">
              <w:rPr>
                <w:rFonts w:ascii="Times New Roman" w:hAnsi="Times New Roman"/>
                <w:b/>
                <w:sz w:val="24"/>
                <w:szCs w:val="24"/>
              </w:rPr>
              <w:t>Score</w:t>
            </w:r>
          </w:p>
        </w:tc>
        <w:tc>
          <w:tcPr>
            <w:tcW w:w="566" w:type="dxa"/>
            <w:vAlign w:val="center"/>
          </w:tcPr>
          <w:p w14:paraId="345A0E2C" w14:textId="77777777" w:rsidR="00D31C6C" w:rsidRPr="00852467" w:rsidRDefault="00D31C6C" w:rsidP="00297ED9">
            <w:pPr>
              <w:spacing w:after="0" w:line="276" w:lineRule="auto"/>
              <w:jc w:val="center"/>
              <w:rPr>
                <w:rFonts w:ascii="Times New Roman" w:hAnsi="Times New Roman"/>
                <w:b/>
                <w:sz w:val="24"/>
                <w:szCs w:val="24"/>
              </w:rPr>
            </w:pPr>
            <w:r w:rsidRPr="00852467">
              <w:rPr>
                <w:rFonts w:ascii="Times New Roman" w:hAnsi="Times New Roman"/>
                <w:b/>
                <w:sz w:val="24"/>
                <w:szCs w:val="24"/>
              </w:rPr>
              <w:t>0</w:t>
            </w:r>
          </w:p>
        </w:tc>
        <w:tc>
          <w:tcPr>
            <w:tcW w:w="980" w:type="dxa"/>
            <w:vAlign w:val="center"/>
          </w:tcPr>
          <w:p w14:paraId="7DDE8FD6" w14:textId="77777777" w:rsidR="00D31C6C" w:rsidRPr="00852467" w:rsidRDefault="00D31C6C" w:rsidP="00297ED9">
            <w:pPr>
              <w:spacing w:after="0" w:line="276" w:lineRule="auto"/>
              <w:jc w:val="center"/>
              <w:rPr>
                <w:rFonts w:ascii="Times New Roman" w:hAnsi="Times New Roman"/>
                <w:b/>
                <w:sz w:val="24"/>
                <w:szCs w:val="24"/>
              </w:rPr>
            </w:pPr>
            <w:r w:rsidRPr="00852467">
              <w:rPr>
                <w:rFonts w:ascii="Times New Roman" w:hAnsi="Times New Roman"/>
                <w:b/>
                <w:sz w:val="24"/>
                <w:szCs w:val="24"/>
              </w:rPr>
              <w:t>1</w:t>
            </w:r>
          </w:p>
        </w:tc>
        <w:tc>
          <w:tcPr>
            <w:tcW w:w="1117" w:type="dxa"/>
            <w:vAlign w:val="center"/>
          </w:tcPr>
          <w:p w14:paraId="5E410D7C" w14:textId="77777777" w:rsidR="00D31C6C" w:rsidRPr="00852467" w:rsidRDefault="00D31C6C" w:rsidP="00297ED9">
            <w:pPr>
              <w:spacing w:after="0" w:line="276" w:lineRule="auto"/>
              <w:jc w:val="center"/>
              <w:rPr>
                <w:rFonts w:ascii="Times New Roman" w:hAnsi="Times New Roman"/>
                <w:b/>
                <w:sz w:val="24"/>
                <w:szCs w:val="24"/>
              </w:rPr>
            </w:pPr>
            <w:r w:rsidRPr="00852467">
              <w:rPr>
                <w:rFonts w:ascii="Times New Roman" w:hAnsi="Times New Roman"/>
                <w:b/>
                <w:sz w:val="24"/>
                <w:szCs w:val="24"/>
              </w:rPr>
              <w:t>2</w:t>
            </w:r>
          </w:p>
        </w:tc>
        <w:tc>
          <w:tcPr>
            <w:tcW w:w="1117" w:type="dxa"/>
            <w:vAlign w:val="center"/>
          </w:tcPr>
          <w:p w14:paraId="00AF3AEC" w14:textId="77777777" w:rsidR="00D31C6C" w:rsidRPr="00852467" w:rsidRDefault="00D31C6C" w:rsidP="00297ED9">
            <w:pPr>
              <w:spacing w:after="0" w:line="276" w:lineRule="auto"/>
              <w:jc w:val="center"/>
              <w:rPr>
                <w:rFonts w:ascii="Times New Roman" w:hAnsi="Times New Roman"/>
                <w:b/>
                <w:sz w:val="24"/>
                <w:szCs w:val="24"/>
              </w:rPr>
            </w:pPr>
            <w:r w:rsidRPr="00852467">
              <w:rPr>
                <w:rFonts w:ascii="Times New Roman" w:hAnsi="Times New Roman"/>
                <w:b/>
                <w:sz w:val="24"/>
                <w:szCs w:val="24"/>
              </w:rPr>
              <w:t>3</w:t>
            </w:r>
          </w:p>
        </w:tc>
        <w:tc>
          <w:tcPr>
            <w:tcW w:w="1256" w:type="dxa"/>
            <w:vAlign w:val="center"/>
          </w:tcPr>
          <w:p w14:paraId="5D742049" w14:textId="77777777" w:rsidR="00D31C6C" w:rsidRPr="00852467" w:rsidRDefault="00D31C6C" w:rsidP="00297ED9">
            <w:pPr>
              <w:spacing w:after="0" w:line="276" w:lineRule="auto"/>
              <w:jc w:val="center"/>
              <w:rPr>
                <w:rFonts w:ascii="Times New Roman" w:hAnsi="Times New Roman"/>
                <w:b/>
                <w:sz w:val="24"/>
                <w:szCs w:val="24"/>
              </w:rPr>
            </w:pPr>
            <w:r w:rsidRPr="00852467">
              <w:rPr>
                <w:rFonts w:ascii="Times New Roman" w:hAnsi="Times New Roman"/>
                <w:b/>
                <w:sz w:val="24"/>
                <w:szCs w:val="24"/>
              </w:rPr>
              <w:t>4</w:t>
            </w:r>
          </w:p>
        </w:tc>
        <w:tc>
          <w:tcPr>
            <w:tcW w:w="849" w:type="dxa"/>
            <w:vAlign w:val="center"/>
          </w:tcPr>
          <w:p w14:paraId="4B078555" w14:textId="77777777" w:rsidR="00D31C6C" w:rsidRPr="00852467" w:rsidRDefault="00D31C6C" w:rsidP="00297ED9">
            <w:pPr>
              <w:spacing w:after="0" w:line="276" w:lineRule="auto"/>
              <w:jc w:val="center"/>
              <w:rPr>
                <w:rFonts w:ascii="Times New Roman" w:hAnsi="Times New Roman"/>
                <w:b/>
                <w:sz w:val="24"/>
                <w:szCs w:val="24"/>
              </w:rPr>
            </w:pPr>
            <w:r w:rsidRPr="00852467">
              <w:rPr>
                <w:rFonts w:ascii="Times New Roman" w:hAnsi="Times New Roman"/>
                <w:b/>
                <w:sz w:val="24"/>
                <w:szCs w:val="24"/>
              </w:rPr>
              <w:t>5</w:t>
            </w:r>
          </w:p>
        </w:tc>
      </w:tr>
      <w:tr w:rsidR="00CE7C1D" w:rsidRPr="00852467" w14:paraId="46048907" w14:textId="77777777" w:rsidTr="006D0410">
        <w:trPr>
          <w:jc w:val="center"/>
        </w:trPr>
        <w:tc>
          <w:tcPr>
            <w:tcW w:w="3466" w:type="dxa"/>
            <w:vAlign w:val="center"/>
          </w:tcPr>
          <w:p w14:paraId="738DAFF5" w14:textId="77777777" w:rsidR="00D31C6C" w:rsidRPr="00852467" w:rsidRDefault="00D31C6C" w:rsidP="00297ED9">
            <w:pPr>
              <w:spacing w:after="0" w:line="276" w:lineRule="auto"/>
              <w:rPr>
                <w:rFonts w:ascii="Times New Roman" w:hAnsi="Times New Roman"/>
                <w:b/>
                <w:sz w:val="24"/>
                <w:szCs w:val="24"/>
              </w:rPr>
            </w:pPr>
            <w:r w:rsidRPr="00852467">
              <w:rPr>
                <w:rFonts w:ascii="Times New Roman" w:hAnsi="Times New Roman"/>
                <w:b/>
                <w:sz w:val="24"/>
                <w:szCs w:val="24"/>
              </w:rPr>
              <w:t>Classe de pourcentage de réalisation de l’objectif (%)</w:t>
            </w:r>
          </w:p>
        </w:tc>
        <w:tc>
          <w:tcPr>
            <w:tcW w:w="566" w:type="dxa"/>
            <w:vAlign w:val="center"/>
          </w:tcPr>
          <w:p w14:paraId="1DA441D1" w14:textId="77777777" w:rsidR="00D31C6C" w:rsidRPr="00852467" w:rsidRDefault="00D31C6C" w:rsidP="00297ED9">
            <w:pPr>
              <w:spacing w:after="0" w:line="276" w:lineRule="auto"/>
              <w:jc w:val="center"/>
              <w:rPr>
                <w:rFonts w:ascii="Times New Roman" w:hAnsi="Times New Roman"/>
                <w:sz w:val="24"/>
                <w:szCs w:val="24"/>
              </w:rPr>
            </w:pPr>
            <w:r w:rsidRPr="00852467">
              <w:rPr>
                <w:rFonts w:ascii="Times New Roman" w:hAnsi="Times New Roman"/>
                <w:sz w:val="24"/>
                <w:szCs w:val="24"/>
              </w:rPr>
              <w:t>0%</w:t>
            </w:r>
          </w:p>
        </w:tc>
        <w:tc>
          <w:tcPr>
            <w:tcW w:w="980" w:type="dxa"/>
            <w:vAlign w:val="center"/>
          </w:tcPr>
          <w:p w14:paraId="417DB37C" w14:textId="10E65046" w:rsidR="00D31C6C" w:rsidRPr="00852467" w:rsidRDefault="00D31C6C" w:rsidP="00297ED9">
            <w:pPr>
              <w:spacing w:after="0" w:line="276" w:lineRule="auto"/>
              <w:jc w:val="center"/>
              <w:rPr>
                <w:rFonts w:ascii="Times New Roman" w:hAnsi="Times New Roman"/>
                <w:sz w:val="24"/>
                <w:szCs w:val="24"/>
              </w:rPr>
            </w:pPr>
            <w:r w:rsidRPr="00852467">
              <w:rPr>
                <w:rFonts w:ascii="Times New Roman" w:hAnsi="Times New Roman"/>
                <w:sz w:val="24"/>
                <w:szCs w:val="24"/>
              </w:rPr>
              <w:t xml:space="preserve">0 </w:t>
            </w:r>
            <w:r w:rsidR="003C3065">
              <w:rPr>
                <w:rFonts w:ascii="Times New Roman" w:hAnsi="Times New Roman"/>
                <w:sz w:val="24"/>
                <w:szCs w:val="24"/>
              </w:rPr>
              <w:t>–</w:t>
            </w:r>
            <w:r w:rsidRPr="00852467">
              <w:rPr>
                <w:rFonts w:ascii="Times New Roman" w:hAnsi="Times New Roman"/>
                <w:sz w:val="24"/>
                <w:szCs w:val="24"/>
              </w:rPr>
              <w:t xml:space="preserve"> 20%</w:t>
            </w:r>
          </w:p>
        </w:tc>
        <w:tc>
          <w:tcPr>
            <w:tcW w:w="1117" w:type="dxa"/>
            <w:vAlign w:val="center"/>
          </w:tcPr>
          <w:p w14:paraId="0E5B7D9B" w14:textId="6EA25223" w:rsidR="00D31C6C" w:rsidRPr="00852467" w:rsidRDefault="00D31C6C" w:rsidP="00297ED9">
            <w:pPr>
              <w:spacing w:after="0" w:line="276" w:lineRule="auto"/>
              <w:jc w:val="both"/>
              <w:rPr>
                <w:rFonts w:ascii="Times New Roman" w:hAnsi="Times New Roman"/>
                <w:sz w:val="24"/>
                <w:szCs w:val="24"/>
              </w:rPr>
            </w:pPr>
            <w:r w:rsidRPr="00852467">
              <w:rPr>
                <w:rFonts w:ascii="Times New Roman" w:hAnsi="Times New Roman"/>
                <w:sz w:val="24"/>
                <w:szCs w:val="24"/>
              </w:rPr>
              <w:t xml:space="preserve">20 </w:t>
            </w:r>
            <w:r w:rsidR="003C3065">
              <w:rPr>
                <w:rFonts w:ascii="Times New Roman" w:hAnsi="Times New Roman"/>
                <w:sz w:val="24"/>
                <w:szCs w:val="24"/>
              </w:rPr>
              <w:t>–</w:t>
            </w:r>
            <w:r w:rsidRPr="00852467">
              <w:rPr>
                <w:rFonts w:ascii="Times New Roman" w:hAnsi="Times New Roman"/>
                <w:sz w:val="24"/>
                <w:szCs w:val="24"/>
              </w:rPr>
              <w:t xml:space="preserve"> 40%</w:t>
            </w:r>
          </w:p>
        </w:tc>
        <w:tc>
          <w:tcPr>
            <w:tcW w:w="1117" w:type="dxa"/>
            <w:vAlign w:val="center"/>
          </w:tcPr>
          <w:p w14:paraId="66EE69D0" w14:textId="6435F835" w:rsidR="00D31C6C" w:rsidRPr="00852467" w:rsidRDefault="00D31C6C" w:rsidP="00297ED9">
            <w:pPr>
              <w:spacing w:after="0" w:line="276" w:lineRule="auto"/>
              <w:jc w:val="both"/>
              <w:rPr>
                <w:rFonts w:ascii="Times New Roman" w:hAnsi="Times New Roman"/>
                <w:sz w:val="24"/>
                <w:szCs w:val="24"/>
              </w:rPr>
            </w:pPr>
            <w:r w:rsidRPr="00852467">
              <w:rPr>
                <w:rFonts w:ascii="Times New Roman" w:hAnsi="Times New Roman"/>
                <w:sz w:val="24"/>
                <w:szCs w:val="24"/>
              </w:rPr>
              <w:t xml:space="preserve">40 </w:t>
            </w:r>
            <w:r w:rsidR="003C3065">
              <w:rPr>
                <w:rFonts w:ascii="Times New Roman" w:hAnsi="Times New Roman"/>
                <w:sz w:val="24"/>
                <w:szCs w:val="24"/>
              </w:rPr>
              <w:t>–</w:t>
            </w:r>
            <w:r w:rsidRPr="00852467">
              <w:rPr>
                <w:rFonts w:ascii="Times New Roman" w:hAnsi="Times New Roman"/>
                <w:sz w:val="24"/>
                <w:szCs w:val="24"/>
              </w:rPr>
              <w:t xml:space="preserve"> 50%</w:t>
            </w:r>
          </w:p>
        </w:tc>
        <w:tc>
          <w:tcPr>
            <w:tcW w:w="1256" w:type="dxa"/>
            <w:vAlign w:val="center"/>
          </w:tcPr>
          <w:p w14:paraId="635E4DD7" w14:textId="057FEDE3" w:rsidR="00D31C6C" w:rsidRPr="00852467" w:rsidRDefault="00D31C6C" w:rsidP="00297ED9">
            <w:pPr>
              <w:spacing w:after="0" w:line="276" w:lineRule="auto"/>
              <w:jc w:val="both"/>
              <w:rPr>
                <w:rFonts w:ascii="Times New Roman" w:hAnsi="Times New Roman"/>
                <w:sz w:val="24"/>
                <w:szCs w:val="24"/>
              </w:rPr>
            </w:pPr>
            <w:r w:rsidRPr="00852467">
              <w:rPr>
                <w:rFonts w:ascii="Times New Roman" w:hAnsi="Times New Roman"/>
                <w:sz w:val="24"/>
                <w:szCs w:val="24"/>
              </w:rPr>
              <w:t xml:space="preserve">50 </w:t>
            </w:r>
            <w:r w:rsidR="003C3065">
              <w:rPr>
                <w:rFonts w:ascii="Times New Roman" w:hAnsi="Times New Roman"/>
                <w:sz w:val="24"/>
                <w:szCs w:val="24"/>
              </w:rPr>
              <w:t>–</w:t>
            </w:r>
            <w:r w:rsidRPr="00852467">
              <w:rPr>
                <w:rFonts w:ascii="Times New Roman" w:hAnsi="Times New Roman"/>
                <w:sz w:val="24"/>
                <w:szCs w:val="24"/>
              </w:rPr>
              <w:t xml:space="preserve"> 75%</w:t>
            </w:r>
          </w:p>
        </w:tc>
        <w:tc>
          <w:tcPr>
            <w:tcW w:w="849" w:type="dxa"/>
            <w:vAlign w:val="center"/>
          </w:tcPr>
          <w:p w14:paraId="33DD25EB" w14:textId="77777777" w:rsidR="00D31C6C" w:rsidRPr="00852467" w:rsidRDefault="00D31C6C" w:rsidP="00297ED9">
            <w:pPr>
              <w:spacing w:after="0" w:line="276" w:lineRule="auto"/>
              <w:jc w:val="both"/>
              <w:rPr>
                <w:rFonts w:ascii="Times New Roman" w:hAnsi="Times New Roman"/>
                <w:sz w:val="24"/>
                <w:szCs w:val="24"/>
              </w:rPr>
            </w:pPr>
            <w:r w:rsidRPr="00852467">
              <w:rPr>
                <w:rFonts w:ascii="Times New Roman" w:hAnsi="Times New Roman"/>
                <w:sz w:val="24"/>
                <w:szCs w:val="24"/>
              </w:rPr>
              <w:t>+75%</w:t>
            </w:r>
          </w:p>
        </w:tc>
      </w:tr>
      <w:tr w:rsidR="00CE7C1D" w:rsidRPr="00852467" w14:paraId="4B12F299" w14:textId="77777777" w:rsidTr="006D0410">
        <w:trPr>
          <w:jc w:val="center"/>
        </w:trPr>
        <w:tc>
          <w:tcPr>
            <w:tcW w:w="3466" w:type="dxa"/>
            <w:vAlign w:val="center"/>
          </w:tcPr>
          <w:p w14:paraId="2473A756" w14:textId="5354EBDD" w:rsidR="003C3065" w:rsidRPr="00852467" w:rsidRDefault="003C3065" w:rsidP="00297ED9">
            <w:pPr>
              <w:spacing w:after="0" w:line="276" w:lineRule="auto"/>
              <w:rPr>
                <w:rFonts w:ascii="Times New Roman" w:hAnsi="Times New Roman"/>
                <w:b/>
                <w:sz w:val="24"/>
                <w:szCs w:val="24"/>
              </w:rPr>
            </w:pPr>
            <w:r>
              <w:rPr>
                <w:rFonts w:ascii="Times New Roman" w:hAnsi="Times New Roman"/>
                <w:b/>
                <w:sz w:val="24"/>
                <w:szCs w:val="24"/>
              </w:rPr>
              <w:t>Appréciation du score</w:t>
            </w:r>
          </w:p>
        </w:tc>
        <w:tc>
          <w:tcPr>
            <w:tcW w:w="566" w:type="dxa"/>
            <w:vAlign w:val="center"/>
          </w:tcPr>
          <w:p w14:paraId="03E7416C" w14:textId="27F5D3DE" w:rsidR="003C3065" w:rsidRPr="00852467" w:rsidRDefault="00CE7C1D" w:rsidP="00297ED9">
            <w:pPr>
              <w:spacing w:after="0" w:line="276" w:lineRule="auto"/>
              <w:jc w:val="center"/>
              <w:rPr>
                <w:rFonts w:ascii="Times New Roman" w:hAnsi="Times New Roman"/>
                <w:sz w:val="24"/>
                <w:szCs w:val="24"/>
              </w:rPr>
            </w:pPr>
            <w:r>
              <w:rPr>
                <w:rFonts w:ascii="Times New Roman" w:hAnsi="Times New Roman"/>
                <w:sz w:val="24"/>
                <w:szCs w:val="24"/>
              </w:rPr>
              <w:t>Absence d’informations sur l’objectif/ éloignement de l’objectif</w:t>
            </w:r>
          </w:p>
        </w:tc>
        <w:tc>
          <w:tcPr>
            <w:tcW w:w="980" w:type="dxa"/>
            <w:vAlign w:val="center"/>
          </w:tcPr>
          <w:p w14:paraId="59C58208" w14:textId="6D531BDD" w:rsidR="003C3065" w:rsidRPr="00852467" w:rsidRDefault="00CE7C1D" w:rsidP="00297ED9">
            <w:pPr>
              <w:spacing w:after="0" w:line="276" w:lineRule="auto"/>
              <w:jc w:val="center"/>
              <w:rPr>
                <w:rFonts w:ascii="Times New Roman" w:hAnsi="Times New Roman"/>
                <w:sz w:val="24"/>
                <w:szCs w:val="24"/>
              </w:rPr>
            </w:pPr>
            <w:r>
              <w:rPr>
                <w:rFonts w:ascii="Times New Roman" w:hAnsi="Times New Roman"/>
                <w:sz w:val="24"/>
                <w:szCs w:val="24"/>
              </w:rPr>
              <w:t>Pas de changement significatif</w:t>
            </w:r>
          </w:p>
        </w:tc>
        <w:tc>
          <w:tcPr>
            <w:tcW w:w="1117" w:type="dxa"/>
            <w:vAlign w:val="center"/>
          </w:tcPr>
          <w:p w14:paraId="091A56C9" w14:textId="50F70D4A" w:rsidR="003C3065" w:rsidRPr="00852467" w:rsidRDefault="00CE7C1D" w:rsidP="00297ED9">
            <w:pPr>
              <w:spacing w:after="0" w:line="276" w:lineRule="auto"/>
              <w:jc w:val="both"/>
              <w:rPr>
                <w:rFonts w:ascii="Times New Roman" w:hAnsi="Times New Roman"/>
                <w:sz w:val="24"/>
                <w:szCs w:val="24"/>
              </w:rPr>
            </w:pPr>
            <w:r>
              <w:rPr>
                <w:rFonts w:ascii="Times New Roman" w:hAnsi="Times New Roman"/>
                <w:sz w:val="24"/>
                <w:szCs w:val="24"/>
              </w:rPr>
              <w:t>Progrès mais à un rythme insuffisant</w:t>
            </w:r>
          </w:p>
        </w:tc>
        <w:tc>
          <w:tcPr>
            <w:tcW w:w="1117" w:type="dxa"/>
            <w:vAlign w:val="center"/>
          </w:tcPr>
          <w:p w14:paraId="52800362" w14:textId="09F1234C" w:rsidR="003C3065" w:rsidRPr="00852467" w:rsidRDefault="00CE7C1D" w:rsidP="00297ED9">
            <w:pPr>
              <w:spacing w:after="0" w:line="276" w:lineRule="auto"/>
              <w:jc w:val="both"/>
              <w:rPr>
                <w:rFonts w:ascii="Times New Roman" w:hAnsi="Times New Roman"/>
                <w:sz w:val="24"/>
                <w:szCs w:val="24"/>
              </w:rPr>
            </w:pPr>
            <w:r>
              <w:rPr>
                <w:rFonts w:ascii="Times New Roman" w:hAnsi="Times New Roman"/>
                <w:sz w:val="24"/>
                <w:szCs w:val="24"/>
              </w:rPr>
              <w:t>En voie de réaliser l’objectif</w:t>
            </w:r>
          </w:p>
        </w:tc>
        <w:tc>
          <w:tcPr>
            <w:tcW w:w="1256" w:type="dxa"/>
            <w:vAlign w:val="center"/>
          </w:tcPr>
          <w:p w14:paraId="140EA072" w14:textId="6BDC649F" w:rsidR="003C3065" w:rsidRPr="00852467" w:rsidRDefault="00CE7C1D" w:rsidP="00297ED9">
            <w:pPr>
              <w:spacing w:after="0" w:line="276" w:lineRule="auto"/>
              <w:jc w:val="both"/>
              <w:rPr>
                <w:rFonts w:ascii="Times New Roman" w:hAnsi="Times New Roman"/>
                <w:sz w:val="24"/>
                <w:szCs w:val="24"/>
              </w:rPr>
            </w:pPr>
            <w:r>
              <w:rPr>
                <w:rFonts w:ascii="Times New Roman" w:hAnsi="Times New Roman"/>
                <w:sz w:val="24"/>
                <w:szCs w:val="24"/>
              </w:rPr>
              <w:t>En voie de réaliser l’objectif</w:t>
            </w:r>
          </w:p>
        </w:tc>
        <w:tc>
          <w:tcPr>
            <w:tcW w:w="849" w:type="dxa"/>
            <w:vAlign w:val="center"/>
          </w:tcPr>
          <w:p w14:paraId="102DE0BA" w14:textId="254FA342" w:rsidR="003C3065" w:rsidRPr="00852467" w:rsidRDefault="003C0F7E" w:rsidP="00297ED9">
            <w:pPr>
              <w:spacing w:after="0" w:line="276" w:lineRule="auto"/>
              <w:jc w:val="both"/>
              <w:rPr>
                <w:rFonts w:ascii="Times New Roman" w:hAnsi="Times New Roman"/>
                <w:sz w:val="24"/>
                <w:szCs w:val="24"/>
              </w:rPr>
            </w:pPr>
            <w:r>
              <w:rPr>
                <w:rFonts w:ascii="Times New Roman" w:hAnsi="Times New Roman"/>
                <w:sz w:val="24"/>
                <w:szCs w:val="24"/>
              </w:rPr>
              <w:t>En voie de réaliser l’objectif/ dépasser l’objectif</w:t>
            </w:r>
          </w:p>
        </w:tc>
      </w:tr>
    </w:tbl>
    <w:p w14:paraId="3709B785" w14:textId="77777777" w:rsidR="00D31C6C" w:rsidRPr="005D5D9B" w:rsidRDefault="00D31C6C" w:rsidP="0005198E">
      <w:pPr>
        <w:spacing w:after="0" w:line="240" w:lineRule="auto"/>
        <w:rPr>
          <w:rFonts w:ascii="Times New Roman" w:hAnsi="Times New Roman"/>
          <w:sz w:val="24"/>
          <w:szCs w:val="24"/>
        </w:rPr>
      </w:pPr>
    </w:p>
    <w:p w14:paraId="0AD24B54" w14:textId="77777777" w:rsidR="00D31C6C" w:rsidRPr="002E4AA9" w:rsidRDefault="00D31C6C" w:rsidP="00A05444">
      <w:pPr>
        <w:autoSpaceDE w:val="0"/>
        <w:autoSpaceDN w:val="0"/>
        <w:adjustRightInd w:val="0"/>
        <w:spacing w:after="0" w:line="240" w:lineRule="auto"/>
        <w:outlineLvl w:val="1"/>
        <w:rPr>
          <w:rFonts w:ascii="Times New Roman" w:hAnsi="Times New Roman"/>
          <w:b/>
          <w:color w:val="000000"/>
          <w:sz w:val="24"/>
          <w:szCs w:val="24"/>
        </w:rPr>
      </w:pPr>
      <w:bookmarkStart w:id="47" w:name="_Toc533413759"/>
      <w:r w:rsidRPr="002E4AA9">
        <w:rPr>
          <w:rFonts w:ascii="Times New Roman" w:hAnsi="Times New Roman"/>
          <w:b/>
          <w:color w:val="000000"/>
          <w:sz w:val="24"/>
          <w:szCs w:val="24"/>
        </w:rPr>
        <w:t>3.2. Progrès réalisé en vue de la mise en œuvre des objectifs</w:t>
      </w:r>
      <w:bookmarkEnd w:id="47"/>
    </w:p>
    <w:p w14:paraId="40A0791B" w14:textId="77777777" w:rsidR="00D31C6C" w:rsidRPr="00684D6D" w:rsidRDefault="00D31C6C" w:rsidP="0005198E">
      <w:pPr>
        <w:spacing w:after="0" w:line="240" w:lineRule="auto"/>
        <w:jc w:val="both"/>
        <w:rPr>
          <w:rFonts w:ascii="Times New Roman" w:hAnsi="Times New Roman"/>
          <w:iCs/>
          <w:sz w:val="24"/>
          <w:szCs w:val="24"/>
          <w:lang w:val="fr-CA"/>
        </w:rPr>
      </w:pPr>
    </w:p>
    <w:p w14:paraId="6752E55C" w14:textId="77777777" w:rsidR="00D31C6C" w:rsidRPr="00684D6D" w:rsidRDefault="00D31C6C" w:rsidP="00A05444">
      <w:pPr>
        <w:spacing w:after="0" w:line="240" w:lineRule="auto"/>
        <w:outlineLvl w:val="2"/>
        <w:rPr>
          <w:rFonts w:ascii="Times New Roman" w:hAnsi="Times New Roman"/>
          <w:b/>
          <w:iCs/>
          <w:sz w:val="24"/>
          <w:szCs w:val="24"/>
          <w:lang w:val="fr-CA"/>
        </w:rPr>
      </w:pPr>
      <w:bookmarkStart w:id="48" w:name="_Toc533413760"/>
      <w:r w:rsidRPr="00684D6D">
        <w:rPr>
          <w:rFonts w:ascii="Times New Roman" w:hAnsi="Times New Roman"/>
          <w:b/>
          <w:iCs/>
          <w:sz w:val="24"/>
          <w:szCs w:val="24"/>
          <w:lang w:val="fr-CA"/>
        </w:rPr>
        <w:t>3.2.1. Progrès d’ordre général de réalisation des objectifs de la biodiversité</w:t>
      </w:r>
      <w:bookmarkEnd w:id="48"/>
    </w:p>
    <w:p w14:paraId="7235F17B" w14:textId="77777777" w:rsidR="00D31C6C" w:rsidRPr="00684D6D" w:rsidRDefault="00D31C6C" w:rsidP="0005198E">
      <w:pPr>
        <w:spacing w:after="0" w:line="240" w:lineRule="auto"/>
        <w:jc w:val="both"/>
        <w:rPr>
          <w:rFonts w:ascii="Times New Roman" w:hAnsi="Times New Roman"/>
          <w:iCs/>
          <w:sz w:val="24"/>
          <w:szCs w:val="24"/>
          <w:lang w:val="fr-CA"/>
        </w:rPr>
      </w:pPr>
    </w:p>
    <w:p w14:paraId="1A7DED94" w14:textId="77777777" w:rsidR="00D31C6C" w:rsidRPr="00A83B02" w:rsidRDefault="00D31C6C" w:rsidP="0005198E">
      <w:pPr>
        <w:spacing w:after="0" w:line="240" w:lineRule="auto"/>
        <w:jc w:val="both"/>
        <w:rPr>
          <w:rFonts w:ascii="Times New Roman" w:hAnsi="Times New Roman"/>
          <w:sz w:val="24"/>
          <w:szCs w:val="24"/>
        </w:rPr>
      </w:pPr>
      <w:r w:rsidRPr="00A83B02">
        <w:rPr>
          <w:rFonts w:ascii="Times New Roman" w:hAnsi="Times New Roman"/>
          <w:sz w:val="24"/>
          <w:szCs w:val="24"/>
        </w:rPr>
        <w:t>L’évaluation globale des 20 objectifs nationaux pour la conservation de la biodiversité montre que différents niveaux de réalisation ont été atteints pour chacun des objectifs nationaux (Figure</w:t>
      </w:r>
      <w:r w:rsidR="0005198E" w:rsidRPr="00A83B02">
        <w:rPr>
          <w:rFonts w:ascii="Times New Roman" w:hAnsi="Times New Roman"/>
          <w:sz w:val="24"/>
          <w:szCs w:val="24"/>
        </w:rPr>
        <w:t xml:space="preserve"> 10</w:t>
      </w:r>
      <w:r w:rsidRPr="00A83B02">
        <w:rPr>
          <w:rFonts w:ascii="Times New Roman" w:hAnsi="Times New Roman"/>
          <w:sz w:val="24"/>
          <w:szCs w:val="24"/>
        </w:rPr>
        <w:t>). Parmi tous ces objectifs, seul l’objectif 1 (</w:t>
      </w:r>
      <w:r w:rsidRPr="00A83B02">
        <w:rPr>
          <w:rFonts w:ascii="Times New Roman" w:hAnsi="Times New Roman"/>
          <w:b/>
          <w:sz w:val="24"/>
          <w:szCs w:val="24"/>
        </w:rPr>
        <w:t>développer une approche intégrée de sensibilisation pour que d’ici 2020, 50% de la population togolaise soit mobilisée pour la conservation et l’utilisation durable de la biodiversité</w:t>
      </w:r>
      <w:r w:rsidRPr="00A83B02">
        <w:rPr>
          <w:rFonts w:ascii="Times New Roman" w:hAnsi="Times New Roman"/>
          <w:sz w:val="24"/>
          <w:szCs w:val="24"/>
        </w:rPr>
        <w:t>) présente un niveau de réalisation assez conséquent et l’évaluation indique un niveau de réalisation estimé à environ 65% pour l’ensemble des efforts entrepris.</w:t>
      </w:r>
    </w:p>
    <w:p w14:paraId="6C0FFDD6" w14:textId="77777777" w:rsidR="00D31C6C" w:rsidRPr="00A83B02" w:rsidRDefault="00D31C6C" w:rsidP="0005198E">
      <w:pPr>
        <w:spacing w:after="0" w:line="240" w:lineRule="auto"/>
        <w:jc w:val="both"/>
        <w:rPr>
          <w:rFonts w:ascii="Times New Roman" w:hAnsi="Times New Roman"/>
          <w:sz w:val="24"/>
          <w:szCs w:val="24"/>
        </w:rPr>
      </w:pPr>
    </w:p>
    <w:p w14:paraId="3C89E7FD" w14:textId="77777777" w:rsidR="00D31C6C" w:rsidRDefault="00D31C6C" w:rsidP="0005198E">
      <w:pPr>
        <w:spacing w:after="0" w:line="240" w:lineRule="auto"/>
        <w:jc w:val="both"/>
        <w:rPr>
          <w:rFonts w:ascii="Times New Roman" w:hAnsi="Times New Roman"/>
          <w:sz w:val="24"/>
          <w:szCs w:val="24"/>
        </w:rPr>
      </w:pPr>
      <w:r w:rsidRPr="00A83B02">
        <w:rPr>
          <w:rFonts w:ascii="Times New Roman" w:hAnsi="Times New Roman"/>
          <w:sz w:val="24"/>
          <w:szCs w:val="24"/>
        </w:rPr>
        <w:t>Les efforts et actions engagés et relevés auprès des acteurs pour les objectifs 2, 4, 5, 6 et 8 ont permis d’estimer leurs taux de réalisation à environ 45% pour chaque objectif. Pour les autres objectifs, les taux de mise en œuvre sont compris entre 10 et 30 % de réalisation. Les plus faibles niveaux de mise en œuvre ont été observés pour les objectifs 9, 11, 14, 18, 19 et 20 pour lesquels les scores sont estimés à 10% de réalisation (Figure</w:t>
      </w:r>
      <w:r w:rsidR="0005198E" w:rsidRPr="00A83B02">
        <w:rPr>
          <w:rFonts w:ascii="Times New Roman" w:hAnsi="Times New Roman"/>
          <w:sz w:val="24"/>
          <w:szCs w:val="24"/>
        </w:rPr>
        <w:t xml:space="preserve"> 10</w:t>
      </w:r>
      <w:r w:rsidRPr="00A83B02">
        <w:rPr>
          <w:rFonts w:ascii="Times New Roman" w:hAnsi="Times New Roman"/>
          <w:sz w:val="24"/>
          <w:szCs w:val="24"/>
        </w:rPr>
        <w:t>).</w:t>
      </w:r>
    </w:p>
    <w:p w14:paraId="1195A875" w14:textId="77777777" w:rsidR="00D31C6C" w:rsidRPr="002E4AA9" w:rsidRDefault="00D31C6C" w:rsidP="00D31C6C">
      <w:pPr>
        <w:spacing w:after="0" w:line="276" w:lineRule="auto"/>
        <w:jc w:val="both"/>
        <w:rPr>
          <w:rFonts w:ascii="Times New Roman" w:hAnsi="Times New Roman"/>
          <w:color w:val="000000"/>
          <w:sz w:val="24"/>
          <w:szCs w:val="24"/>
        </w:rPr>
      </w:pPr>
    </w:p>
    <w:p w14:paraId="356C5849" w14:textId="17D5CEC5" w:rsidR="00D31C6C" w:rsidRDefault="00D31C6C" w:rsidP="00D31C6C">
      <w:pPr>
        <w:spacing w:after="0" w:line="240" w:lineRule="auto"/>
        <w:jc w:val="center"/>
        <w:rPr>
          <w:rFonts w:ascii="Times New Roman" w:hAnsi="Times New Roman"/>
          <w:iCs/>
          <w:sz w:val="24"/>
          <w:szCs w:val="24"/>
          <w:highlight w:val="yellow"/>
          <w:lang w:val="fr-CA"/>
        </w:rPr>
      </w:pPr>
    </w:p>
    <w:p w14:paraId="45DEF5D6" w14:textId="0E892C05" w:rsidR="00B50FE0" w:rsidRDefault="00B50FE0" w:rsidP="00D31C6C">
      <w:pPr>
        <w:spacing w:after="0" w:line="240" w:lineRule="auto"/>
        <w:jc w:val="center"/>
        <w:rPr>
          <w:rFonts w:ascii="Times New Roman" w:hAnsi="Times New Roman"/>
          <w:iCs/>
          <w:sz w:val="24"/>
          <w:szCs w:val="24"/>
          <w:highlight w:val="yellow"/>
          <w:lang w:val="fr-CA"/>
        </w:rPr>
      </w:pPr>
      <w:r>
        <w:rPr>
          <w:noProof/>
          <w:lang w:eastAsia="fr-FR"/>
        </w:rPr>
        <w:drawing>
          <wp:inline distT="0" distB="0" distL="0" distR="0" wp14:anchorId="3F6A8087" wp14:editId="24B5DE5B">
            <wp:extent cx="5273909" cy="4191519"/>
            <wp:effectExtent l="0" t="0" r="3175" b="0"/>
            <wp:docPr id="16" name="Graphique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883C2D0" w14:textId="77777777" w:rsidR="00D31C6C" w:rsidRDefault="00D31C6C" w:rsidP="00D31C6C">
      <w:pPr>
        <w:pStyle w:val="Lgende"/>
        <w:spacing w:after="0"/>
        <w:jc w:val="center"/>
        <w:rPr>
          <w:rFonts w:ascii="Times New Roman" w:hAnsi="Times New Roman"/>
          <w:sz w:val="24"/>
          <w:szCs w:val="24"/>
        </w:rPr>
      </w:pPr>
      <w:bookmarkStart w:id="49" w:name="_Toc388368258"/>
    </w:p>
    <w:p w14:paraId="11D55452" w14:textId="2E174BCD" w:rsidR="00D31C6C" w:rsidRPr="00D761D1" w:rsidRDefault="00542A1C" w:rsidP="00542A1C">
      <w:pPr>
        <w:pStyle w:val="Lgende"/>
        <w:rPr>
          <w:rFonts w:ascii="Times New Roman" w:hAnsi="Times New Roman"/>
          <w:iCs/>
          <w:sz w:val="24"/>
          <w:szCs w:val="24"/>
          <w:lang w:val="fr-CA"/>
        </w:rPr>
      </w:pPr>
      <w:bookmarkStart w:id="50" w:name="_Toc533413498"/>
      <w:bookmarkEnd w:id="49"/>
      <w:r w:rsidRPr="00D761D1">
        <w:rPr>
          <w:rFonts w:ascii="Times New Roman" w:hAnsi="Times New Roman"/>
          <w:sz w:val="24"/>
          <w:szCs w:val="24"/>
        </w:rPr>
        <w:t xml:space="preserve">Figure </w:t>
      </w:r>
      <w:r w:rsidR="00620BEA" w:rsidRPr="00D761D1">
        <w:rPr>
          <w:rFonts w:ascii="Times New Roman" w:hAnsi="Times New Roman"/>
          <w:sz w:val="24"/>
          <w:szCs w:val="24"/>
        </w:rPr>
        <w:fldChar w:fldCharType="begin"/>
      </w:r>
      <w:r w:rsidRPr="00D761D1">
        <w:rPr>
          <w:rFonts w:ascii="Times New Roman" w:hAnsi="Times New Roman"/>
          <w:sz w:val="24"/>
          <w:szCs w:val="24"/>
        </w:rPr>
        <w:instrText xml:space="preserve"> SEQ Figure \* ARABIC </w:instrText>
      </w:r>
      <w:r w:rsidR="00620BEA" w:rsidRPr="00D761D1">
        <w:rPr>
          <w:rFonts w:ascii="Times New Roman" w:hAnsi="Times New Roman"/>
          <w:sz w:val="24"/>
          <w:szCs w:val="24"/>
        </w:rPr>
        <w:fldChar w:fldCharType="separate"/>
      </w:r>
      <w:r w:rsidR="00C47BFF">
        <w:rPr>
          <w:rFonts w:ascii="Times New Roman" w:hAnsi="Times New Roman"/>
          <w:noProof/>
          <w:sz w:val="24"/>
          <w:szCs w:val="24"/>
        </w:rPr>
        <w:t>10</w:t>
      </w:r>
      <w:r w:rsidR="00620BEA" w:rsidRPr="00D761D1">
        <w:rPr>
          <w:rFonts w:ascii="Times New Roman" w:hAnsi="Times New Roman"/>
          <w:sz w:val="24"/>
          <w:szCs w:val="24"/>
        </w:rPr>
        <w:fldChar w:fldCharType="end"/>
      </w:r>
      <w:r w:rsidRPr="00D761D1">
        <w:rPr>
          <w:rFonts w:ascii="Times New Roman" w:hAnsi="Times New Roman"/>
          <w:sz w:val="24"/>
          <w:szCs w:val="24"/>
        </w:rPr>
        <w:t>: Niveau de mise en œuvre globale des objectifs nationaux pour la conservation de la diversité biologique</w:t>
      </w:r>
      <w:bookmarkEnd w:id="50"/>
    </w:p>
    <w:p w14:paraId="40108E74" w14:textId="77777777" w:rsidR="00D31C6C" w:rsidRPr="00D761D1" w:rsidRDefault="00D31C6C" w:rsidP="0090672F">
      <w:pPr>
        <w:spacing w:after="0" w:line="240" w:lineRule="auto"/>
        <w:jc w:val="both"/>
        <w:rPr>
          <w:rFonts w:ascii="Times New Roman" w:hAnsi="Times New Roman"/>
          <w:iCs/>
          <w:sz w:val="24"/>
          <w:szCs w:val="24"/>
          <w:lang w:val="fr-CA"/>
        </w:rPr>
      </w:pPr>
      <w:r w:rsidRPr="00D761D1">
        <w:rPr>
          <w:rFonts w:ascii="Times New Roman" w:hAnsi="Times New Roman"/>
          <w:iCs/>
          <w:sz w:val="24"/>
          <w:szCs w:val="24"/>
          <w:lang w:val="fr-CA"/>
        </w:rPr>
        <w:t xml:space="preserve">En terme de progrès accomplis, l’objectif 1 </w:t>
      </w:r>
      <w:r w:rsidRPr="00D761D1">
        <w:rPr>
          <w:rFonts w:ascii="Times New Roman" w:hAnsi="Times New Roman"/>
          <w:b/>
          <w:i/>
          <w:iCs/>
          <w:sz w:val="24"/>
          <w:szCs w:val="24"/>
          <w:lang w:val="fr-CA"/>
        </w:rPr>
        <w:t>(</w:t>
      </w:r>
      <w:r w:rsidRPr="00D761D1">
        <w:rPr>
          <w:rFonts w:ascii="Times New Roman" w:hAnsi="Times New Roman"/>
          <w:b/>
          <w:i/>
          <w:sz w:val="24"/>
          <w:szCs w:val="24"/>
        </w:rPr>
        <w:t>Développer une approche intégrée de sensibilisation pour que d’ici à 2020, 50 % de la population togolaise soient mobilisées pour la conservation et l’utilisation durable de la biodiversité</w:t>
      </w:r>
      <w:r w:rsidRPr="00D761D1">
        <w:rPr>
          <w:rFonts w:ascii="Times New Roman" w:hAnsi="Times New Roman"/>
          <w:b/>
          <w:i/>
          <w:iCs/>
          <w:sz w:val="24"/>
          <w:szCs w:val="24"/>
          <w:lang w:val="fr-CA"/>
        </w:rPr>
        <w:t>)</w:t>
      </w:r>
      <w:r w:rsidRPr="00D761D1">
        <w:rPr>
          <w:rFonts w:ascii="Times New Roman" w:hAnsi="Times New Roman"/>
          <w:iCs/>
          <w:sz w:val="24"/>
          <w:szCs w:val="24"/>
          <w:lang w:val="fr-CA"/>
        </w:rPr>
        <w:t xml:space="preserve">,l’objectif 7 </w:t>
      </w:r>
      <w:r w:rsidRPr="00D761D1">
        <w:rPr>
          <w:rFonts w:ascii="Times New Roman" w:hAnsi="Times New Roman"/>
          <w:b/>
          <w:iCs/>
          <w:sz w:val="24"/>
          <w:szCs w:val="24"/>
          <w:lang w:val="fr-CA"/>
        </w:rPr>
        <w:t>(</w:t>
      </w:r>
      <w:r w:rsidRPr="00D761D1">
        <w:rPr>
          <w:rFonts w:ascii="Times New Roman" w:hAnsi="Times New Roman"/>
          <w:b/>
          <w:sz w:val="24"/>
          <w:szCs w:val="24"/>
        </w:rPr>
        <w:t>Maîtriser les feux de végétation par la mise en œuvre d’ici 2018, des mesures inscrites dans la stratégie nationale de gestion des feux de végétation de sorte à réduire les superficies brûlées à 10 000 km² chaque année (le tiers de la superficie nationale est actuellement brulé chaque année)</w:t>
      </w:r>
      <w:r w:rsidRPr="00D761D1">
        <w:rPr>
          <w:rFonts w:ascii="Times New Roman" w:hAnsi="Times New Roman"/>
          <w:iCs/>
          <w:sz w:val="24"/>
          <w:szCs w:val="24"/>
          <w:lang w:val="fr-CA"/>
        </w:rPr>
        <w:t xml:space="preserve"> et l’objectif 8 </w:t>
      </w:r>
      <w:r w:rsidRPr="00D761D1">
        <w:rPr>
          <w:rFonts w:ascii="Times New Roman" w:hAnsi="Times New Roman"/>
          <w:b/>
          <w:i/>
          <w:iCs/>
          <w:sz w:val="24"/>
          <w:szCs w:val="24"/>
          <w:lang w:val="fr-CA"/>
        </w:rPr>
        <w:t>(</w:t>
      </w:r>
      <w:r w:rsidRPr="00D761D1">
        <w:rPr>
          <w:rFonts w:ascii="Times New Roman" w:hAnsi="Times New Roman"/>
          <w:b/>
          <w:i/>
          <w:iCs/>
          <w:sz w:val="24"/>
          <w:szCs w:val="24"/>
        </w:rPr>
        <w:t>D’ici à 2020, 50 % des 13 aires protégées prioritaires sont dotés des plans d’aménagement qui présentent d’importants intérêts pour la conservation de la biodiversité</w:t>
      </w:r>
      <w:r w:rsidRPr="00D761D1">
        <w:rPr>
          <w:rFonts w:ascii="Times New Roman" w:hAnsi="Times New Roman"/>
          <w:b/>
          <w:i/>
          <w:iCs/>
          <w:sz w:val="24"/>
          <w:szCs w:val="24"/>
          <w:lang w:val="fr-CA"/>
        </w:rPr>
        <w:t>)</w:t>
      </w:r>
      <w:r w:rsidRPr="00D761D1">
        <w:rPr>
          <w:rFonts w:ascii="Times New Roman" w:hAnsi="Times New Roman"/>
          <w:iCs/>
          <w:sz w:val="24"/>
          <w:szCs w:val="24"/>
          <w:lang w:val="fr-CA"/>
        </w:rPr>
        <w:t xml:space="preserve"> sont en voie d’être atteints en prenant en considération toutes les actions réalisées par les acteurs au cours de la période de 2011-2018 (Tableau</w:t>
      </w:r>
      <w:r w:rsidR="00542A1C" w:rsidRPr="00D761D1">
        <w:rPr>
          <w:rFonts w:ascii="Times New Roman" w:hAnsi="Times New Roman"/>
          <w:iCs/>
          <w:sz w:val="24"/>
          <w:szCs w:val="24"/>
          <w:lang w:val="fr-CA"/>
        </w:rPr>
        <w:t xml:space="preserve"> 7</w:t>
      </w:r>
      <w:r w:rsidRPr="00D761D1">
        <w:rPr>
          <w:rFonts w:ascii="Times New Roman" w:hAnsi="Times New Roman"/>
          <w:iCs/>
          <w:sz w:val="24"/>
          <w:szCs w:val="24"/>
          <w:lang w:val="fr-CA"/>
        </w:rPr>
        <w:t xml:space="preserve">). Malgré les actions entreprises pour l’atteinte de ces objectifs, il est nécessaire de rappeler </w:t>
      </w:r>
      <w:r w:rsidR="0090672F" w:rsidRPr="00D761D1">
        <w:rPr>
          <w:rFonts w:ascii="Times New Roman" w:hAnsi="Times New Roman"/>
          <w:iCs/>
          <w:sz w:val="24"/>
          <w:szCs w:val="24"/>
          <w:lang w:val="fr-CA"/>
        </w:rPr>
        <w:t xml:space="preserve">que </w:t>
      </w:r>
      <w:r w:rsidRPr="00D761D1">
        <w:rPr>
          <w:rFonts w:ascii="Times New Roman" w:hAnsi="Times New Roman"/>
          <w:iCs/>
          <w:sz w:val="24"/>
          <w:szCs w:val="24"/>
          <w:lang w:val="fr-CA"/>
        </w:rPr>
        <w:t xml:space="preserve">les résultats obtenus pour la présente évaluation restent toujours en deçà des </w:t>
      </w:r>
      <w:r w:rsidR="002B208E" w:rsidRPr="00D761D1">
        <w:rPr>
          <w:rFonts w:ascii="Times New Roman" w:hAnsi="Times New Roman"/>
          <w:iCs/>
          <w:sz w:val="24"/>
          <w:szCs w:val="24"/>
          <w:lang w:val="fr-CA"/>
        </w:rPr>
        <w:t>attentes</w:t>
      </w:r>
      <w:r w:rsidRPr="00D761D1">
        <w:rPr>
          <w:rFonts w:ascii="Times New Roman" w:hAnsi="Times New Roman"/>
          <w:iCs/>
          <w:sz w:val="24"/>
          <w:szCs w:val="24"/>
          <w:lang w:val="fr-CA"/>
        </w:rPr>
        <w:t>. A cet effet, il apparait que beaucoup d’efforts restent encore à accomplir pour l’atteinte effective des objectifs de conservation de la biodiversité à l’échelle nationale.</w:t>
      </w:r>
    </w:p>
    <w:p w14:paraId="5635C89D" w14:textId="77777777" w:rsidR="00D31C6C" w:rsidRPr="00D761D1" w:rsidRDefault="00D31C6C" w:rsidP="0090672F">
      <w:pPr>
        <w:spacing w:after="0" w:line="240" w:lineRule="auto"/>
        <w:jc w:val="both"/>
        <w:rPr>
          <w:rFonts w:ascii="Times New Roman" w:hAnsi="Times New Roman"/>
          <w:iCs/>
          <w:sz w:val="24"/>
          <w:szCs w:val="24"/>
          <w:lang w:val="fr-CA"/>
        </w:rPr>
      </w:pPr>
    </w:p>
    <w:p w14:paraId="685E0C05" w14:textId="77777777" w:rsidR="00D31C6C" w:rsidRPr="00D761D1" w:rsidRDefault="00D31C6C" w:rsidP="0090672F">
      <w:pPr>
        <w:spacing w:after="0" w:line="240" w:lineRule="auto"/>
        <w:jc w:val="both"/>
        <w:rPr>
          <w:rFonts w:ascii="Times New Roman" w:hAnsi="Times New Roman"/>
          <w:iCs/>
          <w:sz w:val="24"/>
          <w:szCs w:val="24"/>
          <w:lang w:val="fr-CA"/>
        </w:rPr>
      </w:pPr>
      <w:r w:rsidRPr="00D761D1">
        <w:rPr>
          <w:rFonts w:ascii="Times New Roman" w:hAnsi="Times New Roman"/>
          <w:iCs/>
          <w:sz w:val="24"/>
          <w:szCs w:val="24"/>
          <w:lang w:val="fr-CA"/>
        </w:rPr>
        <w:t>Pour certains objectifs nationaux, des efforts ont été consentis en vue d’atteindre les cibles visées pour l’échéance prévue mais le rythme de réalisation des actions parait très lent.Pour ces cas précis, il s’agit notamment des objectifs 2, 4, 5, 6, 15, 16, 17 et 20 pour lesquels la plupart des actions qui devraient être réalisées sont beaucoup liées à l’amélioration du cadre de planification politique et stratégique, et de l’amélioration du cadre juridique. Certaines actions liées à ces objectifs reposent également sur des initiatives de renforcement des capacités techniques et opérationnelles des acteurs et de ce fait nécessitent d’importantes ressources financières dont la mobilisation ne semble pas encore être acquise sur la période prévue.</w:t>
      </w:r>
    </w:p>
    <w:p w14:paraId="7B00059D" w14:textId="77777777" w:rsidR="00D31C6C" w:rsidRPr="00D761D1" w:rsidRDefault="00D31C6C" w:rsidP="0090672F">
      <w:pPr>
        <w:spacing w:after="0" w:line="240" w:lineRule="auto"/>
        <w:jc w:val="both"/>
        <w:rPr>
          <w:rFonts w:ascii="Times New Roman" w:hAnsi="Times New Roman"/>
          <w:iCs/>
          <w:sz w:val="24"/>
          <w:szCs w:val="24"/>
          <w:lang w:val="fr-CA"/>
        </w:rPr>
      </w:pPr>
    </w:p>
    <w:p w14:paraId="4AE44428" w14:textId="77777777" w:rsidR="00D31C6C" w:rsidRPr="00D761D1" w:rsidRDefault="00D31C6C" w:rsidP="0090672F">
      <w:pPr>
        <w:spacing w:after="0" w:line="240" w:lineRule="auto"/>
        <w:jc w:val="both"/>
        <w:rPr>
          <w:rFonts w:ascii="Times New Roman" w:hAnsi="Times New Roman"/>
          <w:iCs/>
          <w:sz w:val="24"/>
          <w:szCs w:val="24"/>
          <w:lang w:val="fr-CA"/>
        </w:rPr>
      </w:pPr>
      <w:r w:rsidRPr="00D761D1">
        <w:rPr>
          <w:rFonts w:ascii="Times New Roman" w:hAnsi="Times New Roman"/>
          <w:iCs/>
          <w:sz w:val="24"/>
          <w:szCs w:val="24"/>
          <w:lang w:val="fr-CA"/>
        </w:rPr>
        <w:t>Pour les autres objectifs nationaux (3, 9, 10, 11, 12, 13, 14, 18 et 19), aucun progrès notable n’a pu être observé depuis l’élaboration de la stratégie nationale pour la biodiversité en 2013. L’état de mise en œuvre des actions identifiées pour ces objectifs ne semble pas encore présenter des résultats probants pour les changements souhaités dans l’état et les tendances en matière de biodiversité aux échéances prévues</w:t>
      </w:r>
    </w:p>
    <w:p w14:paraId="32179091" w14:textId="77777777" w:rsidR="00D31C6C" w:rsidRPr="00D761D1" w:rsidRDefault="00D31C6C" w:rsidP="0090672F">
      <w:pPr>
        <w:spacing w:after="0" w:line="240" w:lineRule="auto"/>
        <w:jc w:val="both"/>
        <w:rPr>
          <w:rFonts w:ascii="Times New Roman" w:hAnsi="Times New Roman"/>
          <w:iCs/>
          <w:sz w:val="24"/>
          <w:szCs w:val="24"/>
          <w:lang w:val="fr-CA"/>
        </w:rPr>
      </w:pPr>
    </w:p>
    <w:p w14:paraId="4D11E2F1" w14:textId="16C228D0" w:rsidR="00542A1C" w:rsidRPr="00D761D1" w:rsidRDefault="00542A1C" w:rsidP="006322F6">
      <w:pPr>
        <w:pStyle w:val="Lgende"/>
        <w:spacing w:after="0"/>
        <w:rPr>
          <w:rFonts w:ascii="Times New Roman" w:hAnsi="Times New Roman"/>
          <w:iCs/>
          <w:sz w:val="24"/>
          <w:szCs w:val="24"/>
          <w:lang w:val="fr-CA"/>
        </w:rPr>
      </w:pPr>
      <w:bookmarkStart w:id="51" w:name="_Toc533413477"/>
      <w:r w:rsidRPr="00D761D1">
        <w:rPr>
          <w:rFonts w:ascii="Times New Roman" w:hAnsi="Times New Roman"/>
          <w:sz w:val="24"/>
          <w:szCs w:val="24"/>
        </w:rPr>
        <w:t xml:space="preserve">Tableau </w:t>
      </w:r>
      <w:r w:rsidR="00620BEA" w:rsidRPr="00D761D1">
        <w:rPr>
          <w:rFonts w:ascii="Times New Roman" w:hAnsi="Times New Roman"/>
          <w:sz w:val="24"/>
          <w:szCs w:val="24"/>
        </w:rPr>
        <w:fldChar w:fldCharType="begin"/>
      </w:r>
      <w:r w:rsidRPr="00D761D1">
        <w:rPr>
          <w:rFonts w:ascii="Times New Roman" w:hAnsi="Times New Roman"/>
          <w:sz w:val="24"/>
          <w:szCs w:val="24"/>
        </w:rPr>
        <w:instrText xml:space="preserve"> SEQ Tableau \* ARABIC </w:instrText>
      </w:r>
      <w:r w:rsidR="00620BEA" w:rsidRPr="00D761D1">
        <w:rPr>
          <w:rFonts w:ascii="Times New Roman" w:hAnsi="Times New Roman"/>
          <w:sz w:val="24"/>
          <w:szCs w:val="24"/>
        </w:rPr>
        <w:fldChar w:fldCharType="separate"/>
      </w:r>
      <w:r w:rsidR="00C47BFF">
        <w:rPr>
          <w:rFonts w:ascii="Times New Roman" w:hAnsi="Times New Roman"/>
          <w:noProof/>
          <w:sz w:val="24"/>
          <w:szCs w:val="24"/>
        </w:rPr>
        <w:t>6</w:t>
      </w:r>
      <w:r w:rsidR="00620BEA" w:rsidRPr="00D761D1">
        <w:rPr>
          <w:rFonts w:ascii="Times New Roman" w:hAnsi="Times New Roman"/>
          <w:sz w:val="24"/>
          <w:szCs w:val="24"/>
        </w:rPr>
        <w:fldChar w:fldCharType="end"/>
      </w:r>
      <w:r w:rsidRPr="00D761D1">
        <w:rPr>
          <w:rFonts w:ascii="Times New Roman" w:hAnsi="Times New Roman"/>
          <w:sz w:val="24"/>
          <w:szCs w:val="24"/>
        </w:rPr>
        <w:t>: Niveau actuel de progrès accomplis dans la réalisation de chaque objectif national</w:t>
      </w:r>
      <w:bookmarkEnd w:id="51"/>
    </w:p>
    <w:p w14:paraId="423C1057" w14:textId="77777777" w:rsidR="00542A1C" w:rsidRPr="00D761D1" w:rsidRDefault="00542A1C" w:rsidP="0090672F">
      <w:pPr>
        <w:spacing w:after="0" w:line="240" w:lineRule="auto"/>
        <w:jc w:val="both"/>
        <w:rPr>
          <w:rFonts w:ascii="Times New Roman" w:hAnsi="Times New Roman"/>
          <w:iCs/>
          <w:sz w:val="24"/>
          <w:szCs w:val="24"/>
          <w:lang w:val="fr-CA"/>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91"/>
        <w:gridCol w:w="1275"/>
        <w:gridCol w:w="2127"/>
      </w:tblGrid>
      <w:tr w:rsidR="00D31C6C" w:rsidRPr="00852467" w14:paraId="4011F62C" w14:textId="77777777" w:rsidTr="00297ED9">
        <w:trPr>
          <w:trHeight w:val="645"/>
        </w:trPr>
        <w:tc>
          <w:tcPr>
            <w:tcW w:w="6091" w:type="dxa"/>
            <w:vAlign w:val="center"/>
          </w:tcPr>
          <w:p w14:paraId="154BBCD0" w14:textId="77777777" w:rsidR="00D31C6C" w:rsidRPr="00D761D1" w:rsidRDefault="00D31C6C" w:rsidP="00297ED9">
            <w:pPr>
              <w:spacing w:after="0" w:line="240" w:lineRule="auto"/>
              <w:jc w:val="center"/>
              <w:rPr>
                <w:rFonts w:ascii="Times New Roman" w:hAnsi="Times New Roman"/>
                <w:b/>
                <w:sz w:val="24"/>
                <w:szCs w:val="24"/>
              </w:rPr>
            </w:pPr>
            <w:r w:rsidRPr="00D761D1">
              <w:rPr>
                <w:rFonts w:ascii="Times New Roman" w:hAnsi="Times New Roman"/>
                <w:b/>
                <w:sz w:val="24"/>
                <w:szCs w:val="24"/>
              </w:rPr>
              <w:t>Objectifs nationaux</w:t>
            </w:r>
          </w:p>
        </w:tc>
        <w:tc>
          <w:tcPr>
            <w:tcW w:w="1275" w:type="dxa"/>
            <w:vAlign w:val="center"/>
          </w:tcPr>
          <w:p w14:paraId="15973DEC" w14:textId="77777777" w:rsidR="00D31C6C" w:rsidRPr="00D761D1" w:rsidRDefault="00D31C6C" w:rsidP="00297ED9">
            <w:pPr>
              <w:spacing w:after="0" w:line="240" w:lineRule="auto"/>
              <w:jc w:val="center"/>
              <w:rPr>
                <w:rFonts w:ascii="Times New Roman" w:eastAsia="Times New Roman" w:hAnsi="Times New Roman"/>
                <w:b/>
                <w:bCs/>
                <w:color w:val="000000"/>
                <w:sz w:val="24"/>
                <w:szCs w:val="24"/>
                <w:lang w:eastAsia="fr-FR"/>
              </w:rPr>
            </w:pPr>
            <w:r w:rsidRPr="00D761D1">
              <w:rPr>
                <w:rFonts w:ascii="Times New Roman" w:eastAsia="Times New Roman" w:hAnsi="Times New Roman"/>
                <w:b/>
                <w:bCs/>
                <w:color w:val="000000"/>
                <w:sz w:val="24"/>
                <w:szCs w:val="24"/>
                <w:lang w:eastAsia="fr-FR"/>
              </w:rPr>
              <w:t>Echéance prévue</w:t>
            </w:r>
          </w:p>
        </w:tc>
        <w:tc>
          <w:tcPr>
            <w:tcW w:w="2127" w:type="dxa"/>
            <w:vAlign w:val="center"/>
          </w:tcPr>
          <w:p w14:paraId="662F4FB6" w14:textId="77777777" w:rsidR="00D31C6C" w:rsidRPr="001837DD" w:rsidRDefault="00D31C6C" w:rsidP="00297ED9">
            <w:pPr>
              <w:spacing w:after="0" w:line="240" w:lineRule="auto"/>
              <w:jc w:val="both"/>
              <w:rPr>
                <w:rFonts w:ascii="Times New Roman" w:eastAsia="Times New Roman" w:hAnsi="Times New Roman"/>
                <w:b/>
                <w:bCs/>
                <w:sz w:val="24"/>
                <w:szCs w:val="24"/>
                <w:lang w:eastAsia="fr-FR"/>
              </w:rPr>
            </w:pPr>
            <w:r w:rsidRPr="00D761D1">
              <w:rPr>
                <w:rFonts w:ascii="Times New Roman" w:eastAsia="Times New Roman" w:hAnsi="Times New Roman"/>
                <w:b/>
                <w:bCs/>
                <w:sz w:val="24"/>
                <w:szCs w:val="24"/>
                <w:lang w:eastAsia="fr-FR"/>
              </w:rPr>
              <w:t>Progrès réalisé</w:t>
            </w:r>
          </w:p>
        </w:tc>
      </w:tr>
      <w:tr w:rsidR="00D31C6C" w:rsidRPr="00852467" w14:paraId="172D834C" w14:textId="77777777" w:rsidTr="00297ED9">
        <w:trPr>
          <w:trHeight w:val="300"/>
        </w:trPr>
        <w:tc>
          <w:tcPr>
            <w:tcW w:w="6091" w:type="dxa"/>
            <w:vAlign w:val="center"/>
          </w:tcPr>
          <w:p w14:paraId="0C1DD5E5" w14:textId="77777777" w:rsidR="00D31C6C" w:rsidRPr="00852467" w:rsidRDefault="00D31C6C" w:rsidP="00297ED9">
            <w:pPr>
              <w:spacing w:after="0" w:line="240" w:lineRule="auto"/>
              <w:jc w:val="both"/>
              <w:rPr>
                <w:rFonts w:ascii="Times New Roman" w:hAnsi="Times New Roman"/>
                <w:sz w:val="24"/>
                <w:szCs w:val="24"/>
              </w:rPr>
            </w:pPr>
            <w:r w:rsidRPr="00852467">
              <w:rPr>
                <w:rFonts w:ascii="Times New Roman" w:hAnsi="Times New Roman"/>
                <w:b/>
                <w:sz w:val="24"/>
                <w:szCs w:val="24"/>
              </w:rPr>
              <w:t>Objectif 1</w:t>
            </w:r>
            <w:r w:rsidRPr="00852467">
              <w:rPr>
                <w:rFonts w:ascii="Times New Roman" w:hAnsi="Times New Roman"/>
                <w:sz w:val="24"/>
                <w:szCs w:val="24"/>
              </w:rPr>
              <w:t>. Développer une approche intégrée de sensibilisation pour que d’ici à 2020, 50 % de la population togolaise soient mobilisées pour la conservation et l’utilisation durable de la biodiversité</w:t>
            </w:r>
          </w:p>
        </w:tc>
        <w:tc>
          <w:tcPr>
            <w:tcW w:w="1275" w:type="dxa"/>
            <w:vAlign w:val="center"/>
          </w:tcPr>
          <w:p w14:paraId="6FA378D9" w14:textId="77777777" w:rsidR="00D31C6C" w:rsidRPr="002E4AA9" w:rsidRDefault="00D31C6C" w:rsidP="00297ED9">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2020</w:t>
            </w:r>
          </w:p>
        </w:tc>
        <w:tc>
          <w:tcPr>
            <w:tcW w:w="2127" w:type="dxa"/>
            <w:shd w:val="clear" w:color="auto" w:fill="00B050"/>
            <w:vAlign w:val="center"/>
          </w:tcPr>
          <w:p w14:paraId="6D6001AF" w14:textId="0613BAAE" w:rsidR="00D31C6C" w:rsidRPr="001837DD" w:rsidRDefault="00D31C6C" w:rsidP="00297ED9">
            <w:pPr>
              <w:autoSpaceDE w:val="0"/>
              <w:autoSpaceDN w:val="0"/>
              <w:adjustRightInd w:val="0"/>
              <w:spacing w:after="0" w:line="240" w:lineRule="auto"/>
              <w:jc w:val="both"/>
              <w:rPr>
                <w:rFonts w:ascii="Times New Roman" w:eastAsia="Times New Roman" w:hAnsi="Times New Roman"/>
                <w:b/>
                <w:sz w:val="24"/>
                <w:szCs w:val="24"/>
                <w:lang w:eastAsia="fr-FR"/>
              </w:rPr>
            </w:pPr>
            <w:r w:rsidRPr="00852467">
              <w:rPr>
                <w:rFonts w:ascii="Times New Roman" w:hAnsi="Times New Roman"/>
                <w:b/>
                <w:kern w:val="22"/>
                <w:sz w:val="24"/>
                <w:szCs w:val="24"/>
                <w:lang w:val="fr-CA"/>
              </w:rPr>
              <w:t>En voie</w:t>
            </w:r>
            <w:r w:rsidR="00CE7C1D">
              <w:rPr>
                <w:rFonts w:ascii="Times New Roman" w:hAnsi="Times New Roman"/>
                <w:b/>
                <w:kern w:val="22"/>
                <w:sz w:val="24"/>
                <w:szCs w:val="24"/>
                <w:lang w:val="fr-CA"/>
              </w:rPr>
              <w:t xml:space="preserve"> de réaliser l’objectif</w:t>
            </w:r>
            <w:r w:rsidRPr="00852467">
              <w:rPr>
                <w:rFonts w:ascii="Times New Roman" w:hAnsi="Times New Roman"/>
                <w:b/>
                <w:kern w:val="22"/>
                <w:sz w:val="24"/>
                <w:szCs w:val="24"/>
                <w:lang w:val="fr-CA"/>
              </w:rPr>
              <w:t xml:space="preserve"> </w:t>
            </w:r>
          </w:p>
        </w:tc>
      </w:tr>
      <w:tr w:rsidR="00D31C6C" w:rsidRPr="00852467" w14:paraId="10880C6E" w14:textId="77777777" w:rsidTr="00297ED9">
        <w:trPr>
          <w:trHeight w:val="300"/>
        </w:trPr>
        <w:tc>
          <w:tcPr>
            <w:tcW w:w="6091" w:type="dxa"/>
            <w:vAlign w:val="center"/>
          </w:tcPr>
          <w:p w14:paraId="4812C3AA" w14:textId="77777777" w:rsidR="00D31C6C" w:rsidRPr="00852467" w:rsidRDefault="00D31C6C" w:rsidP="00297ED9">
            <w:pPr>
              <w:spacing w:after="0" w:line="240" w:lineRule="auto"/>
              <w:jc w:val="both"/>
              <w:rPr>
                <w:rFonts w:ascii="Times New Roman" w:hAnsi="Times New Roman"/>
                <w:b/>
                <w:sz w:val="24"/>
                <w:szCs w:val="24"/>
              </w:rPr>
            </w:pPr>
            <w:r w:rsidRPr="00852467">
              <w:rPr>
                <w:rFonts w:ascii="Times New Roman" w:hAnsi="Times New Roman"/>
                <w:b/>
                <w:sz w:val="24"/>
                <w:szCs w:val="24"/>
              </w:rPr>
              <w:t>Objectif 2</w:t>
            </w:r>
            <w:r w:rsidRPr="00852467">
              <w:rPr>
                <w:rFonts w:ascii="Times New Roman" w:hAnsi="Times New Roman"/>
                <w:sz w:val="24"/>
                <w:szCs w:val="24"/>
              </w:rPr>
              <w:t>.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comptes nationaux</w:t>
            </w:r>
          </w:p>
        </w:tc>
        <w:tc>
          <w:tcPr>
            <w:tcW w:w="1275" w:type="dxa"/>
            <w:vAlign w:val="center"/>
          </w:tcPr>
          <w:p w14:paraId="12E92E6C" w14:textId="77777777" w:rsidR="00D31C6C" w:rsidRPr="002E4AA9" w:rsidRDefault="00D31C6C" w:rsidP="00297ED9">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FF00"/>
            <w:vAlign w:val="center"/>
          </w:tcPr>
          <w:p w14:paraId="16A69AA9" w14:textId="3DED6679" w:rsidR="00D31C6C" w:rsidRPr="001837DD" w:rsidRDefault="00D31C6C" w:rsidP="00297ED9">
            <w:pPr>
              <w:spacing w:after="0" w:line="240" w:lineRule="auto"/>
              <w:jc w:val="both"/>
              <w:rPr>
                <w:rFonts w:ascii="Times New Roman" w:eastAsia="Times New Roman" w:hAnsi="Times New Roman"/>
                <w:sz w:val="24"/>
                <w:szCs w:val="24"/>
                <w:lang w:eastAsia="fr-FR"/>
              </w:rPr>
            </w:pPr>
            <w:r w:rsidRPr="00852467">
              <w:rPr>
                <w:rFonts w:ascii="Times New Roman" w:hAnsi="Times New Roman"/>
                <w:kern w:val="22"/>
                <w:sz w:val="24"/>
                <w:szCs w:val="24"/>
                <w:lang w:val="fr-CA"/>
              </w:rPr>
              <w:t xml:space="preserve">Progrès accomplis en vue d’atteindre l’objectif, mais </w:t>
            </w:r>
            <w:r w:rsidR="00CE7C1D">
              <w:rPr>
                <w:rFonts w:ascii="Times New Roman" w:hAnsi="Times New Roman"/>
                <w:kern w:val="22"/>
                <w:sz w:val="24"/>
                <w:szCs w:val="24"/>
                <w:lang w:val="fr-CA"/>
              </w:rPr>
              <w:t xml:space="preserve">à un rythme insuffisant </w:t>
            </w:r>
          </w:p>
        </w:tc>
      </w:tr>
      <w:tr w:rsidR="009168F3" w:rsidRPr="00852467" w14:paraId="09D3C911" w14:textId="77777777" w:rsidTr="000B6635">
        <w:trPr>
          <w:trHeight w:val="300"/>
        </w:trPr>
        <w:tc>
          <w:tcPr>
            <w:tcW w:w="6091" w:type="dxa"/>
            <w:vAlign w:val="center"/>
          </w:tcPr>
          <w:p w14:paraId="4E5192EE"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Objectif 3.</w:t>
            </w:r>
            <w:r w:rsidRPr="00852467">
              <w:rPr>
                <w:rFonts w:ascii="Times New Roman" w:hAnsi="Times New Roman"/>
                <w:sz w:val="24"/>
                <w:szCs w:val="24"/>
              </w:rPr>
              <w:t xml:space="preserve"> Elaborer d’</w:t>
            </w:r>
            <w:r w:rsidRPr="00852467">
              <w:rPr>
                <w:rFonts w:ascii="Times New Roman" w:hAnsi="Times New Roman"/>
                <w:iCs/>
                <w:sz w:val="24"/>
                <w:szCs w:val="24"/>
              </w:rPr>
              <w:t>ici à 2017 un schéma national d’aménagement du territoire, précisant les zones consacrées à l’agriculture, l’aquaculture, la sylviculture et la conservation de la diversité biologique, etc.</w:t>
            </w:r>
          </w:p>
        </w:tc>
        <w:tc>
          <w:tcPr>
            <w:tcW w:w="1275" w:type="dxa"/>
            <w:vAlign w:val="center"/>
          </w:tcPr>
          <w:p w14:paraId="2A7E8C6E"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2017</w:t>
            </w:r>
          </w:p>
        </w:tc>
        <w:tc>
          <w:tcPr>
            <w:tcW w:w="2127" w:type="dxa"/>
            <w:shd w:val="clear" w:color="auto" w:fill="FFFF00"/>
          </w:tcPr>
          <w:p w14:paraId="53DE14E0" w14:textId="0D953AF2" w:rsidR="009168F3" w:rsidRPr="001837DD" w:rsidRDefault="009168F3" w:rsidP="009168F3">
            <w:pPr>
              <w:spacing w:after="0" w:line="240" w:lineRule="auto"/>
              <w:jc w:val="both"/>
              <w:rPr>
                <w:rFonts w:ascii="Times New Roman" w:eastAsia="Times New Roman" w:hAnsi="Times New Roman"/>
                <w:sz w:val="24"/>
                <w:szCs w:val="24"/>
                <w:lang w:eastAsia="fr-FR"/>
              </w:rPr>
            </w:pPr>
            <w:r w:rsidRPr="00AB6B34">
              <w:rPr>
                <w:rFonts w:ascii="Times New Roman" w:hAnsi="Times New Roman"/>
                <w:kern w:val="22"/>
                <w:sz w:val="24"/>
                <w:szCs w:val="24"/>
                <w:lang w:val="fr-CA"/>
              </w:rPr>
              <w:t xml:space="preserve">Progrès accomplis en vue d’atteindre l’objectif, mais à un rythme insuffisant </w:t>
            </w:r>
          </w:p>
        </w:tc>
      </w:tr>
      <w:tr w:rsidR="009168F3" w:rsidRPr="00852467" w14:paraId="6AC7B9E7" w14:textId="77777777" w:rsidTr="000B6635">
        <w:trPr>
          <w:trHeight w:val="300"/>
        </w:trPr>
        <w:tc>
          <w:tcPr>
            <w:tcW w:w="6091" w:type="dxa"/>
            <w:vAlign w:val="center"/>
          </w:tcPr>
          <w:p w14:paraId="1CD5560A"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 xml:space="preserve">Objectif 4. </w:t>
            </w:r>
            <w:r w:rsidRPr="00852467">
              <w:rPr>
                <w:rFonts w:ascii="Times New Roman" w:hAnsi="Times New Roman"/>
                <w:sz w:val="24"/>
                <w:szCs w:val="24"/>
              </w:rPr>
              <w:t>Renforcer les cadres juridique, institutionnel et la gouvernance d’ici 2018 afin de créer un environnement favorable à la lutte effective contre l’érosion de la biodiversité</w:t>
            </w:r>
          </w:p>
        </w:tc>
        <w:tc>
          <w:tcPr>
            <w:tcW w:w="1275" w:type="dxa"/>
            <w:vAlign w:val="center"/>
          </w:tcPr>
          <w:p w14:paraId="3F526E56"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FF00"/>
          </w:tcPr>
          <w:p w14:paraId="585FB5A1" w14:textId="31031C59" w:rsidR="009168F3" w:rsidRPr="001837DD" w:rsidRDefault="009168F3" w:rsidP="009168F3">
            <w:pPr>
              <w:spacing w:after="0" w:line="240" w:lineRule="auto"/>
              <w:jc w:val="both"/>
              <w:rPr>
                <w:rFonts w:ascii="Times New Roman" w:eastAsia="Times New Roman" w:hAnsi="Times New Roman"/>
                <w:sz w:val="24"/>
                <w:szCs w:val="24"/>
                <w:lang w:eastAsia="fr-FR"/>
              </w:rPr>
            </w:pPr>
            <w:r w:rsidRPr="00AB6B34">
              <w:rPr>
                <w:rFonts w:ascii="Times New Roman" w:hAnsi="Times New Roman"/>
                <w:kern w:val="22"/>
                <w:sz w:val="24"/>
                <w:szCs w:val="24"/>
                <w:lang w:val="fr-CA"/>
              </w:rPr>
              <w:t xml:space="preserve">Progrès accomplis en vue d’atteindre l’objectif, mais à un rythme insuffisant </w:t>
            </w:r>
          </w:p>
        </w:tc>
      </w:tr>
      <w:tr w:rsidR="009168F3" w:rsidRPr="00852467" w14:paraId="0E997829" w14:textId="77777777" w:rsidTr="000B6635">
        <w:trPr>
          <w:trHeight w:val="300"/>
        </w:trPr>
        <w:tc>
          <w:tcPr>
            <w:tcW w:w="6091" w:type="dxa"/>
            <w:vAlign w:val="center"/>
          </w:tcPr>
          <w:p w14:paraId="0B33B9A6"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 xml:space="preserve">Objectif 5. </w:t>
            </w:r>
            <w:r w:rsidRPr="00852467">
              <w:rPr>
                <w:rFonts w:ascii="Times New Roman" w:hAnsi="Times New Roman"/>
                <w:iCs/>
                <w:sz w:val="24"/>
                <w:szCs w:val="24"/>
              </w:rPr>
              <w:t>Réduire à l’horizon 2020, le rythme de dégradation et de fragmentation des habitats naturels à 2 %</w:t>
            </w:r>
          </w:p>
        </w:tc>
        <w:tc>
          <w:tcPr>
            <w:tcW w:w="1275" w:type="dxa"/>
            <w:vAlign w:val="center"/>
          </w:tcPr>
          <w:p w14:paraId="5A65C9FA"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2020</w:t>
            </w:r>
          </w:p>
        </w:tc>
        <w:tc>
          <w:tcPr>
            <w:tcW w:w="2127" w:type="dxa"/>
            <w:shd w:val="clear" w:color="auto" w:fill="FFFF00"/>
          </w:tcPr>
          <w:p w14:paraId="0E027043" w14:textId="5F635247" w:rsidR="009168F3" w:rsidRPr="001837DD" w:rsidRDefault="009168F3" w:rsidP="009168F3">
            <w:pPr>
              <w:spacing w:after="0" w:line="240" w:lineRule="auto"/>
              <w:jc w:val="both"/>
              <w:rPr>
                <w:rFonts w:ascii="Times New Roman" w:eastAsia="Times New Roman" w:hAnsi="Times New Roman"/>
                <w:sz w:val="24"/>
                <w:szCs w:val="24"/>
                <w:lang w:eastAsia="fr-FR"/>
              </w:rPr>
            </w:pPr>
            <w:r w:rsidRPr="00AB6B34">
              <w:rPr>
                <w:rFonts w:ascii="Times New Roman" w:hAnsi="Times New Roman"/>
                <w:kern w:val="22"/>
                <w:sz w:val="24"/>
                <w:szCs w:val="24"/>
                <w:lang w:val="fr-CA"/>
              </w:rPr>
              <w:t xml:space="preserve">Progrès accomplis en vue d’atteindre l’objectif, mais à un rythme insuffisant </w:t>
            </w:r>
          </w:p>
        </w:tc>
      </w:tr>
      <w:tr w:rsidR="009168F3" w:rsidRPr="00852467" w14:paraId="141A2640" w14:textId="77777777" w:rsidTr="000B6635">
        <w:trPr>
          <w:trHeight w:val="300"/>
        </w:trPr>
        <w:tc>
          <w:tcPr>
            <w:tcW w:w="6091" w:type="dxa"/>
            <w:vAlign w:val="center"/>
          </w:tcPr>
          <w:p w14:paraId="30A36AC0" w14:textId="77777777" w:rsidR="009168F3" w:rsidRPr="00852467" w:rsidRDefault="009168F3" w:rsidP="009168F3">
            <w:pPr>
              <w:spacing w:after="0" w:line="240" w:lineRule="auto"/>
              <w:jc w:val="both"/>
              <w:rPr>
                <w:rFonts w:ascii="Times New Roman" w:hAnsi="Times New Roman"/>
                <w:iCs/>
                <w:sz w:val="24"/>
                <w:szCs w:val="24"/>
              </w:rPr>
            </w:pPr>
            <w:r w:rsidRPr="00852467">
              <w:rPr>
                <w:rFonts w:ascii="Times New Roman" w:hAnsi="Times New Roman"/>
                <w:b/>
                <w:sz w:val="24"/>
                <w:szCs w:val="24"/>
              </w:rPr>
              <w:t xml:space="preserve">Objectif 6. </w:t>
            </w:r>
            <w:r w:rsidRPr="00852467">
              <w:rPr>
                <w:rFonts w:ascii="Times New Roman" w:hAnsi="Times New Roman"/>
                <w:sz w:val="24"/>
                <w:szCs w:val="24"/>
              </w:rPr>
              <w:t>Développer des innovations afin que d’ici à 2020, 50% des agriculteurs togolais adoptent des pratiques agricoles durables et respectueuses de l’environnement</w:t>
            </w:r>
          </w:p>
        </w:tc>
        <w:tc>
          <w:tcPr>
            <w:tcW w:w="1275" w:type="dxa"/>
            <w:vAlign w:val="center"/>
          </w:tcPr>
          <w:p w14:paraId="084327E3"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2020</w:t>
            </w:r>
          </w:p>
        </w:tc>
        <w:tc>
          <w:tcPr>
            <w:tcW w:w="2127" w:type="dxa"/>
            <w:shd w:val="clear" w:color="auto" w:fill="FFFF00"/>
          </w:tcPr>
          <w:p w14:paraId="135DE4AB" w14:textId="005866BB" w:rsidR="009168F3" w:rsidRPr="001837DD" w:rsidRDefault="009168F3" w:rsidP="009168F3">
            <w:pPr>
              <w:spacing w:after="0" w:line="240" w:lineRule="auto"/>
              <w:jc w:val="both"/>
              <w:rPr>
                <w:rFonts w:ascii="Times New Roman" w:eastAsia="Times New Roman" w:hAnsi="Times New Roman"/>
                <w:sz w:val="24"/>
                <w:szCs w:val="24"/>
                <w:lang w:eastAsia="fr-FR"/>
              </w:rPr>
            </w:pPr>
            <w:r w:rsidRPr="00AB6B34">
              <w:rPr>
                <w:rFonts w:ascii="Times New Roman" w:hAnsi="Times New Roman"/>
                <w:kern w:val="22"/>
                <w:sz w:val="24"/>
                <w:szCs w:val="24"/>
                <w:lang w:val="fr-CA"/>
              </w:rPr>
              <w:t xml:space="preserve">Progrès accomplis en vue d’atteindre l’objectif, mais à un rythme insuffisant </w:t>
            </w:r>
          </w:p>
        </w:tc>
      </w:tr>
      <w:tr w:rsidR="00D31C6C" w:rsidRPr="00852467" w14:paraId="2FEE0CF8" w14:textId="77777777" w:rsidTr="00297ED9">
        <w:trPr>
          <w:trHeight w:val="300"/>
        </w:trPr>
        <w:tc>
          <w:tcPr>
            <w:tcW w:w="6091" w:type="dxa"/>
            <w:vAlign w:val="center"/>
          </w:tcPr>
          <w:p w14:paraId="4A3A2C95" w14:textId="77777777" w:rsidR="00D31C6C" w:rsidRPr="00852467" w:rsidRDefault="00D31C6C" w:rsidP="00297ED9">
            <w:pPr>
              <w:spacing w:after="0" w:line="240" w:lineRule="auto"/>
              <w:jc w:val="both"/>
              <w:rPr>
                <w:rFonts w:ascii="Times New Roman" w:hAnsi="Times New Roman"/>
                <w:sz w:val="24"/>
                <w:szCs w:val="24"/>
              </w:rPr>
            </w:pPr>
            <w:r w:rsidRPr="00852467">
              <w:rPr>
                <w:rFonts w:ascii="Times New Roman" w:hAnsi="Times New Roman"/>
                <w:b/>
                <w:sz w:val="24"/>
                <w:szCs w:val="24"/>
              </w:rPr>
              <w:t xml:space="preserve">Objectif 7. </w:t>
            </w:r>
            <w:r w:rsidRPr="00852467">
              <w:rPr>
                <w:rFonts w:ascii="Times New Roman" w:hAnsi="Times New Roman"/>
                <w:sz w:val="24"/>
                <w:szCs w:val="24"/>
              </w:rPr>
              <w:t>Maîtriser les feux de végétation par la mise en œuvre d’ici 2018, des mesures inscrites dans la stratégie nationale de gestion des feux de végétation de sorte à réduire les superficies brûlées à 10 000 km² chaque année (le tiers de la superficie nationale est actuellement brulé chaque année)</w:t>
            </w:r>
          </w:p>
        </w:tc>
        <w:tc>
          <w:tcPr>
            <w:tcW w:w="1275" w:type="dxa"/>
            <w:vAlign w:val="center"/>
          </w:tcPr>
          <w:p w14:paraId="34CD26F9" w14:textId="77777777" w:rsidR="00D31C6C" w:rsidRPr="002E4AA9" w:rsidRDefault="00D31C6C" w:rsidP="00297ED9">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00B050"/>
            <w:vAlign w:val="center"/>
          </w:tcPr>
          <w:p w14:paraId="3D5CE5F0" w14:textId="5A69CDDA" w:rsidR="00D31C6C" w:rsidRPr="001837DD" w:rsidRDefault="009168F3" w:rsidP="00297ED9">
            <w:pPr>
              <w:spacing w:after="0" w:line="240" w:lineRule="auto"/>
              <w:jc w:val="both"/>
              <w:rPr>
                <w:rFonts w:ascii="Times New Roman" w:eastAsia="Times New Roman" w:hAnsi="Times New Roman"/>
                <w:sz w:val="24"/>
                <w:szCs w:val="24"/>
                <w:lang w:eastAsia="fr-FR"/>
              </w:rPr>
            </w:pPr>
            <w:r w:rsidRPr="00852467">
              <w:rPr>
                <w:rFonts w:ascii="Times New Roman" w:hAnsi="Times New Roman"/>
                <w:b/>
                <w:kern w:val="22"/>
                <w:sz w:val="24"/>
                <w:szCs w:val="24"/>
                <w:lang w:val="fr-CA"/>
              </w:rPr>
              <w:t>En voie</w:t>
            </w:r>
            <w:r>
              <w:rPr>
                <w:rFonts w:ascii="Times New Roman" w:hAnsi="Times New Roman"/>
                <w:b/>
                <w:kern w:val="22"/>
                <w:sz w:val="24"/>
                <w:szCs w:val="24"/>
                <w:lang w:val="fr-CA"/>
              </w:rPr>
              <w:t xml:space="preserve"> de réaliser l’objectif</w:t>
            </w:r>
          </w:p>
        </w:tc>
      </w:tr>
      <w:tr w:rsidR="00D31C6C" w:rsidRPr="00852467" w14:paraId="388F9B49" w14:textId="77777777" w:rsidTr="00297ED9">
        <w:trPr>
          <w:trHeight w:val="300"/>
        </w:trPr>
        <w:tc>
          <w:tcPr>
            <w:tcW w:w="6091" w:type="dxa"/>
            <w:vAlign w:val="center"/>
          </w:tcPr>
          <w:p w14:paraId="5A744555" w14:textId="77777777" w:rsidR="00D31C6C" w:rsidRPr="00852467" w:rsidRDefault="00D31C6C" w:rsidP="00297ED9">
            <w:pPr>
              <w:spacing w:after="0" w:line="240" w:lineRule="auto"/>
              <w:jc w:val="both"/>
              <w:rPr>
                <w:rFonts w:ascii="Times New Roman" w:hAnsi="Times New Roman"/>
                <w:b/>
                <w:sz w:val="24"/>
                <w:szCs w:val="24"/>
              </w:rPr>
            </w:pPr>
            <w:r w:rsidRPr="00852467">
              <w:rPr>
                <w:rFonts w:ascii="Times New Roman" w:hAnsi="Times New Roman"/>
                <w:b/>
                <w:sz w:val="24"/>
                <w:szCs w:val="24"/>
              </w:rPr>
              <w:t xml:space="preserve">Objectif 8. </w:t>
            </w:r>
            <w:r w:rsidRPr="00852467">
              <w:rPr>
                <w:rFonts w:ascii="Times New Roman" w:hAnsi="Times New Roman"/>
                <w:iCs/>
                <w:sz w:val="24"/>
                <w:szCs w:val="24"/>
              </w:rPr>
              <w:t>D’ici à 2020, 50 % des 13 aires protégées prioritaires sont dotés des plans d’aménagement qui présentent d’importants intérêts pour la conservation de la biodiversité</w:t>
            </w:r>
          </w:p>
        </w:tc>
        <w:tc>
          <w:tcPr>
            <w:tcW w:w="1275" w:type="dxa"/>
            <w:vAlign w:val="center"/>
          </w:tcPr>
          <w:p w14:paraId="3994B368" w14:textId="77777777" w:rsidR="00D31C6C" w:rsidRPr="002E4AA9" w:rsidRDefault="00D31C6C" w:rsidP="00297ED9">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2020</w:t>
            </w:r>
          </w:p>
        </w:tc>
        <w:tc>
          <w:tcPr>
            <w:tcW w:w="2127" w:type="dxa"/>
            <w:shd w:val="clear" w:color="auto" w:fill="00B050"/>
            <w:vAlign w:val="center"/>
          </w:tcPr>
          <w:p w14:paraId="18B37B58" w14:textId="280B0DB3" w:rsidR="00D31C6C" w:rsidRPr="001837DD" w:rsidRDefault="009168F3" w:rsidP="00297ED9">
            <w:pPr>
              <w:autoSpaceDE w:val="0"/>
              <w:autoSpaceDN w:val="0"/>
              <w:adjustRightInd w:val="0"/>
              <w:spacing w:after="0" w:line="240" w:lineRule="auto"/>
              <w:jc w:val="both"/>
              <w:rPr>
                <w:rFonts w:ascii="Times New Roman" w:eastAsia="Times New Roman" w:hAnsi="Times New Roman"/>
                <w:b/>
                <w:sz w:val="24"/>
                <w:szCs w:val="24"/>
                <w:lang w:eastAsia="fr-FR"/>
              </w:rPr>
            </w:pPr>
            <w:r w:rsidRPr="00852467">
              <w:rPr>
                <w:rFonts w:ascii="Times New Roman" w:hAnsi="Times New Roman"/>
                <w:b/>
                <w:kern w:val="22"/>
                <w:sz w:val="24"/>
                <w:szCs w:val="24"/>
                <w:lang w:val="fr-CA"/>
              </w:rPr>
              <w:t>En voie</w:t>
            </w:r>
            <w:r>
              <w:rPr>
                <w:rFonts w:ascii="Times New Roman" w:hAnsi="Times New Roman"/>
                <w:b/>
                <w:kern w:val="22"/>
                <w:sz w:val="24"/>
                <w:szCs w:val="24"/>
                <w:lang w:val="fr-CA"/>
              </w:rPr>
              <w:t xml:space="preserve"> de réaliser l’objectif</w:t>
            </w:r>
          </w:p>
        </w:tc>
      </w:tr>
      <w:tr w:rsidR="00D31C6C" w:rsidRPr="00852467" w14:paraId="56DCE12E" w14:textId="77777777" w:rsidTr="00297ED9">
        <w:trPr>
          <w:trHeight w:val="300"/>
        </w:trPr>
        <w:tc>
          <w:tcPr>
            <w:tcW w:w="6091" w:type="dxa"/>
            <w:vAlign w:val="center"/>
          </w:tcPr>
          <w:p w14:paraId="784521D3" w14:textId="77777777" w:rsidR="00D31C6C" w:rsidRPr="00852467" w:rsidRDefault="00D31C6C" w:rsidP="00297ED9">
            <w:pPr>
              <w:spacing w:after="0" w:line="240" w:lineRule="auto"/>
              <w:jc w:val="both"/>
              <w:rPr>
                <w:rFonts w:ascii="Times New Roman" w:hAnsi="Times New Roman"/>
                <w:b/>
                <w:sz w:val="24"/>
                <w:szCs w:val="24"/>
              </w:rPr>
            </w:pPr>
            <w:r w:rsidRPr="00852467">
              <w:rPr>
                <w:rFonts w:ascii="Times New Roman" w:hAnsi="Times New Roman"/>
                <w:b/>
                <w:sz w:val="24"/>
                <w:szCs w:val="24"/>
              </w:rPr>
              <w:t xml:space="preserve">Objectif 9. </w:t>
            </w:r>
            <w:r w:rsidRPr="00852467">
              <w:rPr>
                <w:rFonts w:ascii="Times New Roman" w:hAnsi="Times New Roman"/>
                <w:sz w:val="24"/>
                <w:szCs w:val="24"/>
              </w:rPr>
              <w:t xml:space="preserve">Développer </w:t>
            </w:r>
            <w:r w:rsidRPr="00852467">
              <w:rPr>
                <w:rFonts w:ascii="Times New Roman" w:hAnsi="Times New Roman"/>
                <w:iCs/>
                <w:sz w:val="24"/>
                <w:szCs w:val="24"/>
              </w:rPr>
              <w:t>d’ici à 2018, les connaissances suffisantes sur les espèces exotiques envahissantes en vue de mettre au point des technologies appropriées pour les contrôler</w:t>
            </w:r>
          </w:p>
        </w:tc>
        <w:tc>
          <w:tcPr>
            <w:tcW w:w="1275" w:type="dxa"/>
            <w:vAlign w:val="center"/>
          </w:tcPr>
          <w:p w14:paraId="0F2F817C" w14:textId="77777777" w:rsidR="00D31C6C" w:rsidRPr="002E4AA9" w:rsidRDefault="00D31C6C" w:rsidP="00297ED9">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0000"/>
            <w:vAlign w:val="center"/>
          </w:tcPr>
          <w:p w14:paraId="2C871FD4" w14:textId="235E0143" w:rsidR="00D31C6C" w:rsidRPr="001837DD" w:rsidRDefault="00CE7C1D" w:rsidP="00297ED9">
            <w:pPr>
              <w:spacing w:after="0" w:line="240" w:lineRule="auto"/>
              <w:jc w:val="both"/>
              <w:rPr>
                <w:rFonts w:ascii="Times New Roman" w:eastAsia="Times New Roman" w:hAnsi="Times New Roman"/>
                <w:sz w:val="24"/>
                <w:szCs w:val="24"/>
                <w:lang w:eastAsia="fr-FR"/>
              </w:rPr>
            </w:pPr>
            <w:r>
              <w:rPr>
                <w:rFonts w:ascii="Times New Roman" w:hAnsi="Times New Roman"/>
                <w:kern w:val="22"/>
                <w:sz w:val="24"/>
                <w:szCs w:val="24"/>
                <w:lang w:val="fr-CA"/>
              </w:rPr>
              <w:t>Pas de</w:t>
            </w:r>
            <w:r w:rsidR="00D31C6C" w:rsidRPr="00852467">
              <w:rPr>
                <w:rFonts w:ascii="Times New Roman" w:hAnsi="Times New Roman"/>
                <w:kern w:val="22"/>
                <w:sz w:val="24"/>
                <w:szCs w:val="24"/>
                <w:lang w:val="fr-CA"/>
              </w:rPr>
              <w:t xml:space="preserve"> changement</w:t>
            </w:r>
            <w:r>
              <w:rPr>
                <w:rFonts w:ascii="Times New Roman" w:hAnsi="Times New Roman"/>
                <w:kern w:val="22"/>
                <w:sz w:val="24"/>
                <w:szCs w:val="24"/>
                <w:lang w:val="fr-CA"/>
              </w:rPr>
              <w:t xml:space="preserve"> significatif</w:t>
            </w:r>
          </w:p>
        </w:tc>
      </w:tr>
      <w:tr w:rsidR="009168F3" w:rsidRPr="00852467" w14:paraId="5EC03D2B" w14:textId="77777777" w:rsidTr="000B6635">
        <w:trPr>
          <w:trHeight w:val="300"/>
        </w:trPr>
        <w:tc>
          <w:tcPr>
            <w:tcW w:w="6091" w:type="dxa"/>
            <w:vAlign w:val="center"/>
          </w:tcPr>
          <w:p w14:paraId="72B78164" w14:textId="77777777" w:rsidR="009168F3" w:rsidRPr="00852467" w:rsidRDefault="009168F3" w:rsidP="009168F3">
            <w:pPr>
              <w:spacing w:after="0" w:line="240" w:lineRule="auto"/>
              <w:jc w:val="both"/>
              <w:rPr>
                <w:rFonts w:ascii="Times New Roman" w:hAnsi="Times New Roman"/>
                <w:sz w:val="24"/>
                <w:szCs w:val="24"/>
              </w:rPr>
            </w:pPr>
            <w:r w:rsidRPr="00852467">
              <w:rPr>
                <w:rFonts w:ascii="Times New Roman" w:hAnsi="Times New Roman"/>
                <w:b/>
                <w:sz w:val="24"/>
                <w:szCs w:val="24"/>
              </w:rPr>
              <w:t xml:space="preserve">Objectif 10. </w:t>
            </w:r>
            <w:r w:rsidRPr="00852467">
              <w:rPr>
                <w:rFonts w:ascii="Times New Roman" w:hAnsi="Times New Roman"/>
                <w:sz w:val="24"/>
                <w:szCs w:val="24"/>
              </w:rPr>
              <w:t>Développer d’ici à 2016 la recherche afin d’améliorer, partager et diffuser les connaissances sur la biodiversité</w:t>
            </w:r>
          </w:p>
        </w:tc>
        <w:tc>
          <w:tcPr>
            <w:tcW w:w="1275" w:type="dxa"/>
            <w:vAlign w:val="center"/>
          </w:tcPr>
          <w:p w14:paraId="04EBD7D0"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2016</w:t>
            </w:r>
          </w:p>
        </w:tc>
        <w:tc>
          <w:tcPr>
            <w:tcW w:w="2127" w:type="dxa"/>
            <w:shd w:val="clear" w:color="auto" w:fill="FF0000"/>
          </w:tcPr>
          <w:p w14:paraId="66C2EB0D" w14:textId="3DAF4E19" w:rsidR="009168F3" w:rsidRPr="001837DD" w:rsidRDefault="009168F3" w:rsidP="009168F3">
            <w:pPr>
              <w:spacing w:after="0" w:line="240" w:lineRule="auto"/>
              <w:jc w:val="both"/>
              <w:rPr>
                <w:rFonts w:ascii="Times New Roman" w:eastAsia="Times New Roman" w:hAnsi="Times New Roman"/>
                <w:sz w:val="24"/>
                <w:szCs w:val="24"/>
                <w:lang w:eastAsia="fr-FR"/>
              </w:rPr>
            </w:pPr>
            <w:r w:rsidRPr="00C3788A">
              <w:rPr>
                <w:rFonts w:ascii="Times New Roman" w:hAnsi="Times New Roman"/>
                <w:kern w:val="22"/>
                <w:sz w:val="24"/>
                <w:szCs w:val="24"/>
                <w:lang w:val="fr-CA"/>
              </w:rPr>
              <w:t>Pas de changement significatif</w:t>
            </w:r>
          </w:p>
        </w:tc>
      </w:tr>
      <w:tr w:rsidR="009168F3" w:rsidRPr="00852467" w14:paraId="1C6482FA" w14:textId="77777777" w:rsidTr="000B6635">
        <w:trPr>
          <w:trHeight w:val="300"/>
        </w:trPr>
        <w:tc>
          <w:tcPr>
            <w:tcW w:w="6091" w:type="dxa"/>
            <w:vAlign w:val="center"/>
          </w:tcPr>
          <w:p w14:paraId="0FF78699" w14:textId="77777777" w:rsidR="009168F3" w:rsidRPr="00852467" w:rsidRDefault="009168F3" w:rsidP="009168F3">
            <w:pPr>
              <w:spacing w:after="0" w:line="240" w:lineRule="auto"/>
              <w:jc w:val="both"/>
              <w:rPr>
                <w:rFonts w:ascii="Times New Roman" w:hAnsi="Times New Roman"/>
                <w:iCs/>
                <w:sz w:val="24"/>
                <w:szCs w:val="24"/>
              </w:rPr>
            </w:pPr>
            <w:r w:rsidRPr="00852467">
              <w:rPr>
                <w:rFonts w:ascii="Times New Roman" w:hAnsi="Times New Roman"/>
                <w:b/>
                <w:sz w:val="24"/>
                <w:szCs w:val="24"/>
              </w:rPr>
              <w:t xml:space="preserve">Objectif 11. </w:t>
            </w:r>
            <w:r w:rsidRPr="00852467">
              <w:rPr>
                <w:rFonts w:ascii="Times New Roman" w:hAnsi="Times New Roman"/>
                <w:sz w:val="24"/>
                <w:szCs w:val="24"/>
              </w:rPr>
              <w:t xml:space="preserve">Réaliser l’inventaire </w:t>
            </w:r>
            <w:r w:rsidRPr="00852467">
              <w:rPr>
                <w:rFonts w:ascii="Times New Roman" w:hAnsi="Times New Roman"/>
                <w:iCs/>
                <w:sz w:val="24"/>
                <w:szCs w:val="24"/>
              </w:rPr>
              <w:t>des ressources halieutiques comestibles (stocks de poissons et des crustacés) afin que d’ici à 2016 des plans et des mesures de récolte contrôlée soient mis en place</w:t>
            </w:r>
          </w:p>
        </w:tc>
        <w:tc>
          <w:tcPr>
            <w:tcW w:w="1275" w:type="dxa"/>
            <w:vAlign w:val="center"/>
          </w:tcPr>
          <w:p w14:paraId="25F3453E"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2016</w:t>
            </w:r>
          </w:p>
        </w:tc>
        <w:tc>
          <w:tcPr>
            <w:tcW w:w="2127" w:type="dxa"/>
            <w:shd w:val="clear" w:color="auto" w:fill="FF0000"/>
          </w:tcPr>
          <w:p w14:paraId="00B43511" w14:textId="0953E5A2" w:rsidR="009168F3" w:rsidRPr="001837DD" w:rsidRDefault="009168F3" w:rsidP="009168F3">
            <w:pPr>
              <w:spacing w:after="0" w:line="240" w:lineRule="auto"/>
              <w:jc w:val="both"/>
              <w:rPr>
                <w:rFonts w:ascii="Times New Roman" w:eastAsia="Times New Roman" w:hAnsi="Times New Roman"/>
                <w:sz w:val="24"/>
                <w:szCs w:val="24"/>
                <w:lang w:eastAsia="fr-FR"/>
              </w:rPr>
            </w:pPr>
            <w:r w:rsidRPr="00C3788A">
              <w:rPr>
                <w:rFonts w:ascii="Times New Roman" w:hAnsi="Times New Roman"/>
                <w:kern w:val="22"/>
                <w:sz w:val="24"/>
                <w:szCs w:val="24"/>
                <w:lang w:val="fr-CA"/>
              </w:rPr>
              <w:t>Pas de changement significatif</w:t>
            </w:r>
          </w:p>
        </w:tc>
      </w:tr>
      <w:tr w:rsidR="009168F3" w:rsidRPr="00852467" w14:paraId="3B35AAE9" w14:textId="77777777" w:rsidTr="000B6635">
        <w:trPr>
          <w:trHeight w:val="300"/>
        </w:trPr>
        <w:tc>
          <w:tcPr>
            <w:tcW w:w="6091" w:type="dxa"/>
            <w:vAlign w:val="center"/>
          </w:tcPr>
          <w:p w14:paraId="57017455"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 xml:space="preserve">Objectif 12. </w:t>
            </w:r>
            <w:r w:rsidRPr="00852467">
              <w:rPr>
                <w:rFonts w:ascii="Times New Roman" w:hAnsi="Times New Roman"/>
                <w:iCs/>
                <w:sz w:val="24"/>
                <w:szCs w:val="24"/>
              </w:rPr>
              <w:t>Réduire significativement d’ici à 2018 l’érosion génétique de la diversité génétique des plantes cultivées, des animaux d’élevage et des parents sauvages, des espèces à valeur socio-économique ou culturelle</w:t>
            </w:r>
          </w:p>
        </w:tc>
        <w:tc>
          <w:tcPr>
            <w:tcW w:w="1275" w:type="dxa"/>
            <w:vAlign w:val="center"/>
          </w:tcPr>
          <w:p w14:paraId="6DD8B91B"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0000"/>
          </w:tcPr>
          <w:p w14:paraId="2E422943" w14:textId="729D3571" w:rsidR="009168F3" w:rsidRPr="001837DD" w:rsidRDefault="009168F3" w:rsidP="009168F3">
            <w:pPr>
              <w:spacing w:after="0" w:line="240" w:lineRule="auto"/>
              <w:jc w:val="both"/>
              <w:rPr>
                <w:rFonts w:ascii="Times New Roman" w:eastAsia="Times New Roman" w:hAnsi="Times New Roman"/>
                <w:sz w:val="24"/>
                <w:szCs w:val="24"/>
                <w:lang w:eastAsia="fr-FR"/>
              </w:rPr>
            </w:pPr>
            <w:r w:rsidRPr="00C3788A">
              <w:rPr>
                <w:rFonts w:ascii="Times New Roman" w:hAnsi="Times New Roman"/>
                <w:kern w:val="22"/>
                <w:sz w:val="24"/>
                <w:szCs w:val="24"/>
                <w:lang w:val="fr-CA"/>
              </w:rPr>
              <w:t>Pas de changement significatif</w:t>
            </w:r>
          </w:p>
        </w:tc>
      </w:tr>
      <w:tr w:rsidR="009168F3" w:rsidRPr="00852467" w14:paraId="321B2E2E" w14:textId="77777777" w:rsidTr="000B6635">
        <w:trPr>
          <w:trHeight w:val="300"/>
        </w:trPr>
        <w:tc>
          <w:tcPr>
            <w:tcW w:w="6091" w:type="dxa"/>
            <w:vAlign w:val="center"/>
          </w:tcPr>
          <w:p w14:paraId="14EA6FA2"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 xml:space="preserve">Objectif 13. </w:t>
            </w:r>
            <w:r w:rsidRPr="00852467">
              <w:rPr>
                <w:rFonts w:ascii="Times New Roman" w:hAnsi="Times New Roman"/>
                <w:sz w:val="24"/>
                <w:szCs w:val="24"/>
              </w:rPr>
              <w:t>Etablir</w:t>
            </w:r>
            <w:r w:rsidRPr="00852467">
              <w:rPr>
                <w:rFonts w:ascii="Times New Roman" w:hAnsi="Times New Roman"/>
                <w:iCs/>
                <w:sz w:val="24"/>
                <w:szCs w:val="24"/>
              </w:rPr>
              <w:t xml:space="preserve"> d’ici à 2018, le statut de conservation des espèces de faune et de flore terrestres, aquatiques et semi-aquatiques afin d’élaborer des plans d’utilisation durable et de conservation spécifique</w:t>
            </w:r>
          </w:p>
        </w:tc>
        <w:tc>
          <w:tcPr>
            <w:tcW w:w="1275" w:type="dxa"/>
            <w:vAlign w:val="center"/>
          </w:tcPr>
          <w:p w14:paraId="00C95C2B"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0000"/>
          </w:tcPr>
          <w:p w14:paraId="47E18795" w14:textId="141815BB" w:rsidR="009168F3" w:rsidRPr="001837DD" w:rsidRDefault="009168F3" w:rsidP="009168F3">
            <w:pPr>
              <w:spacing w:after="0" w:line="240" w:lineRule="auto"/>
              <w:jc w:val="both"/>
              <w:rPr>
                <w:rFonts w:ascii="Times New Roman" w:eastAsia="Times New Roman" w:hAnsi="Times New Roman"/>
                <w:sz w:val="24"/>
                <w:szCs w:val="24"/>
                <w:lang w:eastAsia="fr-FR"/>
              </w:rPr>
            </w:pPr>
            <w:r w:rsidRPr="00C3788A">
              <w:rPr>
                <w:rFonts w:ascii="Times New Roman" w:hAnsi="Times New Roman"/>
                <w:kern w:val="22"/>
                <w:sz w:val="24"/>
                <w:szCs w:val="24"/>
                <w:lang w:val="fr-CA"/>
              </w:rPr>
              <w:t>Pas de changement significatif</w:t>
            </w:r>
          </w:p>
        </w:tc>
      </w:tr>
      <w:tr w:rsidR="009168F3" w:rsidRPr="00852467" w14:paraId="159C630F" w14:textId="77777777" w:rsidTr="000B6635">
        <w:trPr>
          <w:trHeight w:val="300"/>
        </w:trPr>
        <w:tc>
          <w:tcPr>
            <w:tcW w:w="6091" w:type="dxa"/>
            <w:vAlign w:val="center"/>
          </w:tcPr>
          <w:p w14:paraId="57C771DA"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iCs/>
                <w:sz w:val="24"/>
                <w:szCs w:val="24"/>
              </w:rPr>
              <w:t>Objectif 14</w:t>
            </w:r>
            <w:r w:rsidRPr="00852467">
              <w:rPr>
                <w:rFonts w:ascii="Times New Roman" w:hAnsi="Times New Roman"/>
                <w:iCs/>
                <w:sz w:val="24"/>
                <w:szCs w:val="24"/>
              </w:rPr>
              <w:t xml:space="preserve">. Engager d’ici à 2018 des actions, en vue de la création d’une </w:t>
            </w:r>
            <w:r w:rsidRPr="00852467">
              <w:rPr>
                <w:rFonts w:ascii="Times New Roman" w:hAnsi="Times New Roman"/>
                <w:sz w:val="24"/>
                <w:szCs w:val="24"/>
              </w:rPr>
              <w:t>aire marine protégée (AMP) reliant le réseau régional d’aires marines protégées d’Afrique de l’Ouest</w:t>
            </w:r>
          </w:p>
        </w:tc>
        <w:tc>
          <w:tcPr>
            <w:tcW w:w="1275" w:type="dxa"/>
            <w:vAlign w:val="center"/>
          </w:tcPr>
          <w:p w14:paraId="19679B8E"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0000"/>
          </w:tcPr>
          <w:p w14:paraId="36C74485" w14:textId="7B066D23" w:rsidR="009168F3" w:rsidRPr="001837DD" w:rsidRDefault="009168F3" w:rsidP="009168F3">
            <w:pPr>
              <w:spacing w:after="0" w:line="240" w:lineRule="auto"/>
              <w:jc w:val="both"/>
              <w:rPr>
                <w:rFonts w:ascii="Times New Roman" w:eastAsia="Times New Roman" w:hAnsi="Times New Roman"/>
                <w:sz w:val="24"/>
                <w:szCs w:val="24"/>
                <w:lang w:eastAsia="fr-FR"/>
              </w:rPr>
            </w:pPr>
            <w:r w:rsidRPr="00C3788A">
              <w:rPr>
                <w:rFonts w:ascii="Times New Roman" w:hAnsi="Times New Roman"/>
                <w:kern w:val="22"/>
                <w:sz w:val="24"/>
                <w:szCs w:val="24"/>
                <w:lang w:val="fr-CA"/>
              </w:rPr>
              <w:t>Pas de changement significatif</w:t>
            </w:r>
          </w:p>
        </w:tc>
      </w:tr>
      <w:tr w:rsidR="009168F3" w:rsidRPr="00852467" w14:paraId="678FEED0" w14:textId="77777777" w:rsidTr="000B6635">
        <w:trPr>
          <w:trHeight w:val="300"/>
        </w:trPr>
        <w:tc>
          <w:tcPr>
            <w:tcW w:w="6091" w:type="dxa"/>
            <w:vAlign w:val="center"/>
          </w:tcPr>
          <w:p w14:paraId="2B90E787" w14:textId="77777777" w:rsidR="009168F3" w:rsidRPr="00852467" w:rsidRDefault="009168F3" w:rsidP="009168F3">
            <w:pPr>
              <w:spacing w:after="0" w:line="240" w:lineRule="auto"/>
              <w:jc w:val="both"/>
              <w:rPr>
                <w:rFonts w:ascii="Times New Roman" w:hAnsi="Times New Roman"/>
                <w:iCs/>
                <w:sz w:val="24"/>
                <w:szCs w:val="24"/>
              </w:rPr>
            </w:pPr>
            <w:r w:rsidRPr="00852467">
              <w:rPr>
                <w:rFonts w:ascii="Times New Roman" w:hAnsi="Times New Roman"/>
                <w:b/>
                <w:sz w:val="24"/>
                <w:szCs w:val="24"/>
              </w:rPr>
              <w:t xml:space="preserve">Objectif 15. </w:t>
            </w:r>
            <w:r w:rsidRPr="00852467">
              <w:rPr>
                <w:rFonts w:ascii="Times New Roman" w:hAnsi="Times New Roman"/>
                <w:sz w:val="24"/>
                <w:szCs w:val="24"/>
              </w:rPr>
              <w:t>Etablir d’ici à 2018, une cartographie de l’ensemble des écosystèmes terrestres, aquatiques et marins importantes pour la conservation de la diversité biologique afin de garantir la durabilité de l’utilisation des ressources biologiques</w:t>
            </w:r>
          </w:p>
        </w:tc>
        <w:tc>
          <w:tcPr>
            <w:tcW w:w="1275" w:type="dxa"/>
            <w:vAlign w:val="center"/>
          </w:tcPr>
          <w:p w14:paraId="710EFEE8"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FF00"/>
          </w:tcPr>
          <w:p w14:paraId="6755F474" w14:textId="50AB76FB" w:rsidR="009168F3" w:rsidRPr="001837DD" w:rsidRDefault="009168F3" w:rsidP="009168F3">
            <w:pPr>
              <w:spacing w:after="0" w:line="240" w:lineRule="auto"/>
              <w:jc w:val="both"/>
              <w:rPr>
                <w:rFonts w:ascii="Times New Roman" w:eastAsia="Times New Roman" w:hAnsi="Times New Roman"/>
                <w:sz w:val="24"/>
                <w:szCs w:val="24"/>
                <w:lang w:eastAsia="fr-FR"/>
              </w:rPr>
            </w:pPr>
            <w:r w:rsidRPr="00BD308F">
              <w:rPr>
                <w:rFonts w:ascii="Times New Roman" w:hAnsi="Times New Roman"/>
                <w:kern w:val="22"/>
                <w:sz w:val="24"/>
                <w:szCs w:val="24"/>
                <w:lang w:val="fr-CA"/>
              </w:rPr>
              <w:t xml:space="preserve">Progrès accomplis en vue d’atteindre l’objectif, mais à un rythme insuffisant </w:t>
            </w:r>
          </w:p>
        </w:tc>
      </w:tr>
      <w:tr w:rsidR="009168F3" w:rsidRPr="00852467" w14:paraId="352EBAAE" w14:textId="77777777" w:rsidTr="000B6635">
        <w:trPr>
          <w:trHeight w:val="300"/>
        </w:trPr>
        <w:tc>
          <w:tcPr>
            <w:tcW w:w="6091" w:type="dxa"/>
            <w:vAlign w:val="center"/>
          </w:tcPr>
          <w:p w14:paraId="17C99840"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Objectif 16.</w:t>
            </w:r>
            <w:r w:rsidRPr="00852467">
              <w:rPr>
                <w:rFonts w:ascii="Times New Roman" w:hAnsi="Times New Roman"/>
                <w:sz w:val="24"/>
                <w:szCs w:val="24"/>
              </w:rPr>
              <w:t xml:space="preserve"> Mettre en place d’ici à 2018 un système de référence MRV (Mesure, Rapportage et Vérification) </w:t>
            </w:r>
            <w:r w:rsidRPr="00852467">
              <w:rPr>
                <w:rFonts w:ascii="Times New Roman" w:hAnsi="Times New Roman"/>
                <w:iCs/>
                <w:sz w:val="24"/>
                <w:szCs w:val="24"/>
              </w:rPr>
              <w:t>afin de renforcer la résilience des écosystèmes et de la biodiversité contre les changements climatiques</w:t>
            </w:r>
          </w:p>
        </w:tc>
        <w:tc>
          <w:tcPr>
            <w:tcW w:w="1275" w:type="dxa"/>
            <w:vAlign w:val="center"/>
          </w:tcPr>
          <w:p w14:paraId="2BE29E4D"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2018</w:t>
            </w:r>
          </w:p>
        </w:tc>
        <w:tc>
          <w:tcPr>
            <w:tcW w:w="2127" w:type="dxa"/>
            <w:shd w:val="clear" w:color="auto" w:fill="FFFF00"/>
          </w:tcPr>
          <w:p w14:paraId="2FDFBBA7" w14:textId="5D005A57" w:rsidR="009168F3" w:rsidRPr="001837DD" w:rsidRDefault="009168F3" w:rsidP="009168F3">
            <w:pPr>
              <w:spacing w:after="0" w:line="240" w:lineRule="auto"/>
              <w:jc w:val="both"/>
              <w:rPr>
                <w:rFonts w:ascii="Times New Roman" w:eastAsia="Times New Roman" w:hAnsi="Times New Roman"/>
                <w:sz w:val="24"/>
                <w:szCs w:val="24"/>
                <w:lang w:eastAsia="fr-FR"/>
              </w:rPr>
            </w:pPr>
            <w:r w:rsidRPr="00BD308F">
              <w:rPr>
                <w:rFonts w:ascii="Times New Roman" w:hAnsi="Times New Roman"/>
                <w:kern w:val="22"/>
                <w:sz w:val="24"/>
                <w:szCs w:val="24"/>
                <w:lang w:val="fr-CA"/>
              </w:rPr>
              <w:t xml:space="preserve">Progrès accomplis en vue d’atteindre l’objectif, mais à un rythme insuffisant </w:t>
            </w:r>
          </w:p>
        </w:tc>
      </w:tr>
      <w:tr w:rsidR="009168F3" w:rsidRPr="00852467" w14:paraId="0F9F2541" w14:textId="77777777" w:rsidTr="000B6635">
        <w:trPr>
          <w:trHeight w:val="300"/>
        </w:trPr>
        <w:tc>
          <w:tcPr>
            <w:tcW w:w="6091" w:type="dxa"/>
            <w:vAlign w:val="center"/>
          </w:tcPr>
          <w:p w14:paraId="5CBC63D9" w14:textId="77777777" w:rsidR="009168F3" w:rsidRPr="00852467" w:rsidRDefault="009168F3" w:rsidP="009168F3">
            <w:pPr>
              <w:spacing w:after="0" w:line="240" w:lineRule="auto"/>
              <w:jc w:val="both"/>
              <w:rPr>
                <w:rFonts w:ascii="Times New Roman" w:hAnsi="Times New Roman"/>
                <w:b/>
                <w:sz w:val="24"/>
                <w:szCs w:val="24"/>
              </w:rPr>
            </w:pPr>
            <w:r w:rsidRPr="00852467">
              <w:rPr>
                <w:rFonts w:ascii="Times New Roman" w:hAnsi="Times New Roman"/>
                <w:b/>
                <w:sz w:val="24"/>
                <w:szCs w:val="24"/>
              </w:rPr>
              <w:t>Objectif 17.</w:t>
            </w:r>
            <w:r w:rsidRPr="00852467">
              <w:rPr>
                <w:rFonts w:ascii="Times New Roman" w:hAnsi="Times New Roman"/>
                <w:sz w:val="24"/>
                <w:szCs w:val="24"/>
              </w:rPr>
              <w:t xml:space="preserve"> Initier des mécanismes de partage équitable des avantages issus de l’utilisation de la biodiversité à toutes les échelles après la ratification </w:t>
            </w:r>
            <w:r w:rsidRPr="00852467">
              <w:rPr>
                <w:rFonts w:ascii="Times New Roman" w:hAnsi="Times New Roman"/>
                <w:iCs/>
                <w:sz w:val="24"/>
                <w:szCs w:val="24"/>
              </w:rPr>
              <w:t>d’ici à 2015 du Protocole de Nagoya</w:t>
            </w:r>
          </w:p>
        </w:tc>
        <w:tc>
          <w:tcPr>
            <w:tcW w:w="1275" w:type="dxa"/>
            <w:vAlign w:val="center"/>
          </w:tcPr>
          <w:p w14:paraId="424F7657"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2015</w:t>
            </w:r>
          </w:p>
        </w:tc>
        <w:tc>
          <w:tcPr>
            <w:tcW w:w="2127" w:type="dxa"/>
            <w:shd w:val="clear" w:color="auto" w:fill="FFFF00"/>
          </w:tcPr>
          <w:p w14:paraId="7D7BC0C4" w14:textId="7196AFAB" w:rsidR="009168F3" w:rsidRPr="001837DD" w:rsidRDefault="009168F3" w:rsidP="009168F3">
            <w:pPr>
              <w:spacing w:after="0" w:line="240" w:lineRule="auto"/>
              <w:jc w:val="both"/>
              <w:rPr>
                <w:rFonts w:ascii="Times New Roman" w:eastAsia="Times New Roman" w:hAnsi="Times New Roman"/>
                <w:sz w:val="24"/>
                <w:szCs w:val="24"/>
                <w:lang w:eastAsia="fr-FR"/>
              </w:rPr>
            </w:pPr>
            <w:r w:rsidRPr="00BD308F">
              <w:rPr>
                <w:rFonts w:ascii="Times New Roman" w:hAnsi="Times New Roman"/>
                <w:kern w:val="22"/>
                <w:sz w:val="24"/>
                <w:szCs w:val="24"/>
                <w:lang w:val="fr-CA"/>
              </w:rPr>
              <w:t xml:space="preserve">Progrès accomplis en vue d’atteindre l’objectif, mais à un rythme insuffisant </w:t>
            </w:r>
          </w:p>
        </w:tc>
      </w:tr>
      <w:tr w:rsidR="009168F3" w:rsidRPr="00852467" w14:paraId="502DB996" w14:textId="77777777" w:rsidTr="000B6635">
        <w:trPr>
          <w:trHeight w:val="300"/>
        </w:trPr>
        <w:tc>
          <w:tcPr>
            <w:tcW w:w="6091" w:type="dxa"/>
            <w:vAlign w:val="center"/>
          </w:tcPr>
          <w:p w14:paraId="6764E070" w14:textId="77777777" w:rsidR="009168F3" w:rsidRPr="00852467" w:rsidRDefault="009168F3" w:rsidP="009168F3">
            <w:pPr>
              <w:spacing w:after="0" w:line="240" w:lineRule="auto"/>
              <w:jc w:val="both"/>
              <w:rPr>
                <w:rFonts w:ascii="Times New Roman" w:hAnsi="Times New Roman"/>
                <w:sz w:val="24"/>
                <w:szCs w:val="24"/>
              </w:rPr>
            </w:pPr>
            <w:r w:rsidRPr="00852467">
              <w:rPr>
                <w:rFonts w:ascii="Times New Roman" w:hAnsi="Times New Roman"/>
                <w:b/>
                <w:sz w:val="24"/>
                <w:szCs w:val="24"/>
              </w:rPr>
              <w:t xml:space="preserve">Objectif 18. </w:t>
            </w:r>
            <w:r w:rsidRPr="00852467">
              <w:rPr>
                <w:rFonts w:ascii="Times New Roman" w:hAnsi="Times New Roman"/>
                <w:sz w:val="24"/>
                <w:szCs w:val="24"/>
              </w:rPr>
              <w:t>Accroitre l’expertise nationale d’ici 2020, y compris la prise en compte des pratiques traditionnelles</w:t>
            </w:r>
          </w:p>
        </w:tc>
        <w:tc>
          <w:tcPr>
            <w:tcW w:w="1275" w:type="dxa"/>
            <w:vAlign w:val="center"/>
          </w:tcPr>
          <w:p w14:paraId="240320E0"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2020</w:t>
            </w:r>
          </w:p>
        </w:tc>
        <w:tc>
          <w:tcPr>
            <w:tcW w:w="2127" w:type="dxa"/>
            <w:shd w:val="clear" w:color="auto" w:fill="FF0000"/>
          </w:tcPr>
          <w:p w14:paraId="2710F257" w14:textId="3CDE1AD3" w:rsidR="009168F3" w:rsidRPr="001837DD" w:rsidRDefault="009168F3" w:rsidP="009168F3">
            <w:pPr>
              <w:spacing w:after="0" w:line="240" w:lineRule="auto"/>
              <w:jc w:val="both"/>
              <w:rPr>
                <w:rFonts w:ascii="Times New Roman" w:eastAsia="Times New Roman" w:hAnsi="Times New Roman"/>
                <w:sz w:val="24"/>
                <w:szCs w:val="24"/>
                <w:lang w:eastAsia="fr-FR"/>
              </w:rPr>
            </w:pPr>
            <w:r w:rsidRPr="007F6BD9">
              <w:rPr>
                <w:rFonts w:ascii="Times New Roman" w:hAnsi="Times New Roman"/>
                <w:kern w:val="22"/>
                <w:sz w:val="24"/>
                <w:szCs w:val="24"/>
                <w:lang w:val="fr-CA"/>
              </w:rPr>
              <w:t>Pas de changement significatif</w:t>
            </w:r>
          </w:p>
        </w:tc>
      </w:tr>
      <w:tr w:rsidR="009168F3" w:rsidRPr="00852467" w14:paraId="3E22F60F" w14:textId="77777777" w:rsidTr="000B6635">
        <w:trPr>
          <w:trHeight w:val="300"/>
        </w:trPr>
        <w:tc>
          <w:tcPr>
            <w:tcW w:w="6091" w:type="dxa"/>
            <w:vAlign w:val="center"/>
          </w:tcPr>
          <w:p w14:paraId="0535A25C" w14:textId="77777777" w:rsidR="009168F3" w:rsidRPr="00852467" w:rsidRDefault="009168F3" w:rsidP="009168F3">
            <w:pPr>
              <w:spacing w:after="0" w:line="240" w:lineRule="auto"/>
              <w:jc w:val="both"/>
              <w:rPr>
                <w:rFonts w:ascii="Times New Roman" w:hAnsi="Times New Roman"/>
                <w:sz w:val="24"/>
                <w:szCs w:val="24"/>
              </w:rPr>
            </w:pPr>
            <w:r w:rsidRPr="00852467">
              <w:rPr>
                <w:rFonts w:ascii="Times New Roman" w:hAnsi="Times New Roman"/>
                <w:b/>
                <w:sz w:val="24"/>
                <w:szCs w:val="24"/>
              </w:rPr>
              <w:t>Objectif 19.</w:t>
            </w:r>
            <w:r w:rsidRPr="00852467">
              <w:rPr>
                <w:rFonts w:ascii="Times New Roman" w:hAnsi="Times New Roman"/>
                <w:sz w:val="24"/>
                <w:szCs w:val="24"/>
              </w:rPr>
              <w:t xml:space="preserve"> Développer d’ici à 2020 la prise en compte des enjeux de biodiversité dans toutes les formations scolaires et universitaires</w:t>
            </w:r>
          </w:p>
        </w:tc>
        <w:tc>
          <w:tcPr>
            <w:tcW w:w="1275" w:type="dxa"/>
            <w:vAlign w:val="center"/>
          </w:tcPr>
          <w:p w14:paraId="75A2685A" w14:textId="77777777" w:rsidR="009168F3" w:rsidRPr="002E4AA9" w:rsidRDefault="009168F3" w:rsidP="009168F3">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2020</w:t>
            </w:r>
          </w:p>
        </w:tc>
        <w:tc>
          <w:tcPr>
            <w:tcW w:w="2127" w:type="dxa"/>
            <w:shd w:val="clear" w:color="auto" w:fill="FF0000"/>
          </w:tcPr>
          <w:p w14:paraId="728A4917" w14:textId="2FB7D31D" w:rsidR="009168F3" w:rsidRPr="001837DD" w:rsidRDefault="009168F3" w:rsidP="009168F3">
            <w:pPr>
              <w:spacing w:after="0" w:line="240" w:lineRule="auto"/>
              <w:jc w:val="both"/>
              <w:rPr>
                <w:rFonts w:ascii="Times New Roman" w:eastAsia="Times New Roman" w:hAnsi="Times New Roman"/>
                <w:sz w:val="24"/>
                <w:szCs w:val="24"/>
                <w:lang w:eastAsia="fr-FR"/>
              </w:rPr>
            </w:pPr>
            <w:r w:rsidRPr="007F6BD9">
              <w:rPr>
                <w:rFonts w:ascii="Times New Roman" w:hAnsi="Times New Roman"/>
                <w:kern w:val="22"/>
                <w:sz w:val="24"/>
                <w:szCs w:val="24"/>
                <w:lang w:val="fr-CA"/>
              </w:rPr>
              <w:t>Pas de changement significatif</w:t>
            </w:r>
          </w:p>
        </w:tc>
      </w:tr>
      <w:tr w:rsidR="00D31C6C" w:rsidRPr="00852467" w14:paraId="0C967045" w14:textId="77777777" w:rsidTr="00297ED9">
        <w:trPr>
          <w:trHeight w:val="300"/>
        </w:trPr>
        <w:tc>
          <w:tcPr>
            <w:tcW w:w="6091" w:type="dxa"/>
            <w:vAlign w:val="center"/>
          </w:tcPr>
          <w:p w14:paraId="5E467D48" w14:textId="77777777" w:rsidR="00D31C6C" w:rsidRPr="00852467" w:rsidRDefault="00D31C6C" w:rsidP="00297ED9">
            <w:pPr>
              <w:spacing w:after="0" w:line="240" w:lineRule="auto"/>
              <w:jc w:val="both"/>
              <w:rPr>
                <w:rFonts w:ascii="Times New Roman" w:hAnsi="Times New Roman"/>
                <w:iCs/>
                <w:sz w:val="24"/>
                <w:szCs w:val="24"/>
              </w:rPr>
            </w:pPr>
            <w:r w:rsidRPr="00852467">
              <w:rPr>
                <w:rFonts w:ascii="Times New Roman" w:hAnsi="Times New Roman"/>
                <w:b/>
                <w:sz w:val="24"/>
                <w:szCs w:val="24"/>
              </w:rPr>
              <w:t>Objectif 20.</w:t>
            </w:r>
            <w:r w:rsidRPr="00852467">
              <w:rPr>
                <w:rFonts w:ascii="Times New Roman" w:hAnsi="Times New Roman"/>
                <w:sz w:val="24"/>
                <w:szCs w:val="24"/>
              </w:rPr>
              <w:t xml:space="preserve"> Rendre opérationnel d</w:t>
            </w:r>
            <w:r w:rsidRPr="00852467">
              <w:rPr>
                <w:rFonts w:ascii="Times New Roman" w:hAnsi="Times New Roman"/>
                <w:iCs/>
                <w:sz w:val="24"/>
                <w:szCs w:val="24"/>
              </w:rPr>
              <w:t>’ici à 2015, un comité national de biodiversité regroupant les principaux acteurs intervenant dans l’utilisation et la gestion de la biodiversité</w:t>
            </w:r>
          </w:p>
        </w:tc>
        <w:tc>
          <w:tcPr>
            <w:tcW w:w="1275" w:type="dxa"/>
            <w:vAlign w:val="center"/>
          </w:tcPr>
          <w:p w14:paraId="51411935" w14:textId="77777777" w:rsidR="00D31C6C" w:rsidRPr="002E4AA9" w:rsidRDefault="00D31C6C" w:rsidP="00297ED9">
            <w:pPr>
              <w:spacing w:after="0" w:line="240" w:lineRule="auto"/>
              <w:jc w:val="center"/>
              <w:rPr>
                <w:rFonts w:ascii="Times New Roman" w:eastAsia="Times New Roman" w:hAnsi="Times New Roman"/>
                <w:color w:val="000000"/>
                <w:sz w:val="24"/>
                <w:szCs w:val="24"/>
                <w:lang w:eastAsia="fr-FR"/>
              </w:rPr>
            </w:pPr>
            <w:r w:rsidRPr="002E4AA9">
              <w:rPr>
                <w:rFonts w:ascii="Times New Roman" w:eastAsia="Times New Roman" w:hAnsi="Times New Roman"/>
                <w:color w:val="000000"/>
                <w:sz w:val="24"/>
                <w:szCs w:val="24"/>
                <w:lang w:eastAsia="fr-FR"/>
              </w:rPr>
              <w:t>2015</w:t>
            </w:r>
          </w:p>
        </w:tc>
        <w:tc>
          <w:tcPr>
            <w:tcW w:w="2127" w:type="dxa"/>
            <w:shd w:val="clear" w:color="auto" w:fill="FFFF00"/>
            <w:vAlign w:val="center"/>
          </w:tcPr>
          <w:p w14:paraId="4970EF3A" w14:textId="3A2ADDCC" w:rsidR="00D31C6C" w:rsidRPr="001837DD" w:rsidRDefault="009168F3" w:rsidP="00297ED9">
            <w:pPr>
              <w:spacing w:after="0" w:line="240" w:lineRule="auto"/>
              <w:jc w:val="both"/>
              <w:rPr>
                <w:rFonts w:ascii="Times New Roman" w:eastAsia="Times New Roman" w:hAnsi="Times New Roman"/>
                <w:sz w:val="24"/>
                <w:szCs w:val="24"/>
                <w:lang w:eastAsia="fr-FR"/>
              </w:rPr>
            </w:pPr>
            <w:r w:rsidRPr="00852467">
              <w:rPr>
                <w:rFonts w:ascii="Times New Roman" w:hAnsi="Times New Roman"/>
                <w:kern w:val="22"/>
                <w:sz w:val="24"/>
                <w:szCs w:val="24"/>
                <w:lang w:val="fr-CA"/>
              </w:rPr>
              <w:t xml:space="preserve">Progrès accomplis en vue d’atteindre l’objectif, mais </w:t>
            </w:r>
            <w:r>
              <w:rPr>
                <w:rFonts w:ascii="Times New Roman" w:hAnsi="Times New Roman"/>
                <w:kern w:val="22"/>
                <w:sz w:val="24"/>
                <w:szCs w:val="24"/>
                <w:lang w:val="fr-CA"/>
              </w:rPr>
              <w:t>à un rythme insuffisant</w:t>
            </w:r>
          </w:p>
        </w:tc>
      </w:tr>
    </w:tbl>
    <w:p w14:paraId="025DC5A3" w14:textId="77777777" w:rsidR="00D31C6C" w:rsidRDefault="00D31C6C" w:rsidP="00D31C6C">
      <w:pPr>
        <w:spacing w:after="0" w:line="240" w:lineRule="auto"/>
        <w:jc w:val="both"/>
        <w:rPr>
          <w:rFonts w:ascii="Times New Roman" w:hAnsi="Times New Roman"/>
          <w:iCs/>
          <w:sz w:val="24"/>
          <w:szCs w:val="24"/>
          <w:lang w:val="fr-CA"/>
        </w:rPr>
      </w:pPr>
    </w:p>
    <w:p w14:paraId="6273A507" w14:textId="77777777" w:rsidR="007475D1" w:rsidRPr="00FF3BAC" w:rsidRDefault="007475D1" w:rsidP="007475D1">
      <w:pPr>
        <w:spacing w:after="0" w:line="240" w:lineRule="auto"/>
        <w:jc w:val="both"/>
        <w:rPr>
          <w:rFonts w:ascii="Times New Roman" w:hAnsi="Times New Roman" w:cs="Times New Roman"/>
          <w:iCs/>
          <w:sz w:val="24"/>
          <w:szCs w:val="24"/>
          <w:lang w:val="fr-CA"/>
        </w:rPr>
      </w:pPr>
      <w:r w:rsidRPr="00FF3BAC">
        <w:rPr>
          <w:rFonts w:ascii="Times New Roman" w:hAnsi="Times New Roman" w:cs="Times New Roman"/>
          <w:iCs/>
          <w:sz w:val="24"/>
          <w:szCs w:val="24"/>
          <w:lang w:val="fr-CA"/>
        </w:rPr>
        <w:t>Considérant le nombre de structures qui mettent en œuvre les 20 objectifs nationaux, il apparait que les objectifs les mieux implémentés (plus d’acteurs, plus d’actions) sont respectivement les objectif</w:t>
      </w:r>
      <w:r w:rsidR="00D35C8A">
        <w:rPr>
          <w:rFonts w:ascii="Times New Roman" w:hAnsi="Times New Roman" w:cs="Times New Roman"/>
          <w:iCs/>
          <w:sz w:val="24"/>
          <w:szCs w:val="24"/>
          <w:lang w:val="fr-CA"/>
        </w:rPr>
        <w:t>s</w:t>
      </w:r>
      <w:r w:rsidRPr="00FF3BAC">
        <w:rPr>
          <w:rFonts w:ascii="Times New Roman" w:hAnsi="Times New Roman" w:cs="Times New Roman"/>
          <w:iCs/>
          <w:sz w:val="24"/>
          <w:szCs w:val="24"/>
          <w:lang w:val="fr-CA"/>
        </w:rPr>
        <w:t xml:space="preserve"> 1, 7, 5, 6, 2, 8, 4, 9, et 3 </w:t>
      </w:r>
      <w:r w:rsidRPr="00542A1C">
        <w:rPr>
          <w:rFonts w:ascii="Times New Roman" w:hAnsi="Times New Roman" w:cs="Times New Roman"/>
          <w:iCs/>
          <w:sz w:val="24"/>
          <w:szCs w:val="24"/>
          <w:lang w:val="fr-CA"/>
        </w:rPr>
        <w:t>(Figure</w:t>
      </w:r>
      <w:r w:rsidR="00542A1C" w:rsidRPr="00542A1C">
        <w:rPr>
          <w:rFonts w:ascii="Times New Roman" w:hAnsi="Times New Roman" w:cs="Times New Roman"/>
          <w:iCs/>
          <w:sz w:val="24"/>
          <w:szCs w:val="24"/>
          <w:lang w:val="fr-CA"/>
        </w:rPr>
        <w:t xml:space="preserve"> 11</w:t>
      </w:r>
      <w:r w:rsidRPr="00542A1C">
        <w:rPr>
          <w:rFonts w:ascii="Times New Roman" w:hAnsi="Times New Roman" w:cs="Times New Roman"/>
          <w:iCs/>
          <w:sz w:val="24"/>
          <w:szCs w:val="24"/>
          <w:lang w:val="fr-CA"/>
        </w:rPr>
        <w:t>).</w:t>
      </w:r>
      <w:r w:rsidRPr="00FF3BAC">
        <w:rPr>
          <w:rFonts w:ascii="Times New Roman" w:hAnsi="Times New Roman" w:cs="Times New Roman"/>
          <w:iCs/>
          <w:sz w:val="24"/>
          <w:szCs w:val="24"/>
          <w:lang w:val="fr-CA"/>
        </w:rPr>
        <w:t xml:space="preserve"> Il s’agit des objectifs pour lesquels les mesures présentées ci-dessus sont les plus liées. Ces actions sont entreprises sur le terrain essentiellement par les les ONG et l’administration publique.</w:t>
      </w:r>
    </w:p>
    <w:p w14:paraId="098EDAD6" w14:textId="77777777" w:rsidR="007475D1" w:rsidRPr="00E10787" w:rsidRDefault="007475D1" w:rsidP="007475D1">
      <w:pPr>
        <w:autoSpaceDE w:val="0"/>
        <w:autoSpaceDN w:val="0"/>
        <w:adjustRightInd w:val="0"/>
        <w:spacing w:after="0" w:line="240" w:lineRule="auto"/>
        <w:jc w:val="both"/>
        <w:rPr>
          <w:rFonts w:ascii="Times New Roman" w:hAnsi="Times New Roman" w:cs="Times New Roman"/>
          <w:iCs/>
          <w:sz w:val="24"/>
          <w:szCs w:val="24"/>
          <w:lang w:val="fr-CA"/>
        </w:rPr>
      </w:pPr>
    </w:p>
    <w:p w14:paraId="486DED54" w14:textId="77777777" w:rsidR="007475D1" w:rsidRPr="00E10787" w:rsidRDefault="007475D1" w:rsidP="007475D1">
      <w:pPr>
        <w:autoSpaceDE w:val="0"/>
        <w:autoSpaceDN w:val="0"/>
        <w:adjustRightInd w:val="0"/>
        <w:spacing w:after="0" w:line="240" w:lineRule="auto"/>
        <w:jc w:val="center"/>
        <w:rPr>
          <w:rFonts w:ascii="Times New Roman" w:hAnsi="Times New Roman" w:cs="Times New Roman"/>
          <w:iCs/>
          <w:sz w:val="24"/>
          <w:szCs w:val="24"/>
          <w:lang w:val="fr-CA"/>
        </w:rPr>
      </w:pPr>
      <w:r w:rsidRPr="00E10787">
        <w:rPr>
          <w:rFonts w:ascii="Times New Roman" w:hAnsi="Times New Roman" w:cs="Times New Roman"/>
          <w:iCs/>
          <w:noProof/>
          <w:sz w:val="24"/>
          <w:szCs w:val="24"/>
          <w:lang w:eastAsia="fr-FR"/>
        </w:rPr>
        <w:drawing>
          <wp:inline distT="0" distB="0" distL="0" distR="0" wp14:anchorId="0F458F60" wp14:editId="7A9A0633">
            <wp:extent cx="5118100" cy="3213100"/>
            <wp:effectExtent l="0" t="0" r="0" b="0"/>
            <wp:docPr id="17"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2296647" w14:textId="77777777" w:rsidR="007475D1" w:rsidRDefault="007475D1" w:rsidP="00D31C6C">
      <w:pPr>
        <w:spacing w:after="0" w:line="240" w:lineRule="auto"/>
        <w:jc w:val="both"/>
        <w:rPr>
          <w:rFonts w:ascii="Times New Roman" w:hAnsi="Times New Roman"/>
          <w:iCs/>
          <w:sz w:val="24"/>
          <w:szCs w:val="24"/>
          <w:lang w:val="fr-CA"/>
        </w:rPr>
      </w:pPr>
    </w:p>
    <w:p w14:paraId="594574ED" w14:textId="6D2CF775" w:rsidR="00542A1C" w:rsidRDefault="00542A1C" w:rsidP="00542A1C">
      <w:pPr>
        <w:pStyle w:val="Lgende"/>
        <w:rPr>
          <w:rFonts w:ascii="Times New Roman" w:hAnsi="Times New Roman"/>
          <w:sz w:val="24"/>
          <w:szCs w:val="24"/>
        </w:rPr>
      </w:pPr>
      <w:bookmarkStart w:id="52" w:name="_Toc533413499"/>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11</w:t>
      </w:r>
      <w:r w:rsidR="00620BEA" w:rsidRPr="00542A1C">
        <w:rPr>
          <w:rFonts w:ascii="Times New Roman" w:hAnsi="Times New Roman"/>
          <w:sz w:val="24"/>
          <w:szCs w:val="24"/>
        </w:rPr>
        <w:fldChar w:fldCharType="end"/>
      </w:r>
      <w:r w:rsidRPr="00542A1C">
        <w:rPr>
          <w:rFonts w:ascii="Times New Roman" w:hAnsi="Times New Roman"/>
          <w:sz w:val="24"/>
          <w:szCs w:val="24"/>
        </w:rPr>
        <w:t>: Niveau d’implication des structures pour la mise en œuvre des objectifs nationaux de la biodiversité</w:t>
      </w:r>
      <w:bookmarkEnd w:id="52"/>
    </w:p>
    <w:p w14:paraId="18C8491A" w14:textId="77777777" w:rsidR="00BB2C19" w:rsidRPr="00BB2C19" w:rsidRDefault="00BB2C19" w:rsidP="00BB2C19"/>
    <w:p w14:paraId="58A39EB5" w14:textId="77777777" w:rsidR="00D31C6C" w:rsidRPr="0090672F" w:rsidRDefault="00D31C6C" w:rsidP="00A05444">
      <w:pPr>
        <w:spacing w:after="0" w:line="240" w:lineRule="auto"/>
        <w:outlineLvl w:val="2"/>
        <w:rPr>
          <w:rFonts w:ascii="Times New Roman" w:hAnsi="Times New Roman" w:cs="Times New Roman"/>
          <w:b/>
          <w:iCs/>
          <w:sz w:val="24"/>
          <w:szCs w:val="24"/>
          <w:lang w:val="fr-CA"/>
        </w:rPr>
      </w:pPr>
      <w:bookmarkStart w:id="53" w:name="_Toc533413761"/>
      <w:r w:rsidRPr="0090672F">
        <w:rPr>
          <w:rFonts w:ascii="Times New Roman" w:hAnsi="Times New Roman" w:cs="Times New Roman"/>
          <w:b/>
          <w:iCs/>
          <w:sz w:val="24"/>
          <w:szCs w:val="24"/>
          <w:lang w:val="fr-CA"/>
        </w:rPr>
        <w:t>3.2.2. Renseignements et justification des choix du niveau des progrès réalisés pour la mise en œuvre des objectifs nationaux pour la biodiversité</w:t>
      </w:r>
      <w:bookmarkEnd w:id="53"/>
    </w:p>
    <w:p w14:paraId="180C7433" w14:textId="77777777" w:rsidR="00D31C6C" w:rsidRPr="0090672F" w:rsidRDefault="00D31C6C" w:rsidP="0090672F">
      <w:pPr>
        <w:spacing w:after="0" w:line="240" w:lineRule="auto"/>
        <w:jc w:val="both"/>
        <w:rPr>
          <w:rFonts w:ascii="Times New Roman" w:hAnsi="Times New Roman" w:cs="Times New Roman"/>
          <w:iCs/>
          <w:sz w:val="24"/>
          <w:szCs w:val="24"/>
          <w:lang w:val="fr-CA"/>
        </w:rPr>
      </w:pPr>
    </w:p>
    <w:p w14:paraId="30D29854" w14:textId="77777777" w:rsidR="00D31C6C" w:rsidRPr="0090672F" w:rsidRDefault="00D31C6C" w:rsidP="0090672F">
      <w:pPr>
        <w:spacing w:after="0" w:line="240" w:lineRule="auto"/>
        <w:jc w:val="both"/>
        <w:rPr>
          <w:rFonts w:ascii="Times New Roman" w:hAnsi="Times New Roman" w:cs="Times New Roman"/>
          <w:b/>
          <w:i/>
          <w:color w:val="0070C0"/>
          <w:sz w:val="24"/>
          <w:szCs w:val="24"/>
        </w:rPr>
      </w:pPr>
      <w:r w:rsidRPr="0090672F">
        <w:rPr>
          <w:rFonts w:ascii="Times New Roman" w:hAnsi="Times New Roman" w:cs="Times New Roman"/>
          <w:b/>
          <w:i/>
          <w:color w:val="0070C0"/>
          <w:sz w:val="24"/>
          <w:szCs w:val="24"/>
        </w:rPr>
        <w:t>Objectif 1. Développer une approche intégrée de sensibilisation pour que d’ici 2020, 50% de la population togolaise soit mobilisée pour la conservation et l’utilisation durable de la biodiversité</w:t>
      </w:r>
    </w:p>
    <w:p w14:paraId="1A2A9327" w14:textId="77777777" w:rsidR="00D31C6C" w:rsidRPr="0090672F" w:rsidRDefault="00D31C6C" w:rsidP="0090672F">
      <w:pPr>
        <w:spacing w:after="0" w:line="240" w:lineRule="auto"/>
        <w:jc w:val="both"/>
        <w:rPr>
          <w:rFonts w:ascii="Times New Roman" w:hAnsi="Times New Roman" w:cs="Times New Roman"/>
          <w:iCs/>
          <w:sz w:val="24"/>
          <w:szCs w:val="24"/>
          <w:lang w:val="fr-CA"/>
        </w:rPr>
      </w:pPr>
    </w:p>
    <w:p w14:paraId="6E5C0154" w14:textId="77777777" w:rsidR="00D31C6C" w:rsidRPr="0090672F" w:rsidRDefault="00D31C6C" w:rsidP="0090672F">
      <w:pPr>
        <w:spacing w:after="0" w:line="240" w:lineRule="auto"/>
        <w:jc w:val="both"/>
        <w:rPr>
          <w:rFonts w:ascii="Times New Roman" w:hAnsi="Times New Roman" w:cs="Times New Roman"/>
          <w:sz w:val="24"/>
          <w:szCs w:val="24"/>
        </w:rPr>
      </w:pPr>
      <w:r w:rsidRPr="0090672F">
        <w:rPr>
          <w:rFonts w:ascii="Times New Roman" w:hAnsi="Times New Roman" w:cs="Times New Roman"/>
          <w:iCs/>
          <w:sz w:val="24"/>
          <w:szCs w:val="24"/>
          <w:lang w:val="fr-CA"/>
        </w:rPr>
        <w:t>D</w:t>
      </w:r>
      <w:r w:rsidRPr="0090672F">
        <w:rPr>
          <w:rFonts w:ascii="Times New Roman" w:hAnsi="Times New Roman" w:cs="Times New Roman"/>
          <w:sz w:val="24"/>
          <w:szCs w:val="24"/>
        </w:rPr>
        <w:t>epuis l’élaboration de la SPANB en 2013, le gouvernement togolais a mis un accent particulier sur la gestion participative impliquant de ce fait la prise en compte des droits des communautés dans la gestion des écosystèmes et du milieu naturel. Pour pouvoir assumer cette fonction, le gouvernement avec l’appui des partenaires techniques et financiers et la société civile, a mené des actions devant permettre à toutes les parties prenantes de prendre conscience de leur rôle dans la conservation de la biodiversité et avoir des connaissances leur permettant d'y contribuer.</w:t>
      </w:r>
    </w:p>
    <w:p w14:paraId="5AABDC44" w14:textId="77777777" w:rsidR="00D31C6C" w:rsidRPr="0090672F" w:rsidRDefault="00D31C6C" w:rsidP="0090672F">
      <w:pPr>
        <w:spacing w:after="0" w:line="240" w:lineRule="auto"/>
        <w:jc w:val="both"/>
        <w:rPr>
          <w:rFonts w:ascii="Times New Roman" w:hAnsi="Times New Roman" w:cs="Times New Roman"/>
          <w:sz w:val="24"/>
          <w:szCs w:val="24"/>
        </w:rPr>
      </w:pPr>
    </w:p>
    <w:p w14:paraId="0E2DF426" w14:textId="77777777" w:rsidR="00D31C6C" w:rsidRPr="0090672F" w:rsidRDefault="00D31C6C" w:rsidP="0090672F">
      <w:p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A travers les sensibilisations tout azimut (les journées de réflexion, les sensibilisations de masse à travers les caravanes, les causeries-débats, les réunions, les émissions radiotélévisées, les articles, les sketchs, la production et diffusion des affiches et autocollants véhiculant des messages de protection de l’environnement dans les places publiques, les marchés, parkings, les lieux de travail, des postes de péages, des lieux communautaires (chefferie, leaders religieux…), les formations, le développement au niveau des écoles, les collèges et les lycées d’une approche favorisant l’implication et la responsabilisation des élèves et des enseignants dans la restauration et la protection de leur environnement</w:t>
      </w:r>
      <w:r w:rsidRPr="0090672F">
        <w:rPr>
          <w:rFonts w:ascii="Times New Roman" w:hAnsi="Times New Roman" w:cs="Times New Roman"/>
          <w:sz w:val="24"/>
          <w:szCs w:val="24"/>
          <w:lang w:val="fr-BE"/>
        </w:rPr>
        <w:t>,</w:t>
      </w:r>
      <w:r w:rsidRPr="0090672F">
        <w:rPr>
          <w:rFonts w:ascii="Times New Roman" w:hAnsi="Times New Roman" w:cs="Times New Roman"/>
          <w:sz w:val="24"/>
          <w:szCs w:val="24"/>
        </w:rPr>
        <w:t>l’éducation environnementale de masse, et la diffusion des textes et lois en vigueur en matière de protection de l’environnement et de gestion durable de la biodiversité, la plupart des parties prenantes ont eu accès à l'information disponible. A cet effet, les données recueillies auprès des acteurs permettent d’estimer à plus de trois millions d’acteurs qui s’intéressent aux questions de conservation de la biodiversité et à la protection de l’environnement, soit plus de 40% de la population togolaise ont été touchés par cette sensibilisation en 2018.</w:t>
      </w:r>
    </w:p>
    <w:p w14:paraId="13FC084F" w14:textId="77777777" w:rsidR="00D31C6C" w:rsidRPr="0090672F" w:rsidRDefault="00D31C6C" w:rsidP="0090672F">
      <w:pPr>
        <w:spacing w:after="0" w:line="240" w:lineRule="auto"/>
        <w:jc w:val="both"/>
        <w:rPr>
          <w:rFonts w:ascii="Times New Roman" w:hAnsi="Times New Roman" w:cs="Times New Roman"/>
          <w:sz w:val="24"/>
          <w:szCs w:val="24"/>
        </w:rPr>
      </w:pPr>
    </w:p>
    <w:p w14:paraId="46D78282" w14:textId="0A3DF15D" w:rsidR="00D31C6C" w:rsidRPr="0090672F" w:rsidRDefault="00D31C6C" w:rsidP="0090672F">
      <w:p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 xml:space="preserve">Grâce à des sensibilisations/formations, de nombreuses thématiques ont été abordées et ont constitué les sujets d’animation des séances de sensibilisation à l’endroit des acteurs. Il s’agit notamment de la préservation  des espèces animales et végétales en voie de disparition, la protection des oiseaux migrateurs, le reboisement et la réhabilitation des écosystèmes forestiers, la gestion des forêts communautaires et les forêts sacrées, la gestion durable des aires protégées, la modernisation de la filière bois-énergie, l’agro-écologie et l’agro-biodiversité, l’érosion côtière et la gestion des risques et catastrophes, la gestion durable des bas-fonds, les bonnes pratiques de gestion durable des terres, la pollution des sols, la gestion des déchets, la protection et la valorisation des zones et écosystèmes fragiles (berges des cours d’eau, mangrove et flancs de montagne), la prévention des risques biotechnologiques, la conservation de la biodiversité et la lutte contre les changements climatiques et la désertification, les feux de végétation, la surpêche et la gestion de la transhumance. Toutes les initiatives ont été assurées par les </w:t>
      </w:r>
      <w:r w:rsidR="00510C9A">
        <w:rPr>
          <w:rFonts w:ascii="Times New Roman" w:hAnsi="Times New Roman" w:cs="Times New Roman"/>
          <w:sz w:val="24"/>
          <w:szCs w:val="24"/>
        </w:rPr>
        <w:t>services</w:t>
      </w:r>
      <w:r w:rsidRPr="0090672F">
        <w:rPr>
          <w:rFonts w:ascii="Times New Roman" w:hAnsi="Times New Roman" w:cs="Times New Roman"/>
          <w:sz w:val="24"/>
          <w:szCs w:val="24"/>
        </w:rPr>
        <w:t xml:space="preserve"> étatiques, les ONG, les communautés à la base, etc </w:t>
      </w:r>
      <w:r w:rsidRPr="001E4CCD">
        <w:rPr>
          <w:rFonts w:ascii="Times New Roman" w:hAnsi="Times New Roman" w:cs="Times New Roman"/>
          <w:sz w:val="24"/>
          <w:szCs w:val="24"/>
        </w:rPr>
        <w:t>(Figure</w:t>
      </w:r>
      <w:r w:rsidR="00542A1C">
        <w:rPr>
          <w:rFonts w:ascii="Times New Roman" w:hAnsi="Times New Roman" w:cs="Times New Roman"/>
          <w:sz w:val="24"/>
          <w:szCs w:val="24"/>
        </w:rPr>
        <w:t xml:space="preserve"> 12</w:t>
      </w:r>
      <w:r w:rsidRPr="001E4CCD">
        <w:rPr>
          <w:rFonts w:ascii="Times New Roman" w:hAnsi="Times New Roman" w:cs="Times New Roman"/>
          <w:sz w:val="24"/>
          <w:szCs w:val="24"/>
        </w:rPr>
        <w:t>)</w:t>
      </w:r>
      <w:r w:rsidR="00280046">
        <w:rPr>
          <w:rFonts w:ascii="Times New Roman" w:hAnsi="Times New Roman" w:cs="Times New Roman"/>
          <w:sz w:val="24"/>
          <w:szCs w:val="24"/>
        </w:rPr>
        <w:t xml:space="preserve"> </w:t>
      </w:r>
      <w:r w:rsidRPr="001E4CCD">
        <w:rPr>
          <w:rFonts w:ascii="Times New Roman" w:hAnsi="Times New Roman" w:cs="Times New Roman"/>
          <w:sz w:val="24"/>
          <w:szCs w:val="24"/>
        </w:rPr>
        <w:t xml:space="preserve">dans le cadre de nombreux programmes et projets tels que le </w:t>
      </w:r>
      <w:r w:rsidRPr="001E4CCD">
        <w:rPr>
          <w:rFonts w:ascii="Times New Roman" w:hAnsi="Times New Roman" w:cs="Times New Roman"/>
          <w:sz w:val="24"/>
          <w:szCs w:val="24"/>
          <w:lang w:val="fr-BE"/>
        </w:rPr>
        <w:t>Projet de lutte contre</w:t>
      </w:r>
      <w:r w:rsidRPr="0090672F">
        <w:rPr>
          <w:rFonts w:ascii="Times New Roman" w:hAnsi="Times New Roman" w:cs="Times New Roman"/>
          <w:sz w:val="24"/>
          <w:szCs w:val="24"/>
          <w:lang w:val="fr-BE"/>
        </w:rPr>
        <w:t xml:space="preserve"> la traite des enfants dans les régions des Plateaux et Kara/Composante création des espaces verts dans les écoles, le programme REDD+, le Projet PRAPT, les journées du 1</w:t>
      </w:r>
      <w:r w:rsidRPr="0090672F">
        <w:rPr>
          <w:rFonts w:ascii="Times New Roman" w:hAnsi="Times New Roman" w:cs="Times New Roman"/>
          <w:sz w:val="24"/>
          <w:szCs w:val="24"/>
          <w:vertAlign w:val="superscript"/>
          <w:lang w:val="fr-BE"/>
        </w:rPr>
        <w:t>er</w:t>
      </w:r>
      <w:r w:rsidRPr="0090672F">
        <w:rPr>
          <w:rFonts w:ascii="Times New Roman" w:hAnsi="Times New Roman" w:cs="Times New Roman"/>
          <w:sz w:val="24"/>
          <w:szCs w:val="24"/>
          <w:lang w:val="fr-BE"/>
        </w:rPr>
        <w:t xml:space="preserve"> juin (depuis 1977), etc.</w:t>
      </w:r>
    </w:p>
    <w:p w14:paraId="54B69DD3" w14:textId="77777777" w:rsidR="00D31C6C" w:rsidRPr="0090672F" w:rsidRDefault="00D31C6C" w:rsidP="0090672F">
      <w:pPr>
        <w:spacing w:after="0" w:line="240" w:lineRule="auto"/>
        <w:jc w:val="both"/>
        <w:rPr>
          <w:rFonts w:ascii="Times New Roman" w:hAnsi="Times New Roman" w:cs="Times New Roman"/>
          <w:sz w:val="24"/>
          <w:szCs w:val="24"/>
        </w:rPr>
      </w:pPr>
    </w:p>
    <w:p w14:paraId="7CD1975E" w14:textId="77777777" w:rsidR="00D31C6C" w:rsidRPr="0090672F" w:rsidRDefault="00D31C6C" w:rsidP="0090672F">
      <w:pPr>
        <w:spacing w:after="0" w:line="240" w:lineRule="auto"/>
        <w:jc w:val="center"/>
        <w:rPr>
          <w:rFonts w:ascii="Times New Roman" w:hAnsi="Times New Roman" w:cs="Times New Roman"/>
          <w:sz w:val="24"/>
          <w:szCs w:val="24"/>
        </w:rPr>
      </w:pPr>
      <w:r w:rsidRPr="0090672F">
        <w:rPr>
          <w:rFonts w:ascii="Times New Roman" w:hAnsi="Times New Roman" w:cs="Times New Roman"/>
          <w:noProof/>
          <w:sz w:val="24"/>
          <w:szCs w:val="24"/>
          <w:lang w:eastAsia="fr-FR"/>
        </w:rPr>
        <w:drawing>
          <wp:inline distT="0" distB="0" distL="0" distR="0" wp14:anchorId="01ECD8CE" wp14:editId="7645F721">
            <wp:extent cx="5549900" cy="3933825"/>
            <wp:effectExtent l="0" t="0" r="0" b="9525"/>
            <wp:docPr id="19"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549900" cy="3933825"/>
                    </a:xfrm>
                    <a:prstGeom prst="rect">
                      <a:avLst/>
                    </a:prstGeom>
                    <a:noFill/>
                    <a:ln w="9525">
                      <a:noFill/>
                      <a:miter lim="800000"/>
                      <a:headEnd/>
                      <a:tailEnd/>
                    </a:ln>
                  </pic:spPr>
                </pic:pic>
              </a:graphicData>
            </a:graphic>
          </wp:inline>
        </w:drawing>
      </w:r>
    </w:p>
    <w:p w14:paraId="0FA8EAAF" w14:textId="722485F0" w:rsidR="00D31C6C" w:rsidRPr="0090672F" w:rsidRDefault="00D31C6C" w:rsidP="00A05444">
      <w:pPr>
        <w:spacing w:after="0" w:line="240" w:lineRule="auto"/>
        <w:jc w:val="center"/>
        <w:rPr>
          <w:rFonts w:ascii="Times New Roman" w:hAnsi="Times New Roman" w:cs="Times New Roman"/>
          <w:b/>
          <w:i/>
          <w:sz w:val="24"/>
          <w:szCs w:val="24"/>
        </w:rPr>
      </w:pPr>
      <w:r w:rsidRPr="0090672F">
        <w:rPr>
          <w:rFonts w:ascii="Times New Roman" w:hAnsi="Times New Roman" w:cs="Times New Roman"/>
          <w:b/>
          <w:i/>
          <w:sz w:val="24"/>
          <w:szCs w:val="24"/>
        </w:rPr>
        <w:t>NB :</w:t>
      </w:r>
      <w:r w:rsidR="0074315E">
        <w:rPr>
          <w:rFonts w:ascii="Times New Roman" w:hAnsi="Times New Roman" w:cs="Times New Roman"/>
          <w:b/>
          <w:i/>
          <w:sz w:val="24"/>
          <w:szCs w:val="24"/>
        </w:rPr>
        <w:t xml:space="preserve"> </w:t>
      </w:r>
      <w:r w:rsidRPr="0090672F">
        <w:rPr>
          <w:rFonts w:ascii="Times New Roman" w:hAnsi="Times New Roman" w:cs="Times New Roman"/>
          <w:b/>
          <w:i/>
          <w:sz w:val="24"/>
          <w:szCs w:val="24"/>
        </w:rPr>
        <w:t>ONG: Organisation Non Gouvernementale ; PTF : Partenaires techniques et Financiers</w:t>
      </w:r>
    </w:p>
    <w:p w14:paraId="5E400707" w14:textId="77777777" w:rsidR="00D31C6C" w:rsidRPr="0090672F" w:rsidRDefault="00D31C6C" w:rsidP="00A05444">
      <w:pPr>
        <w:spacing w:after="0" w:line="240" w:lineRule="auto"/>
        <w:jc w:val="center"/>
        <w:rPr>
          <w:rFonts w:ascii="Times New Roman" w:hAnsi="Times New Roman" w:cs="Times New Roman"/>
          <w:sz w:val="24"/>
          <w:szCs w:val="24"/>
        </w:rPr>
      </w:pPr>
    </w:p>
    <w:p w14:paraId="595A6E02" w14:textId="4F2BC40B" w:rsidR="00542A1C" w:rsidRPr="00542A1C" w:rsidRDefault="00542A1C" w:rsidP="00A05444">
      <w:pPr>
        <w:pStyle w:val="Lgende"/>
        <w:spacing w:after="0"/>
        <w:jc w:val="center"/>
        <w:rPr>
          <w:rFonts w:ascii="Times New Roman" w:hAnsi="Times New Roman"/>
          <w:b w:val="0"/>
          <w:i/>
          <w:color w:val="0070C0"/>
          <w:sz w:val="24"/>
          <w:szCs w:val="24"/>
        </w:rPr>
      </w:pPr>
      <w:bookmarkStart w:id="54" w:name="_Toc533413500"/>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12</w:t>
      </w:r>
      <w:r w:rsidR="00620BEA" w:rsidRPr="00542A1C">
        <w:rPr>
          <w:rFonts w:ascii="Times New Roman" w:hAnsi="Times New Roman"/>
          <w:sz w:val="24"/>
          <w:szCs w:val="24"/>
        </w:rPr>
        <w:fldChar w:fldCharType="end"/>
      </w:r>
      <w:r w:rsidRPr="00542A1C">
        <w:rPr>
          <w:rFonts w:ascii="Times New Roman" w:hAnsi="Times New Roman"/>
          <w:sz w:val="24"/>
          <w:szCs w:val="24"/>
        </w:rPr>
        <w:t>: Actions réalisées par les acteurs et thématiques traitées pour le compte de l’objectif national 1</w:t>
      </w:r>
      <w:bookmarkEnd w:id="54"/>
    </w:p>
    <w:p w14:paraId="7D3B3417" w14:textId="77777777" w:rsidR="00542A1C" w:rsidRDefault="00542A1C" w:rsidP="0090672F">
      <w:pPr>
        <w:spacing w:after="0" w:line="240" w:lineRule="auto"/>
        <w:jc w:val="both"/>
        <w:rPr>
          <w:rFonts w:ascii="Times New Roman" w:hAnsi="Times New Roman" w:cs="Times New Roman"/>
          <w:b/>
          <w:i/>
          <w:color w:val="0070C0"/>
          <w:sz w:val="24"/>
          <w:szCs w:val="24"/>
        </w:rPr>
      </w:pPr>
    </w:p>
    <w:p w14:paraId="634A4FBD" w14:textId="05613908" w:rsidR="00D31C6C" w:rsidRPr="0090672F" w:rsidRDefault="00D31C6C" w:rsidP="0090672F">
      <w:pPr>
        <w:spacing w:after="0" w:line="240" w:lineRule="auto"/>
        <w:jc w:val="both"/>
        <w:rPr>
          <w:rFonts w:ascii="Times New Roman" w:hAnsi="Times New Roman" w:cs="Times New Roman"/>
          <w:b/>
          <w:i/>
          <w:color w:val="0070C0"/>
          <w:sz w:val="24"/>
          <w:szCs w:val="24"/>
        </w:rPr>
      </w:pPr>
      <w:r w:rsidRPr="0090672F">
        <w:rPr>
          <w:rFonts w:ascii="Times New Roman" w:hAnsi="Times New Roman" w:cs="Times New Roman"/>
          <w:b/>
          <w:i/>
          <w:color w:val="0070C0"/>
          <w:sz w:val="24"/>
          <w:szCs w:val="24"/>
        </w:rPr>
        <w:t>Objectif 2. Faire de la biodiversité d’ici à 2018 une priorité que les décideurs et les parties prenantes intègrent aux stratégies, plans, programmes nationaux, sectoriels, et locaux de développement et de lutte contre la pauvreté, en incorporant les valeurs de la biodiversité dans les compte</w:t>
      </w:r>
      <w:r w:rsidR="00280046">
        <w:rPr>
          <w:rFonts w:ascii="Times New Roman" w:hAnsi="Times New Roman" w:cs="Times New Roman"/>
          <w:b/>
          <w:i/>
          <w:color w:val="0070C0"/>
          <w:sz w:val="24"/>
          <w:szCs w:val="24"/>
        </w:rPr>
        <w:t>s</w:t>
      </w:r>
      <w:r w:rsidRPr="0090672F">
        <w:rPr>
          <w:rFonts w:ascii="Times New Roman" w:hAnsi="Times New Roman" w:cs="Times New Roman"/>
          <w:b/>
          <w:i/>
          <w:color w:val="0070C0"/>
          <w:sz w:val="24"/>
          <w:szCs w:val="24"/>
        </w:rPr>
        <w:t xml:space="preserve"> dans les comptes nationaux</w:t>
      </w:r>
    </w:p>
    <w:p w14:paraId="34E1E964" w14:textId="77777777" w:rsidR="00D31C6C" w:rsidRPr="0090672F" w:rsidRDefault="00D31C6C" w:rsidP="0090672F">
      <w:pPr>
        <w:spacing w:after="0" w:line="240" w:lineRule="auto"/>
        <w:jc w:val="both"/>
        <w:rPr>
          <w:rFonts w:ascii="Times New Roman" w:hAnsi="Times New Roman" w:cs="Times New Roman"/>
          <w:sz w:val="24"/>
          <w:szCs w:val="24"/>
        </w:rPr>
      </w:pPr>
    </w:p>
    <w:p w14:paraId="59C37219" w14:textId="3DD708D8"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 xml:space="preserve">Durant la période 2011-2018, beaucoup de documents nationaux de planification politique et stratégique (stratégies, programmes, plans, etc.) qui intègrent et concourent à la gestion de la biodiversité au Togo ont été élaborés par différentes  services </w:t>
      </w:r>
      <w:r w:rsidR="00510C9A">
        <w:rPr>
          <w:rFonts w:ascii="Times New Roman" w:hAnsi="Times New Roman" w:cs="Times New Roman"/>
          <w:sz w:val="24"/>
          <w:szCs w:val="24"/>
        </w:rPr>
        <w:t>étatiques</w:t>
      </w:r>
      <w:r w:rsidRPr="0090672F">
        <w:rPr>
          <w:rFonts w:ascii="Times New Roman" w:hAnsi="Times New Roman" w:cs="Times New Roman"/>
          <w:sz w:val="24"/>
          <w:szCs w:val="24"/>
        </w:rPr>
        <w:t xml:space="preserve"> ayant pour mandat la protection de l’environnement. Ainsi, il ressort de plus en plus que dans les phases de planification politique et stratégique des différents secteurs connexes au secteur de l’environnement et des ressources naturelles, différentes composantes et valeurs de la biodiversité sont suffisamment considérées et devra permettre à terme d’assurer une meilleure conservation de la biodiversité. Au nombre de ces documents stratégiques et programmes qui ont été élaborés et comportant des composantes et actions en lien avec la préservation de la biodiversité, on peut citer entre autres:</w:t>
      </w:r>
    </w:p>
    <w:p w14:paraId="39FD21F1" w14:textId="77777777" w:rsidR="00D31C6C" w:rsidRPr="0090672F"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la politique forestière et son plan d’action forestier national (2011-2019) ;</w:t>
      </w:r>
    </w:p>
    <w:p w14:paraId="3F0BF3DE" w14:textId="77777777" w:rsidR="00D31C6C" w:rsidRPr="0090672F" w:rsidRDefault="00D31C6C" w:rsidP="00E50666">
      <w:pPr>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la stratégie de Réduction des Emissions issues de la Déforestation et la Dégradation des Forêts (REDD+) ;</w:t>
      </w:r>
    </w:p>
    <w:p w14:paraId="489752E8" w14:textId="77777777" w:rsidR="00D31C6C" w:rsidRPr="0090672F" w:rsidRDefault="00D31C6C" w:rsidP="00E50666">
      <w:pPr>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 programme de Réhabilitation des Aires Protégées ;</w:t>
      </w:r>
    </w:p>
    <w:p w14:paraId="70545E27" w14:textId="77777777" w:rsidR="00D31C6C" w:rsidRPr="0090672F"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la stratégie Nationale pour la Conservation, la Restauration et la Gestion Durable des Mangroves au Togo ;</w:t>
      </w:r>
    </w:p>
    <w:p w14:paraId="6FACF022" w14:textId="77777777" w:rsidR="00D31C6C" w:rsidRPr="0090672F"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 plan d’Action National pour la Gestion des Ressources Environnementales Marines et Côtières (PNM) ;</w:t>
      </w:r>
    </w:p>
    <w:p w14:paraId="58852CD4" w14:textId="77777777" w:rsidR="00D31C6C" w:rsidRPr="0090672F"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la stratégie Nationale de Réduction des Risques et Catastrophes Naturelles au Togo ;</w:t>
      </w:r>
    </w:p>
    <w:p w14:paraId="0815B130" w14:textId="77777777" w:rsidR="00D31C6C" w:rsidRPr="0090672F"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la stratégie Nationale de Gestion des Feux de Végétation ;</w:t>
      </w:r>
    </w:p>
    <w:p w14:paraId="433B2EB1" w14:textId="77777777" w:rsidR="00D31C6C" w:rsidRPr="0090672F"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 plan d’action national d’adaptation aux changements climatique (PANA) ;</w:t>
      </w:r>
    </w:p>
    <w:p w14:paraId="507B153D" w14:textId="77777777" w:rsidR="00D31C6C" w:rsidRPr="0090672F" w:rsidRDefault="00D31C6C" w:rsidP="00E50666">
      <w:pPr>
        <w:numPr>
          <w:ilvl w:val="0"/>
          <w:numId w:val="19"/>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 programme National de Reboisement (PNR) ;</w:t>
      </w:r>
    </w:p>
    <w:p w14:paraId="1CEAB64E" w14:textId="7D7B1E5B" w:rsidR="00D31C6C" w:rsidRPr="0090672F" w:rsidRDefault="00D31C6C" w:rsidP="00E50666">
      <w:pPr>
        <w:numPr>
          <w:ilvl w:val="0"/>
          <w:numId w:val="19"/>
        </w:numPr>
        <w:spacing w:after="0" w:line="240" w:lineRule="auto"/>
        <w:jc w:val="both"/>
        <w:rPr>
          <w:rFonts w:ascii="Times New Roman" w:hAnsi="Times New Roman" w:cs="Times New Roman"/>
          <w:sz w:val="24"/>
          <w:szCs w:val="24"/>
        </w:rPr>
      </w:pPr>
      <w:r w:rsidRPr="0090672F">
        <w:rPr>
          <w:rFonts w:ascii="Times New Roman" w:eastAsia="Times New Roman" w:hAnsi="Times New Roman" w:cs="Times New Roman"/>
          <w:sz w:val="24"/>
          <w:szCs w:val="24"/>
          <w:lang w:eastAsia="fr-FR"/>
        </w:rPr>
        <w:t>le Programme national d'investissement agricole et de sécurité alimentaire et nu</w:t>
      </w:r>
      <w:r w:rsidR="00D35C8A">
        <w:rPr>
          <w:rFonts w:ascii="Times New Roman" w:eastAsia="Times New Roman" w:hAnsi="Times New Roman" w:cs="Times New Roman"/>
          <w:sz w:val="24"/>
          <w:szCs w:val="24"/>
          <w:lang w:eastAsia="fr-FR"/>
        </w:rPr>
        <w:t>tritionnelle (PNIASAN)</w:t>
      </w:r>
      <w:r w:rsidRPr="0090672F">
        <w:rPr>
          <w:rFonts w:ascii="Times New Roman" w:eastAsia="Times New Roman" w:hAnsi="Times New Roman" w:cs="Times New Roman"/>
          <w:sz w:val="24"/>
          <w:szCs w:val="24"/>
          <w:lang w:eastAsia="fr-FR"/>
        </w:rPr>
        <w:t>;</w:t>
      </w:r>
    </w:p>
    <w:p w14:paraId="73608C73" w14:textId="77777777" w:rsidR="00D31C6C" w:rsidRPr="0090672F" w:rsidRDefault="00D31C6C" w:rsidP="00E50666">
      <w:pPr>
        <w:numPr>
          <w:ilvl w:val="0"/>
          <w:numId w:val="19"/>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Stratégie information, éducation et communication (IEC) du MERF ;</w:t>
      </w:r>
    </w:p>
    <w:p w14:paraId="59F907DE" w14:textId="77777777" w:rsidR="00D31C6C" w:rsidRPr="0090672F" w:rsidRDefault="00D35C8A" w:rsidP="00E50666">
      <w:pPr>
        <w:numPr>
          <w:ilvl w:val="0"/>
          <w:numId w:val="1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e</w:t>
      </w:r>
      <w:r w:rsidR="00D31C6C" w:rsidRPr="0090672F">
        <w:rPr>
          <w:rFonts w:ascii="Times New Roman" w:hAnsi="Times New Roman" w:cs="Times New Roman"/>
          <w:sz w:val="24"/>
          <w:szCs w:val="24"/>
        </w:rPr>
        <w:t>tc.</w:t>
      </w:r>
    </w:p>
    <w:p w14:paraId="41AFC5A9" w14:textId="77777777"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p>
    <w:p w14:paraId="0F3EC175" w14:textId="77777777"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En 2011, le Togo a élaboré son Programme National d’Investissements pour l’Environnement et les  Ressources Naturelles au Togo (PNIERN) pour la période 2011-2015 et sa mise en œuvre a permis de créer un environnement favorisant le renforcement de capacités et la durabilité au point de vue financier et technique. Il y a eu notamment le développement significatif des capacités des groupes de parties prenantes visés, tels que les communautés à la base, les organisations non gouvernementales, les entreprises, les chercheurs et les spécialistes de l’environnement, ainsi que les décideurs des organismes publics compétents.</w:t>
      </w:r>
    </w:p>
    <w:p w14:paraId="75906FE8" w14:textId="77777777"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p>
    <w:p w14:paraId="4121FF48" w14:textId="35257CBF"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Tirant des leçons de la mise en œuvre du PNIERN et tenant compte des nouveaux enjeux en matière de développement notamment les Objectifs de développement Durable (ODD), le Plan National de Développement (2018-2022) et au vu des progrès sensibles réalisés (notamment dans le secteur de l’éducation, l’agriculture, l’environnement, la lutte contre la pauvreté, l’inclusion, l’emploi et la croissance économique) et face aux contraintes persistantes, aux nouveaux défis et enjeux socio-économiques et environnementaux, le Togo en 2018 a actualisé le PNIERN qui devient</w:t>
      </w:r>
      <w:r w:rsidR="00510C9A">
        <w:rPr>
          <w:rFonts w:ascii="Times New Roman" w:hAnsi="Times New Roman" w:cs="Times New Roman"/>
          <w:bCs/>
          <w:sz w:val="24"/>
          <w:szCs w:val="24"/>
        </w:rPr>
        <w:t xml:space="preserve"> </w:t>
      </w:r>
      <w:r w:rsidRPr="00961BBC">
        <w:rPr>
          <w:rFonts w:ascii="Times New Roman" w:hAnsi="Times New Roman" w:cs="Times New Roman"/>
          <w:bCs/>
          <w:sz w:val="24"/>
          <w:szCs w:val="24"/>
        </w:rPr>
        <w:t xml:space="preserve"> le Cadre Stratégique d’Investissements pour la Gestion de l’Environnement et des Ressources naturelles au Togo (CSIGERN 2018-2022). Le CSIGERN (2018-2022) consacre la «Gestion durable des écosystèmes terrestres et aquatiques, la préservation de la biodiversité et des services environnementaux» en son axe stratégique 2. Il vise notamment à restaurer davantage les forêts pour contribuer à l’atteinte du taux de couverture de 30% de la superficie du pays à l’horizon 2050, et celle des cibles de neutralité en matière de dégradation des terres. Il s’agit en effet à l’horizon 2022 d’établir un plan opérationnel d’activités sylvicoles dans un esprit de développement durable devant permettre de porter le taux de couverture forestière du pays de 24, 24 à 28% à l’horizon 2022. Le CSIGERN repose sur la mise en œuvre d’instruments  visant à inciter les acteurs publics et privés à joindre les efforts pour valoriser les potentialités environnementales, économiques et sociales du Togo.</w:t>
      </w:r>
    </w:p>
    <w:p w14:paraId="504B4B7E"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739BEE8C" w14:textId="77777777" w:rsidR="00961BBC" w:rsidRPr="006322F6" w:rsidRDefault="00961BBC" w:rsidP="00961BBC">
      <w:pPr>
        <w:autoSpaceDE w:val="0"/>
        <w:autoSpaceDN w:val="0"/>
        <w:adjustRightInd w:val="0"/>
        <w:spacing w:after="0" w:line="240" w:lineRule="auto"/>
        <w:jc w:val="both"/>
        <w:rPr>
          <w:rFonts w:ascii="Times New Roman" w:hAnsi="Times New Roman" w:cs="Times New Roman"/>
          <w:b/>
          <w:i/>
          <w:color w:val="0070C0"/>
          <w:sz w:val="24"/>
          <w:szCs w:val="24"/>
        </w:rPr>
      </w:pPr>
      <w:r w:rsidRPr="006322F6">
        <w:rPr>
          <w:rFonts w:ascii="Times New Roman" w:hAnsi="Times New Roman" w:cs="Times New Roman"/>
          <w:b/>
          <w:i/>
          <w:color w:val="0070C0"/>
          <w:sz w:val="24"/>
          <w:szCs w:val="24"/>
        </w:rPr>
        <w:t>Objectif 3. Elaborer d’ici à 2017 un schéma national d’aménagement du territoire, précisant les zones consacrées à l’agriculture, l’aquaculture, la sylviculture et la conservation de la diversité biologique</w:t>
      </w:r>
    </w:p>
    <w:p w14:paraId="401B5F87"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752CA2D2" w14:textId="62AF33F0" w:rsid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Les actions de préservation de la biodiversité à l’échelle nationale se mènent généralement en harmonie avec le schéma national d’aménagement du territoire qui précise les zones consacrées aux établissements humains, à l’agriculture, l’aquaculture, la sylviculture, la conservation de la diversité biologique, etc. La présence de ce schéma permettrait de renforcer la résilience et la fonctionnalité des écosystèmes par rapport à la conservation de la biodiversité. Ainsi dans le cadre de la politique nationale d’aménagement du territoire du Togo, de nombreuses actions ont été réalisées et il s’agit notamment de:</w:t>
      </w:r>
    </w:p>
    <w:p w14:paraId="4C6F37E4" w14:textId="191391AB"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œuvre de la politique d’aménagement du territoire, aussi bien au niveau central que dans les régions et préfectures (mise en place des organes, création des pôles régionaux de croissanc</w:t>
      </w:r>
      <w:r w:rsidR="00885FA6">
        <w:rPr>
          <w:rFonts w:ascii="Times New Roman" w:hAnsi="Times New Roman" w:cs="Times New Roman"/>
          <w:bCs/>
          <w:sz w:val="24"/>
          <w:szCs w:val="24"/>
        </w:rPr>
        <w:t>e et de développement</w:t>
      </w:r>
      <w:r w:rsidR="00885FA6">
        <w:rPr>
          <w:rStyle w:val="Marquedecommentaire"/>
        </w:rPr>
        <w:t>,</w:t>
      </w:r>
      <w:r w:rsidR="005414FE">
        <w:rPr>
          <w:rFonts w:ascii="Times New Roman" w:hAnsi="Times New Roman" w:cs="Times New Roman"/>
          <w:bCs/>
          <w:sz w:val="24"/>
          <w:szCs w:val="24"/>
        </w:rPr>
        <w:t xml:space="preserve"> </w:t>
      </w:r>
      <w:r w:rsidRPr="00961BBC">
        <w:rPr>
          <w:rFonts w:ascii="Times New Roman" w:hAnsi="Times New Roman" w:cs="Times New Roman"/>
          <w:bCs/>
          <w:sz w:val="24"/>
          <w:szCs w:val="24"/>
        </w:rPr>
        <w:t>actualisation de la base de données et poursuite de la mise en place de la banque de données territoriales et spatiales);</w:t>
      </w:r>
    </w:p>
    <w:p w14:paraId="61C00B5B" w14:textId="77777777"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œuvre de la stratégie de communication sur l’aménagement du territoire;</w:t>
      </w:r>
    </w:p>
    <w:p w14:paraId="1F80809F" w14:textId="7DD59CE1"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 la création de l’observatoire national de l’aménagement du territoire et mise en place depuis 2014 du système d’information géographique à la Direction générale de l’aménagement du territoire et dans les cinq Directions régionale</w:t>
      </w:r>
      <w:r w:rsidR="00280046">
        <w:rPr>
          <w:rFonts w:ascii="Times New Roman" w:hAnsi="Times New Roman" w:cs="Times New Roman"/>
          <w:bCs/>
          <w:sz w:val="24"/>
          <w:szCs w:val="24"/>
        </w:rPr>
        <w:t>s</w:t>
      </w:r>
      <w:r w:rsidRPr="00961BBC">
        <w:rPr>
          <w:rFonts w:ascii="Times New Roman" w:hAnsi="Times New Roman" w:cs="Times New Roman"/>
          <w:bCs/>
          <w:sz w:val="24"/>
          <w:szCs w:val="24"/>
        </w:rPr>
        <w:t xml:space="preserve"> de la planification, du développement et de l’aménagement du territoire;</w:t>
      </w:r>
    </w:p>
    <w:p w14:paraId="1FD31015" w14:textId="77777777"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promulgation en janvier 2016 de la loi portant Loi-cadre sur l’aménagement du territoire;</w:t>
      </w:r>
    </w:p>
    <w:p w14:paraId="7F1CB191" w14:textId="375AEBE4"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L’Elaboration de huit (08) textes d’application de la Loi-cadre validés en atelier national en décembre 2017 et actuellement en cours d’adoption par le Gouvernement;</w:t>
      </w:r>
    </w:p>
    <w:p w14:paraId="0AD513DF" w14:textId="77777777"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en 2016 de la stratégie de communication sur l’aménagement du territoire</w:t>
      </w:r>
    </w:p>
    <w:p w14:paraId="2B67FFCB" w14:textId="77777777"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d’une carte d’occupation du sol du territoire nationale du Togo, des cartes forestières et des potentialités aquacoles du Togo ainsi que les indicateurs d’aménagement du territoire ;</w:t>
      </w:r>
    </w:p>
    <w:p w14:paraId="4FCCE7E9" w14:textId="77777777"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Lancement du projet d’élaboration du Schéma d’aménagement transfrontalier intégré Togo-Burkina Faso ;</w:t>
      </w:r>
    </w:p>
    <w:p w14:paraId="02E9B555" w14:textId="77777777" w:rsidR="00961BBC" w:rsidRPr="00961BBC" w:rsidRDefault="00961BBC" w:rsidP="006322F6">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d’un schéma directeur national de l’aménagement et de la gestion durable des ressources forestières ;</w:t>
      </w:r>
    </w:p>
    <w:p w14:paraId="18D624B6" w14:textId="17C59C20" w:rsidR="00961BBC" w:rsidRPr="00961BBC" w:rsidRDefault="00961BBC" w:rsidP="00F86A39">
      <w:pPr>
        <w:autoSpaceDE w:val="0"/>
        <w:autoSpaceDN w:val="0"/>
        <w:adjustRightInd w:val="0"/>
        <w:spacing w:after="0" w:line="240" w:lineRule="auto"/>
        <w:ind w:left="426" w:hanging="426"/>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de 03 plans directeurs forestiers régionaux (PDFR) notamment pour la région Maritime, la région des Plateaux et la région Centrale;</w:t>
      </w:r>
      <w:r w:rsidR="00F86A39">
        <w:rPr>
          <w:rFonts w:ascii="Times New Roman" w:hAnsi="Times New Roman" w:cs="Times New Roman"/>
          <w:bCs/>
          <w:sz w:val="24"/>
          <w:szCs w:val="24"/>
        </w:rPr>
        <w:t xml:space="preserve"> </w:t>
      </w:r>
      <w:r w:rsidR="000D3C16" w:rsidRPr="00F86A39">
        <w:rPr>
          <w:rFonts w:ascii="Times New Roman" w:hAnsi="Times New Roman" w:cs="Times New Roman"/>
          <w:bCs/>
          <w:sz w:val="24"/>
          <w:szCs w:val="24"/>
        </w:rPr>
        <w:t xml:space="preserve">l’élaboration des termes de référence et le document </w:t>
      </w:r>
      <w:r w:rsidR="00602223" w:rsidRPr="00F86A39">
        <w:rPr>
          <w:rFonts w:ascii="Times New Roman" w:hAnsi="Times New Roman" w:cs="Times New Roman"/>
          <w:bCs/>
          <w:sz w:val="24"/>
          <w:szCs w:val="24"/>
        </w:rPr>
        <w:t xml:space="preserve">de </w:t>
      </w:r>
      <w:r w:rsidR="000D3C16" w:rsidRPr="00F86A39">
        <w:rPr>
          <w:rFonts w:ascii="Times New Roman" w:hAnsi="Times New Roman" w:cs="Times New Roman"/>
          <w:bCs/>
          <w:sz w:val="24"/>
          <w:szCs w:val="24"/>
        </w:rPr>
        <w:t>projets</w:t>
      </w:r>
      <w:r w:rsidR="009168F3" w:rsidRPr="00F86A39">
        <w:rPr>
          <w:rFonts w:ascii="Times New Roman" w:hAnsi="Times New Roman" w:cs="Times New Roman"/>
          <w:bCs/>
          <w:sz w:val="24"/>
          <w:szCs w:val="24"/>
        </w:rPr>
        <w:t xml:space="preserve"> pour l’élaboration du schéma directeur national d’aménagement du territoire</w:t>
      </w:r>
      <w:r w:rsidR="00F86A39">
        <w:rPr>
          <w:rFonts w:ascii="Times New Roman" w:hAnsi="Times New Roman" w:cs="Times New Roman"/>
          <w:bCs/>
          <w:sz w:val="24"/>
          <w:szCs w:val="24"/>
        </w:rPr>
        <w:t xml:space="preserve">, </w:t>
      </w:r>
      <w:r w:rsidRPr="00961BBC">
        <w:rPr>
          <w:rFonts w:ascii="Times New Roman" w:hAnsi="Times New Roman" w:cs="Times New Roman"/>
          <w:bCs/>
          <w:sz w:val="24"/>
          <w:szCs w:val="24"/>
        </w:rPr>
        <w:t>Etc.</w:t>
      </w:r>
    </w:p>
    <w:p w14:paraId="6A4B0FD7"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5CAB8E02" w14:textId="58D156FA"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En guise de sécurisation des zones de conservation de la biodiversité, les limites des aires protégées encore viables ont été</w:t>
      </w:r>
      <w:r w:rsidR="005414FE">
        <w:rPr>
          <w:rFonts w:ascii="Times New Roman" w:hAnsi="Times New Roman" w:cs="Times New Roman"/>
          <w:bCs/>
          <w:sz w:val="24"/>
          <w:szCs w:val="24"/>
        </w:rPr>
        <w:t xml:space="preserve"> </w:t>
      </w:r>
      <w:r w:rsidRPr="00961BBC">
        <w:rPr>
          <w:rFonts w:ascii="Times New Roman" w:hAnsi="Times New Roman" w:cs="Times New Roman"/>
          <w:bCs/>
          <w:sz w:val="24"/>
          <w:szCs w:val="24"/>
        </w:rPr>
        <w:t xml:space="preserve"> matérialisées de façon consensuelle avec les populations riveraines. Ainsi</w:t>
      </w:r>
      <w:r w:rsidR="00602223">
        <w:rPr>
          <w:rFonts w:ascii="Times New Roman" w:hAnsi="Times New Roman" w:cs="Times New Roman"/>
          <w:bCs/>
          <w:sz w:val="24"/>
          <w:szCs w:val="24"/>
        </w:rPr>
        <w:t>,</w:t>
      </w:r>
      <w:r w:rsidR="005414FE">
        <w:rPr>
          <w:rFonts w:ascii="Times New Roman" w:hAnsi="Times New Roman" w:cs="Times New Roman"/>
          <w:bCs/>
          <w:sz w:val="24"/>
          <w:szCs w:val="24"/>
        </w:rPr>
        <w:t xml:space="preserve"> le</w:t>
      </w:r>
      <w:r w:rsidR="00602223">
        <w:rPr>
          <w:rFonts w:ascii="Times New Roman" w:hAnsi="Times New Roman" w:cs="Times New Roman"/>
          <w:bCs/>
          <w:sz w:val="24"/>
          <w:szCs w:val="24"/>
        </w:rPr>
        <w:t xml:space="preserve"> projet «r</w:t>
      </w:r>
      <w:r w:rsidRPr="00961BBC">
        <w:rPr>
          <w:rFonts w:ascii="Times New Roman" w:hAnsi="Times New Roman" w:cs="Times New Roman"/>
          <w:bCs/>
          <w:sz w:val="24"/>
          <w:szCs w:val="24"/>
        </w:rPr>
        <w:t>enforcement du rôle de conservation du système national d’aires protégées (AP) du Togo (PRAPT) a été développé et exécuté de 2012 à 2017. Le PRAPT est appelé à améliorer le cadre juridique, politique et institutionnel pour le patrimoine des A</w:t>
      </w:r>
      <w:r w:rsidR="00602223">
        <w:rPr>
          <w:rFonts w:ascii="Times New Roman" w:hAnsi="Times New Roman" w:cs="Times New Roman"/>
          <w:bCs/>
          <w:sz w:val="24"/>
          <w:szCs w:val="24"/>
        </w:rPr>
        <w:t>P</w:t>
      </w:r>
      <w:r w:rsidRPr="00961BBC">
        <w:rPr>
          <w:rFonts w:ascii="Times New Roman" w:hAnsi="Times New Roman" w:cs="Times New Roman"/>
          <w:bCs/>
          <w:sz w:val="24"/>
          <w:szCs w:val="24"/>
        </w:rPr>
        <w:t xml:space="preserve"> d’une superficie d’environ 578 000 hectares et à la gestion efficace du complexe d’aire protégée du complexe OKM d’une superficie de 179 000 hectares pour contrer les menaces que le braconnage, les feux non contrôlés et le pâturage font peser sur la biodiversité ». Le projet a permis la finalisation du processus de «requalification» du complexe Oti-Kéran-Mandouri (OKM).</w:t>
      </w:r>
    </w:p>
    <w:p w14:paraId="3C73D9F0"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437CA5A7" w14:textId="61436E8E"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Aussi, des discussions ont-elles été engagées avec les populations riveraines et ont permis d’arrêter consensuellement les limites et de borner entièrement les AP Balam</w:t>
      </w:r>
      <w:r w:rsidR="005414FE">
        <w:rPr>
          <w:rFonts w:ascii="Times New Roman" w:hAnsi="Times New Roman" w:cs="Times New Roman"/>
          <w:bCs/>
          <w:sz w:val="24"/>
          <w:szCs w:val="24"/>
        </w:rPr>
        <w:t xml:space="preserve">, </w:t>
      </w:r>
      <w:r w:rsidRPr="00961BBC">
        <w:rPr>
          <w:rFonts w:ascii="Times New Roman" w:hAnsi="Times New Roman" w:cs="Times New Roman"/>
          <w:bCs/>
          <w:sz w:val="24"/>
          <w:szCs w:val="24"/>
        </w:rPr>
        <w:t xml:space="preserve"> Alédjo et</w:t>
      </w:r>
      <w:r w:rsidR="005414FE">
        <w:rPr>
          <w:rFonts w:ascii="Times New Roman" w:hAnsi="Times New Roman" w:cs="Times New Roman"/>
          <w:bCs/>
          <w:sz w:val="24"/>
          <w:szCs w:val="24"/>
        </w:rPr>
        <w:t xml:space="preserve"> </w:t>
      </w:r>
      <w:r w:rsidR="00602223">
        <w:rPr>
          <w:rFonts w:ascii="Times New Roman" w:hAnsi="Times New Roman" w:cs="Times New Roman"/>
          <w:bCs/>
          <w:sz w:val="24"/>
          <w:szCs w:val="24"/>
        </w:rPr>
        <w:t xml:space="preserve"> Fazao-</w:t>
      </w:r>
      <w:r w:rsidRPr="00961BBC">
        <w:rPr>
          <w:rFonts w:ascii="Times New Roman" w:hAnsi="Times New Roman" w:cs="Times New Roman"/>
          <w:bCs/>
          <w:sz w:val="24"/>
          <w:szCs w:val="24"/>
        </w:rPr>
        <w:t>Malfakassa</w:t>
      </w:r>
      <w:r w:rsidR="005414FE">
        <w:rPr>
          <w:rFonts w:ascii="Times New Roman" w:hAnsi="Times New Roman" w:cs="Times New Roman"/>
          <w:bCs/>
          <w:sz w:val="24"/>
          <w:szCs w:val="24"/>
        </w:rPr>
        <w:t>,</w:t>
      </w:r>
      <w:r w:rsidRPr="00961BBC">
        <w:rPr>
          <w:rFonts w:ascii="Times New Roman" w:hAnsi="Times New Roman" w:cs="Times New Roman"/>
          <w:bCs/>
          <w:sz w:val="24"/>
          <w:szCs w:val="24"/>
        </w:rPr>
        <w:t xml:space="preserve"> afin d’éviter tout conflit lié</w:t>
      </w:r>
      <w:r w:rsidR="005414FE">
        <w:rPr>
          <w:rFonts w:ascii="Times New Roman" w:hAnsi="Times New Roman" w:cs="Times New Roman"/>
          <w:bCs/>
          <w:sz w:val="24"/>
          <w:szCs w:val="24"/>
        </w:rPr>
        <w:t xml:space="preserve"> </w:t>
      </w:r>
      <w:r w:rsidRPr="00961BBC">
        <w:rPr>
          <w:rFonts w:ascii="Times New Roman" w:hAnsi="Times New Roman" w:cs="Times New Roman"/>
          <w:bCs/>
          <w:sz w:val="24"/>
          <w:szCs w:val="24"/>
        </w:rPr>
        <w:t>à l’exploitation des terres avec les communautés habitant et exploitant les terres qui faisaient autrefois partie des AP.</w:t>
      </w:r>
      <w:r w:rsidR="005414FE">
        <w:rPr>
          <w:rFonts w:ascii="Times New Roman" w:hAnsi="Times New Roman" w:cs="Times New Roman"/>
          <w:bCs/>
          <w:sz w:val="24"/>
          <w:szCs w:val="24"/>
        </w:rPr>
        <w:t xml:space="preserve"> </w:t>
      </w:r>
      <w:r w:rsidRPr="00961BBC">
        <w:rPr>
          <w:rFonts w:ascii="Times New Roman" w:hAnsi="Times New Roman" w:cs="Times New Roman"/>
          <w:bCs/>
          <w:sz w:val="24"/>
          <w:szCs w:val="24"/>
        </w:rPr>
        <w:t>Des séries de formations ont été également organisées aux niveaux central et local</w:t>
      </w:r>
      <w:r w:rsidR="00B659AA">
        <w:rPr>
          <w:rFonts w:ascii="Times New Roman" w:hAnsi="Times New Roman" w:cs="Times New Roman"/>
          <w:bCs/>
          <w:sz w:val="24"/>
          <w:szCs w:val="24"/>
        </w:rPr>
        <w:t xml:space="preserve"> : formation en </w:t>
      </w:r>
      <w:r w:rsidRPr="00961BBC">
        <w:rPr>
          <w:rFonts w:ascii="Times New Roman" w:hAnsi="Times New Roman" w:cs="Times New Roman"/>
          <w:bCs/>
          <w:sz w:val="24"/>
          <w:szCs w:val="24"/>
        </w:rPr>
        <w:t xml:space="preserve"> évaluation de l’efficacité de g</w:t>
      </w:r>
      <w:r w:rsidR="00B659AA">
        <w:rPr>
          <w:rFonts w:ascii="Times New Roman" w:hAnsi="Times New Roman" w:cs="Times New Roman"/>
          <w:bCs/>
          <w:sz w:val="24"/>
          <w:szCs w:val="24"/>
        </w:rPr>
        <w:t xml:space="preserve">estion des AP par l’outil METT de </w:t>
      </w:r>
      <w:r w:rsidRPr="00961BBC">
        <w:rPr>
          <w:rFonts w:ascii="Times New Roman" w:hAnsi="Times New Roman" w:cs="Times New Roman"/>
          <w:bCs/>
          <w:sz w:val="24"/>
          <w:szCs w:val="24"/>
        </w:rPr>
        <w:t>27 cadres impliqué</w:t>
      </w:r>
      <w:r w:rsidR="00B659AA">
        <w:rPr>
          <w:rFonts w:ascii="Times New Roman" w:hAnsi="Times New Roman" w:cs="Times New Roman"/>
          <w:bCs/>
          <w:sz w:val="24"/>
          <w:szCs w:val="24"/>
        </w:rPr>
        <w:t>s dans la gestion des AP,</w:t>
      </w:r>
      <w:r w:rsidRPr="00961BBC">
        <w:rPr>
          <w:rFonts w:ascii="Times New Roman" w:hAnsi="Times New Roman" w:cs="Times New Roman"/>
          <w:bCs/>
          <w:sz w:val="24"/>
          <w:szCs w:val="24"/>
        </w:rPr>
        <w:t xml:space="preserve"> formation de 40 cadres en techniques de collecte et analyses de données de l’inventaire pédestre de la faune par la méthode « line transect ». La formation de 35 techniciens forestiers sur le suivi écologique en 2018 à Sokodé, puis la formation théorique et pratique sur les PCIV de forêts naturelles et de plantations organisées par l’ODEF en 2014.</w:t>
      </w:r>
    </w:p>
    <w:p w14:paraId="1FEBCCDD"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341F01EB" w14:textId="5467F6FE"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En dehors de ces d</w:t>
      </w:r>
      <w:r w:rsidR="00602223">
        <w:rPr>
          <w:rFonts w:ascii="Times New Roman" w:hAnsi="Times New Roman" w:cs="Times New Roman"/>
          <w:bCs/>
          <w:sz w:val="24"/>
          <w:szCs w:val="24"/>
        </w:rPr>
        <w:t>ispositions, le Ministère de l’a</w:t>
      </w:r>
      <w:r w:rsidRPr="00961BBC">
        <w:rPr>
          <w:rFonts w:ascii="Times New Roman" w:hAnsi="Times New Roman" w:cs="Times New Roman"/>
          <w:bCs/>
          <w:sz w:val="24"/>
          <w:szCs w:val="24"/>
        </w:rPr>
        <w:t>griculture, de l’élevage et de la pêche a identifié des zones d’agriculture intensifiées dénommées agropoles en phase de mise en œuvre</w:t>
      </w:r>
      <w:r w:rsidR="00602223">
        <w:rPr>
          <w:rFonts w:ascii="Times New Roman" w:hAnsi="Times New Roman" w:cs="Times New Roman"/>
          <w:bCs/>
          <w:sz w:val="24"/>
          <w:szCs w:val="24"/>
        </w:rPr>
        <w:t xml:space="preserve"> : </w:t>
      </w:r>
      <w:r w:rsidRPr="00961BBC">
        <w:rPr>
          <w:rFonts w:ascii="Times New Roman" w:hAnsi="Times New Roman" w:cs="Times New Roman"/>
          <w:bCs/>
          <w:sz w:val="24"/>
          <w:szCs w:val="24"/>
        </w:rPr>
        <w:t>certains agropoles ont commencé la production et la transformation des produits agricoles. Il s’agit en particulier de l’exploitation et la production du riz à Dapaong,  Mango</w:t>
      </w:r>
      <w:r w:rsidR="00602223">
        <w:rPr>
          <w:rFonts w:ascii="Times New Roman" w:hAnsi="Times New Roman" w:cs="Times New Roman"/>
          <w:bCs/>
          <w:sz w:val="24"/>
          <w:szCs w:val="24"/>
        </w:rPr>
        <w:t>,</w:t>
      </w:r>
      <w:r w:rsidRPr="00961BBC">
        <w:rPr>
          <w:rFonts w:ascii="Times New Roman" w:hAnsi="Times New Roman" w:cs="Times New Roman"/>
          <w:bCs/>
          <w:sz w:val="24"/>
          <w:szCs w:val="24"/>
        </w:rPr>
        <w:t xml:space="preserve"> Mandouri, Kovié, Sotouboua, Agoméglozou, Amou Oblo, etc.</w:t>
      </w:r>
      <w:r w:rsidR="007B6EA5">
        <w:rPr>
          <w:rFonts w:ascii="Times New Roman" w:hAnsi="Times New Roman" w:cs="Times New Roman"/>
          <w:bCs/>
          <w:sz w:val="24"/>
          <w:szCs w:val="24"/>
        </w:rPr>
        <w:t xml:space="preserve"> </w:t>
      </w:r>
      <w:r w:rsidRPr="00961BBC">
        <w:rPr>
          <w:rFonts w:ascii="Times New Roman" w:hAnsi="Times New Roman" w:cs="Times New Roman"/>
          <w:bCs/>
          <w:sz w:val="24"/>
          <w:szCs w:val="24"/>
        </w:rPr>
        <w:t xml:space="preserve"> Il en est de même pour les Zones d’Aménagement Agricoles Planifiées (ZAAP) qui sont des initiatives du Ministère de l’Agriculture, de l’Élevage et de la pêche</w:t>
      </w:r>
      <w:r w:rsidR="007B6EA5">
        <w:rPr>
          <w:rFonts w:ascii="Times New Roman" w:hAnsi="Times New Roman" w:cs="Times New Roman"/>
          <w:bCs/>
          <w:sz w:val="24"/>
          <w:szCs w:val="24"/>
        </w:rPr>
        <w:t xml:space="preserve"> </w:t>
      </w:r>
      <w:r w:rsidRPr="00961BBC">
        <w:rPr>
          <w:rFonts w:ascii="Times New Roman" w:hAnsi="Times New Roman" w:cs="Times New Roman"/>
          <w:bCs/>
          <w:sz w:val="24"/>
          <w:szCs w:val="24"/>
        </w:rPr>
        <w:t>qui ambitionne d’en installer 350 sur toute l’étendue du territoire national. Les ZAAP sont le fruit d’une collaboration e</w:t>
      </w:r>
      <w:r w:rsidR="00707830">
        <w:rPr>
          <w:rFonts w:ascii="Times New Roman" w:hAnsi="Times New Roman" w:cs="Times New Roman"/>
          <w:bCs/>
          <w:sz w:val="24"/>
          <w:szCs w:val="24"/>
        </w:rPr>
        <w:t xml:space="preserve">ntre les cantons disposant d’un </w:t>
      </w:r>
      <w:r w:rsidRPr="00961BBC">
        <w:rPr>
          <w:rFonts w:ascii="Times New Roman" w:hAnsi="Times New Roman" w:cs="Times New Roman"/>
          <w:bCs/>
          <w:sz w:val="24"/>
          <w:szCs w:val="24"/>
        </w:rPr>
        <w:t>minimum de 100 hectares c</w:t>
      </w:r>
      <w:r w:rsidR="00707830">
        <w:rPr>
          <w:rFonts w:ascii="Times New Roman" w:hAnsi="Times New Roman" w:cs="Times New Roman"/>
          <w:bCs/>
          <w:sz w:val="24"/>
          <w:szCs w:val="24"/>
        </w:rPr>
        <w:t>ultivables, le gouvernement et l</w:t>
      </w:r>
      <w:r w:rsidRPr="00961BBC">
        <w:rPr>
          <w:rFonts w:ascii="Times New Roman" w:hAnsi="Times New Roman" w:cs="Times New Roman"/>
          <w:bCs/>
          <w:sz w:val="24"/>
          <w:szCs w:val="24"/>
        </w:rPr>
        <w:t>es associations communautaires.</w:t>
      </w:r>
    </w:p>
    <w:p w14:paraId="249960BA"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2B207692" w14:textId="77777777" w:rsidR="00961BBC" w:rsidRPr="006322F6" w:rsidRDefault="00961BBC" w:rsidP="00961BBC">
      <w:pPr>
        <w:autoSpaceDE w:val="0"/>
        <w:autoSpaceDN w:val="0"/>
        <w:adjustRightInd w:val="0"/>
        <w:spacing w:after="0" w:line="240" w:lineRule="auto"/>
        <w:jc w:val="both"/>
        <w:rPr>
          <w:rFonts w:ascii="Times New Roman" w:hAnsi="Times New Roman" w:cs="Times New Roman"/>
          <w:b/>
          <w:i/>
          <w:color w:val="0070C0"/>
          <w:sz w:val="24"/>
          <w:szCs w:val="24"/>
        </w:rPr>
      </w:pPr>
      <w:r w:rsidRPr="006322F6">
        <w:rPr>
          <w:rFonts w:ascii="Times New Roman" w:hAnsi="Times New Roman" w:cs="Times New Roman"/>
          <w:b/>
          <w:i/>
          <w:color w:val="0070C0"/>
          <w:sz w:val="24"/>
          <w:szCs w:val="24"/>
        </w:rPr>
        <w:t>Objectif 4. Renforcer les cadres juridique, institutionnel et la gouvernance d’ici 2018 afin de créer un environnement favorable à la lutte effective contre l’érosion de la biodiversité</w:t>
      </w:r>
    </w:p>
    <w:p w14:paraId="17717EF5"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27D46F97" w14:textId="26F86E23" w:rsidR="00961BBC" w:rsidRPr="00961BBC" w:rsidRDefault="00961BBC" w:rsidP="0074315E">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Des efforts ont été accomplis depuis 2011 pour</w:t>
      </w:r>
      <w:r w:rsidR="00B659AA">
        <w:rPr>
          <w:rFonts w:ascii="Times New Roman" w:hAnsi="Times New Roman" w:cs="Times New Roman"/>
          <w:bCs/>
          <w:sz w:val="24"/>
          <w:szCs w:val="24"/>
        </w:rPr>
        <w:t xml:space="preserve"> renforcer les cadres juridique</w:t>
      </w:r>
      <w:r w:rsidRPr="00961BBC">
        <w:rPr>
          <w:rFonts w:ascii="Times New Roman" w:hAnsi="Times New Roman" w:cs="Times New Roman"/>
          <w:bCs/>
          <w:sz w:val="24"/>
          <w:szCs w:val="24"/>
        </w:rPr>
        <w:t>, institutionne</w:t>
      </w:r>
      <w:r w:rsidR="00B659AA">
        <w:rPr>
          <w:rFonts w:ascii="Times New Roman" w:hAnsi="Times New Roman" w:cs="Times New Roman"/>
          <w:bCs/>
          <w:sz w:val="24"/>
          <w:szCs w:val="24"/>
        </w:rPr>
        <w:t>l</w:t>
      </w:r>
      <w:r w:rsidRPr="00961BBC">
        <w:rPr>
          <w:rFonts w:ascii="Times New Roman" w:hAnsi="Times New Roman" w:cs="Times New Roman"/>
          <w:bCs/>
          <w:sz w:val="24"/>
          <w:szCs w:val="24"/>
        </w:rPr>
        <w:t xml:space="preserve"> et la gouvernance de la biodiversité nationale. Entre autres actions menées</w:t>
      </w:r>
      <w:r w:rsidR="0074315E">
        <w:rPr>
          <w:rFonts w:ascii="Times New Roman" w:hAnsi="Times New Roman" w:cs="Times New Roman"/>
          <w:bCs/>
          <w:sz w:val="24"/>
          <w:szCs w:val="24"/>
        </w:rPr>
        <w:t xml:space="preserve"> dans ce sens, on peut retenir</w:t>
      </w:r>
      <w:r w:rsidR="00B659AA">
        <w:rPr>
          <w:rFonts w:ascii="Times New Roman" w:hAnsi="Times New Roman" w:cs="Times New Roman"/>
          <w:bCs/>
          <w:sz w:val="24"/>
          <w:szCs w:val="24"/>
        </w:rPr>
        <w:t xml:space="preserve"> entre autres </w:t>
      </w:r>
      <w:r w:rsidR="0074315E">
        <w:rPr>
          <w:rFonts w:ascii="Times New Roman" w:hAnsi="Times New Roman" w:cs="Times New Roman"/>
          <w:bCs/>
          <w:sz w:val="24"/>
          <w:szCs w:val="24"/>
        </w:rPr>
        <w:t>:</w:t>
      </w:r>
    </w:p>
    <w:p w14:paraId="1BC9B592" w14:textId="6A921111"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B659AA" w:rsidRPr="00961BBC">
        <w:rPr>
          <w:rFonts w:ascii="Times New Roman" w:hAnsi="Times New Roman" w:cs="Times New Roman"/>
          <w:bCs/>
          <w:sz w:val="24"/>
          <w:szCs w:val="24"/>
        </w:rPr>
        <w:t xml:space="preserve">l’élaboration du manuel de création et de gestion </w:t>
      </w:r>
      <w:r w:rsidR="00B659AA">
        <w:rPr>
          <w:rFonts w:ascii="Times New Roman" w:hAnsi="Times New Roman" w:cs="Times New Roman"/>
          <w:bCs/>
          <w:sz w:val="24"/>
          <w:szCs w:val="24"/>
        </w:rPr>
        <w:t>des forêts</w:t>
      </w:r>
      <w:r w:rsidR="00B659AA" w:rsidRPr="00961BBC">
        <w:rPr>
          <w:rFonts w:ascii="Times New Roman" w:hAnsi="Times New Roman" w:cs="Times New Roman"/>
          <w:bCs/>
          <w:sz w:val="24"/>
          <w:szCs w:val="24"/>
        </w:rPr>
        <w:t xml:space="preserve"> communautaire</w:t>
      </w:r>
      <w:r w:rsidR="00B659AA">
        <w:rPr>
          <w:rFonts w:ascii="Times New Roman" w:hAnsi="Times New Roman" w:cs="Times New Roman"/>
          <w:bCs/>
          <w:sz w:val="24"/>
          <w:szCs w:val="24"/>
        </w:rPr>
        <w:t>s et les textes juridiques y afférents ;</w:t>
      </w:r>
      <w:r w:rsidRPr="00961BBC">
        <w:rPr>
          <w:rFonts w:ascii="Times New Roman" w:hAnsi="Times New Roman" w:cs="Times New Roman"/>
          <w:bCs/>
          <w:sz w:val="24"/>
          <w:szCs w:val="24"/>
        </w:rPr>
        <w:t xml:space="preserve"> </w:t>
      </w:r>
    </w:p>
    <w:p w14:paraId="244760FB" w14:textId="06E2A72A"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la revue du cadre juridique des aires protégées, </w:t>
      </w:r>
      <w:r w:rsidR="00B659AA">
        <w:rPr>
          <w:rFonts w:ascii="Times New Roman" w:hAnsi="Times New Roman" w:cs="Times New Roman"/>
          <w:bCs/>
          <w:sz w:val="24"/>
          <w:szCs w:val="24"/>
        </w:rPr>
        <w:t>l’</w:t>
      </w:r>
      <w:r w:rsidRPr="00961BBC">
        <w:rPr>
          <w:rFonts w:ascii="Times New Roman" w:hAnsi="Times New Roman" w:cs="Times New Roman"/>
          <w:bCs/>
          <w:sz w:val="24"/>
          <w:szCs w:val="24"/>
        </w:rPr>
        <w:t>analyse des options de classement, de déclassement et requalification et propositi</w:t>
      </w:r>
      <w:r w:rsidR="00B659AA">
        <w:rPr>
          <w:rFonts w:ascii="Times New Roman" w:hAnsi="Times New Roman" w:cs="Times New Roman"/>
          <w:bCs/>
          <w:sz w:val="24"/>
          <w:szCs w:val="24"/>
        </w:rPr>
        <w:t>on d’un cadre amélioré et adapté</w:t>
      </w:r>
      <w:r w:rsidRPr="00961BBC">
        <w:rPr>
          <w:rFonts w:ascii="Times New Roman" w:hAnsi="Times New Roman" w:cs="Times New Roman"/>
          <w:bCs/>
          <w:sz w:val="24"/>
          <w:szCs w:val="24"/>
        </w:rPr>
        <w:t xml:space="preserve"> au contexte de la décentralisation</w:t>
      </w:r>
      <w:r w:rsidR="00B659AA">
        <w:rPr>
          <w:rFonts w:ascii="Times New Roman" w:hAnsi="Times New Roman" w:cs="Times New Roman"/>
          <w:bCs/>
          <w:sz w:val="24"/>
          <w:szCs w:val="24"/>
        </w:rPr>
        <w:t> ;</w:t>
      </w:r>
    </w:p>
    <w:p w14:paraId="616046D6"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l’organisation des ateliers stratégiques et thématiques sur la gestion durable des ressources forestières ;</w:t>
      </w:r>
    </w:p>
    <w:p w14:paraId="458A6EC9" w14:textId="2AA44E1E"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le renforcement des capacités d’acteurs du secteur forestier en procédure judiciaire (juillet 2016) ;</w:t>
      </w:r>
    </w:p>
    <w:p w14:paraId="6AC8F633" w14:textId="4033A40A"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l’élaboration du projet de décret portant création de la réserve de biosphère du </w:t>
      </w:r>
      <w:r w:rsidR="00B659AA">
        <w:rPr>
          <w:rFonts w:ascii="Times New Roman" w:hAnsi="Times New Roman" w:cs="Times New Roman"/>
          <w:bCs/>
          <w:sz w:val="24"/>
          <w:szCs w:val="24"/>
        </w:rPr>
        <w:t xml:space="preserve">Delt du </w:t>
      </w:r>
      <w:r w:rsidRPr="00961BBC">
        <w:rPr>
          <w:rFonts w:ascii="Times New Roman" w:hAnsi="Times New Roman" w:cs="Times New Roman"/>
          <w:bCs/>
          <w:sz w:val="24"/>
          <w:szCs w:val="24"/>
        </w:rPr>
        <w:t>Mono,</w:t>
      </w:r>
    </w:p>
    <w:p w14:paraId="3A99F2EC" w14:textId="2F169CDD" w:rsidR="00961BBC" w:rsidRPr="00961BBC" w:rsidRDefault="00B659AA"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Pr>
          <w:rFonts w:ascii="Times New Roman" w:hAnsi="Times New Roman" w:cs="Times New Roman"/>
          <w:bCs/>
          <w:sz w:val="24"/>
          <w:szCs w:val="24"/>
        </w:rPr>
        <w:t>-</w:t>
      </w:r>
      <w:r>
        <w:rPr>
          <w:rFonts w:ascii="Times New Roman" w:hAnsi="Times New Roman" w:cs="Times New Roman"/>
          <w:bCs/>
          <w:sz w:val="24"/>
          <w:szCs w:val="24"/>
        </w:rPr>
        <w:tab/>
        <w:t>l’adoption de l’a</w:t>
      </w:r>
      <w:r w:rsidR="00961BBC" w:rsidRPr="00961BBC">
        <w:rPr>
          <w:rFonts w:ascii="Times New Roman" w:hAnsi="Times New Roman" w:cs="Times New Roman"/>
          <w:bCs/>
          <w:sz w:val="24"/>
          <w:szCs w:val="24"/>
        </w:rPr>
        <w:t>rrêté portant mise en place des organes de gestion de la réserve de biosphère du Mono ;</w:t>
      </w:r>
    </w:p>
    <w:p w14:paraId="3F090CE5"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signature de l’accord entre les gouvernements de la république du Bénin et la république togolaise sur la mise en place et la gestion de la réserve de biosphère Transfrontière du Mono ;</w:t>
      </w:r>
    </w:p>
    <w:p w14:paraId="594079C4" w14:textId="39C72DEA"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l’ad</w:t>
      </w:r>
      <w:r w:rsidR="00717026">
        <w:rPr>
          <w:rFonts w:ascii="Times New Roman" w:hAnsi="Times New Roman" w:cs="Times New Roman"/>
          <w:bCs/>
          <w:sz w:val="24"/>
          <w:szCs w:val="24"/>
        </w:rPr>
        <w:t>option en 2018 de l’a</w:t>
      </w:r>
      <w:r w:rsidRPr="00961BBC">
        <w:rPr>
          <w:rFonts w:ascii="Times New Roman" w:hAnsi="Times New Roman" w:cs="Times New Roman"/>
          <w:bCs/>
          <w:sz w:val="24"/>
          <w:szCs w:val="24"/>
        </w:rPr>
        <w:t>rrêté portant nomination des membres du secrétariat permanent de la réserve de biosphère du Mono ;</w:t>
      </w:r>
    </w:p>
    <w:p w14:paraId="198C4679"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l’adoption du  moratoire sur l’exportation du faux teck (Pterocarpus erinaceus) ;</w:t>
      </w:r>
    </w:p>
    <w:p w14:paraId="35784382" w14:textId="7B125D60"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l’adoption en 2016 de quatre (04)  arrêtés sur la foresterie communautaire;</w:t>
      </w:r>
    </w:p>
    <w:p w14:paraId="61C2AADD"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l’adoption de l’arrêté portant mise en place du comité scientifique CITES (Arrêté n° 0092/MERF/SG/DRF du 30 juin 2017) ;</w:t>
      </w:r>
    </w:p>
    <w:p w14:paraId="0421DBEC"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de l’avant-projet de loi de mise en œuvre de la convention CITES ;</w:t>
      </w:r>
    </w:p>
    <w:p w14:paraId="21FE94F9"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des projets de décrets portant : (i) la concession d’une aire protégée ; (ii) aménagement des aires protégées à caractère faunique et exploitation de la faune sauvage au Togo ;</w:t>
      </w:r>
    </w:p>
    <w:p w14:paraId="3EA5DCB0" w14:textId="1109B8D5"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des projets d’arrêtés portant : (i) réglementa</w:t>
      </w:r>
      <w:r w:rsidR="00717026">
        <w:rPr>
          <w:rFonts w:ascii="Times New Roman" w:hAnsi="Times New Roman" w:cs="Times New Roman"/>
          <w:bCs/>
          <w:sz w:val="24"/>
          <w:szCs w:val="24"/>
        </w:rPr>
        <w:t>tion sur</w:t>
      </w:r>
      <w:r w:rsidRPr="00961BBC">
        <w:rPr>
          <w:rFonts w:ascii="Times New Roman" w:hAnsi="Times New Roman" w:cs="Times New Roman"/>
          <w:bCs/>
          <w:sz w:val="24"/>
          <w:szCs w:val="24"/>
        </w:rPr>
        <w:t xml:space="preserve"> l’empotage des produits forestiers ligneux pour l’exportation et la réexportation ; (ii) cahier de charges général relatif à la concession des </w:t>
      </w:r>
      <w:r w:rsidR="00717026">
        <w:rPr>
          <w:rFonts w:ascii="Times New Roman" w:hAnsi="Times New Roman" w:cs="Times New Roman"/>
          <w:bCs/>
          <w:sz w:val="24"/>
          <w:szCs w:val="24"/>
        </w:rPr>
        <w:t>AP</w:t>
      </w:r>
      <w:r w:rsidRPr="00961BBC">
        <w:rPr>
          <w:rFonts w:ascii="Times New Roman" w:hAnsi="Times New Roman" w:cs="Times New Roman"/>
          <w:bCs/>
          <w:sz w:val="24"/>
          <w:szCs w:val="24"/>
        </w:rPr>
        <w:t xml:space="preserve"> ;</w:t>
      </w:r>
    </w:p>
    <w:p w14:paraId="7C1029AB"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ratification du protocole de Nagoya sur APA et le protocole de Nagoya-Kuala Lumpur sur la responsabilité et la réparation en cas de dommage résultant de l’utilisation des biotechnologies modernes (le 09 février 2016) ;</w:t>
      </w:r>
    </w:p>
    <w:p w14:paraId="131B8E3E" w14:textId="0A952FFA"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révision de  la loi sur la biosécurité  portant prévention des risques biotechnologiques pour la prise en compte du protocole de Nagoya Kuala Lumpur sur la responsabilité et la réparation ;</w:t>
      </w:r>
    </w:p>
    <w:p w14:paraId="028C7AC7" w14:textId="5F47FA56" w:rsidR="00961BBC" w:rsidRPr="00961BBC" w:rsidRDefault="00717026" w:rsidP="00717026">
      <w:pPr>
        <w:autoSpaceDE w:val="0"/>
        <w:autoSpaceDN w:val="0"/>
        <w:adjustRightInd w:val="0"/>
        <w:spacing w:after="0" w:line="240" w:lineRule="auto"/>
        <w:ind w:left="567" w:hanging="283"/>
        <w:jc w:val="both"/>
        <w:rPr>
          <w:rFonts w:ascii="Times New Roman" w:hAnsi="Times New Roman" w:cs="Times New Roman"/>
          <w:bCs/>
          <w:sz w:val="24"/>
          <w:szCs w:val="24"/>
        </w:rPr>
      </w:pPr>
      <w:r>
        <w:rPr>
          <w:rFonts w:ascii="Times New Roman" w:hAnsi="Times New Roman" w:cs="Times New Roman"/>
          <w:bCs/>
          <w:sz w:val="24"/>
          <w:szCs w:val="24"/>
        </w:rPr>
        <w:t>-</w:t>
      </w:r>
      <w:r>
        <w:rPr>
          <w:rFonts w:ascii="Times New Roman" w:hAnsi="Times New Roman" w:cs="Times New Roman"/>
          <w:bCs/>
          <w:sz w:val="24"/>
          <w:szCs w:val="24"/>
        </w:rPr>
        <w:tab/>
        <w:t>etc.</w:t>
      </w:r>
    </w:p>
    <w:p w14:paraId="624ECA21" w14:textId="7B07A508"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En outre, dans le cadre de l’amélioration de la gouvernance environnementale et de la biodiversité, le Togo a poursuivi la réforme du cadre juridique et institutionnel notamment par</w:t>
      </w:r>
      <w:r w:rsidR="00185CAD">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03AD49C8" w14:textId="4BEA67A4"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la relecture du </w:t>
      </w:r>
      <w:r w:rsidR="00717026">
        <w:rPr>
          <w:rFonts w:ascii="Times New Roman" w:hAnsi="Times New Roman" w:cs="Times New Roman"/>
          <w:bCs/>
          <w:sz w:val="24"/>
          <w:szCs w:val="24"/>
        </w:rPr>
        <w:t>code forestier et de la loi-</w:t>
      </w:r>
      <w:r w:rsidRPr="00961BBC">
        <w:rPr>
          <w:rFonts w:ascii="Times New Roman" w:hAnsi="Times New Roman" w:cs="Times New Roman"/>
          <w:bCs/>
          <w:sz w:val="24"/>
          <w:szCs w:val="24"/>
        </w:rPr>
        <w:t>cadre portant sur l’environnement ;</w:t>
      </w:r>
    </w:p>
    <w:p w14:paraId="29F43674" w14:textId="2F1A5896"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la </w:t>
      </w:r>
      <w:r w:rsidR="00717026">
        <w:rPr>
          <w:rFonts w:ascii="Times New Roman" w:hAnsi="Times New Roman" w:cs="Times New Roman"/>
          <w:bCs/>
          <w:sz w:val="24"/>
          <w:szCs w:val="24"/>
        </w:rPr>
        <w:t xml:space="preserve">création de la </w:t>
      </w:r>
      <w:r w:rsidRPr="00961BBC">
        <w:rPr>
          <w:rFonts w:ascii="Times New Roman" w:hAnsi="Times New Roman" w:cs="Times New Roman"/>
          <w:bCs/>
          <w:sz w:val="24"/>
          <w:szCs w:val="24"/>
        </w:rPr>
        <w:t>commission nationale de développement durable (CNDD)</w:t>
      </w:r>
      <w:r w:rsidR="00717026">
        <w:rPr>
          <w:rFonts w:ascii="Times New Roman" w:hAnsi="Times New Roman" w:cs="Times New Roman"/>
          <w:bCs/>
          <w:sz w:val="24"/>
          <w:szCs w:val="24"/>
        </w:rPr>
        <w:t xml:space="preserve"> par la loi-cadre sur l’environnement </w:t>
      </w:r>
      <w:r w:rsidRPr="00961BBC">
        <w:rPr>
          <w:rFonts w:ascii="Times New Roman" w:hAnsi="Times New Roman" w:cs="Times New Roman"/>
          <w:bCs/>
          <w:sz w:val="24"/>
          <w:szCs w:val="24"/>
        </w:rPr>
        <w:t>;</w:t>
      </w:r>
    </w:p>
    <w:p w14:paraId="18D9CDD8"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l’amélioration du système national de l’évaluation environnementale et sociale et du système national de l’information environnementale ;</w:t>
      </w:r>
    </w:p>
    <w:p w14:paraId="76BA98CE"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généralisation de l’intégration de l’environnement dans les programmes et politiques</w:t>
      </w:r>
    </w:p>
    <w:p w14:paraId="6F84FFA8" w14:textId="77777777" w:rsidR="00961BBC" w:rsidRPr="00961BBC" w:rsidRDefault="00961BBC" w:rsidP="006322F6">
      <w:pPr>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l’élaboration des indicateurs de suivi de l’environnement et l’amélioration du mécanisme de suivi de l’environnement ;</w:t>
      </w:r>
    </w:p>
    <w:p w14:paraId="23FDD7C9" w14:textId="27D843E9" w:rsidR="00961BBC" w:rsidRPr="00961BBC" w:rsidRDefault="00961BBC" w:rsidP="00BB2C19">
      <w:pPr>
        <w:autoSpaceDE w:val="0"/>
        <w:autoSpaceDN w:val="0"/>
        <w:adjustRightInd w:val="0"/>
        <w:spacing w:after="0" w:line="240" w:lineRule="auto"/>
        <w:ind w:left="567" w:hanging="283"/>
        <w:jc w:val="both"/>
        <w:rPr>
          <w:rFonts w:ascii="Times New Roman" w:hAnsi="Times New Roman" w:cs="Times New Roman"/>
          <w:bCs/>
          <w:sz w:val="24"/>
          <w:szCs w:val="24"/>
        </w:rPr>
      </w:pPr>
    </w:p>
    <w:p w14:paraId="5C4C094B" w14:textId="684A9997" w:rsid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r w:rsidRPr="00961BBC">
        <w:rPr>
          <w:rFonts w:ascii="Times New Roman" w:hAnsi="Times New Roman" w:cs="Times New Roman"/>
          <w:bCs/>
          <w:sz w:val="24"/>
          <w:szCs w:val="24"/>
        </w:rPr>
        <w:t xml:space="preserve">Par ailleurs, dans le cadre de l’exécution du projet «Évolution des systèmes d’AP vis-à-vis du changement climatique en Afrique occidentale </w:t>
      </w:r>
      <w:r w:rsidR="00185CAD">
        <w:rPr>
          <w:rFonts w:ascii="Times New Roman" w:hAnsi="Times New Roman" w:cs="Times New Roman"/>
          <w:bCs/>
          <w:sz w:val="24"/>
          <w:szCs w:val="24"/>
        </w:rPr>
        <w:t>(</w:t>
      </w:r>
      <w:r w:rsidR="00185CAD" w:rsidRPr="00961BBC">
        <w:rPr>
          <w:rFonts w:ascii="Times New Roman" w:hAnsi="Times New Roman" w:cs="Times New Roman"/>
          <w:bCs/>
          <w:sz w:val="24"/>
          <w:szCs w:val="24"/>
        </w:rPr>
        <w:t>PARCC</w:t>
      </w:r>
      <w:r w:rsidR="00185CAD">
        <w:rPr>
          <w:rFonts w:ascii="Times New Roman" w:hAnsi="Times New Roman" w:cs="Times New Roman"/>
          <w:bCs/>
          <w:sz w:val="24"/>
          <w:szCs w:val="24"/>
        </w:rPr>
        <w:t xml:space="preserve">) </w:t>
      </w:r>
      <w:r w:rsidRPr="00961BBC">
        <w:rPr>
          <w:rFonts w:ascii="Times New Roman" w:hAnsi="Times New Roman" w:cs="Times New Roman"/>
          <w:bCs/>
          <w:sz w:val="24"/>
          <w:szCs w:val="24"/>
        </w:rPr>
        <w:t>»</w:t>
      </w:r>
      <w:r w:rsidR="00185CAD">
        <w:rPr>
          <w:rFonts w:ascii="Times New Roman" w:hAnsi="Times New Roman" w:cs="Times New Roman"/>
          <w:bCs/>
          <w:sz w:val="24"/>
          <w:szCs w:val="24"/>
        </w:rPr>
        <w:t>,</w:t>
      </w:r>
      <w:r w:rsidR="00185CAD" w:rsidRPr="00185CAD">
        <w:rPr>
          <w:rFonts w:ascii="Times New Roman" w:hAnsi="Times New Roman" w:cs="Times New Roman"/>
          <w:bCs/>
          <w:sz w:val="24"/>
          <w:szCs w:val="24"/>
        </w:rPr>
        <w:t xml:space="preserve"> </w:t>
      </w:r>
      <w:r w:rsidR="00185CAD" w:rsidRPr="00961BBC">
        <w:rPr>
          <w:rFonts w:ascii="Times New Roman" w:hAnsi="Times New Roman" w:cs="Times New Roman"/>
          <w:bCs/>
          <w:sz w:val="24"/>
          <w:szCs w:val="24"/>
        </w:rPr>
        <w:t>(2010 à 2016</w:t>
      </w:r>
      <w:r w:rsidR="00185CAD">
        <w:rPr>
          <w:rFonts w:ascii="Times New Roman" w:hAnsi="Times New Roman" w:cs="Times New Roman"/>
          <w:bCs/>
          <w:sz w:val="24"/>
          <w:szCs w:val="24"/>
        </w:rPr>
        <w:t>,</w:t>
      </w:r>
      <w:r w:rsidRPr="00961BBC">
        <w:rPr>
          <w:rFonts w:ascii="Times New Roman" w:hAnsi="Times New Roman" w:cs="Times New Roman"/>
          <w:bCs/>
          <w:sz w:val="24"/>
          <w:szCs w:val="24"/>
        </w:rPr>
        <w:t xml:space="preserve"> il a été relevé qu’au </w:t>
      </w:r>
      <w:r w:rsidRPr="00AD078A">
        <w:rPr>
          <w:rFonts w:ascii="Times New Roman" w:hAnsi="Times New Roman" w:cs="Times New Roman"/>
          <w:bCs/>
          <w:sz w:val="24"/>
          <w:szCs w:val="24"/>
          <w:highlight w:val="green"/>
        </w:rPr>
        <w:t xml:space="preserve">Togo, 12,8 % du territoire fait déjà partie </w:t>
      </w:r>
      <w:r w:rsidR="00717026" w:rsidRPr="00AD078A">
        <w:rPr>
          <w:rFonts w:ascii="Times New Roman" w:hAnsi="Times New Roman" w:cs="Times New Roman"/>
          <w:bCs/>
          <w:sz w:val="24"/>
          <w:szCs w:val="24"/>
          <w:highlight w:val="green"/>
        </w:rPr>
        <w:t>des AP</w:t>
      </w:r>
      <w:r w:rsidRPr="00AD078A">
        <w:rPr>
          <w:rFonts w:ascii="Times New Roman" w:hAnsi="Times New Roman" w:cs="Times New Roman"/>
          <w:bCs/>
          <w:sz w:val="24"/>
          <w:szCs w:val="24"/>
          <w:highlight w:val="green"/>
        </w:rPr>
        <w:t xml:space="preserve"> et 0,3 % est inclus dans des zones d’importance pour les oiseaux et la biodiversité non encore protégées, selon les données incluses dans la Banque de données mondiale sur les aires protégées (WDPA). Les éléments de conservation considérés incluent toutes les écorégions et types de végétation, ainsi que les distributions actuelles de toutes les espèces d’amphibiens, d’oiseaux et de mammifères présents au Togo, et la distribution future attendue des espèces menacées.</w:t>
      </w:r>
    </w:p>
    <w:p w14:paraId="20C53F39" w14:textId="4A17212F" w:rsidR="00717026" w:rsidRDefault="00717026">
      <w:pPr>
        <w:rPr>
          <w:rFonts w:ascii="Times New Roman" w:hAnsi="Times New Roman" w:cs="Times New Roman"/>
          <w:bCs/>
          <w:sz w:val="24"/>
          <w:szCs w:val="24"/>
        </w:rPr>
      </w:pPr>
      <w:r>
        <w:rPr>
          <w:rFonts w:ascii="Times New Roman" w:hAnsi="Times New Roman" w:cs="Times New Roman"/>
          <w:bCs/>
          <w:sz w:val="24"/>
          <w:szCs w:val="24"/>
        </w:rPr>
        <w:br w:type="page"/>
      </w:r>
    </w:p>
    <w:p w14:paraId="7460D9BE" w14:textId="77777777" w:rsidR="00717026" w:rsidRPr="00961BBC" w:rsidRDefault="00717026" w:rsidP="00961BBC">
      <w:pPr>
        <w:autoSpaceDE w:val="0"/>
        <w:autoSpaceDN w:val="0"/>
        <w:adjustRightInd w:val="0"/>
        <w:spacing w:after="0" w:line="240" w:lineRule="auto"/>
        <w:jc w:val="both"/>
        <w:rPr>
          <w:rFonts w:ascii="Times New Roman" w:hAnsi="Times New Roman" w:cs="Times New Roman"/>
          <w:bCs/>
          <w:sz w:val="24"/>
          <w:szCs w:val="24"/>
        </w:rPr>
      </w:pPr>
    </w:p>
    <w:p w14:paraId="58953E06" w14:textId="77777777" w:rsidR="00961BBC" w:rsidRPr="006322F6" w:rsidRDefault="00961BBC" w:rsidP="00961BBC">
      <w:pPr>
        <w:autoSpaceDE w:val="0"/>
        <w:autoSpaceDN w:val="0"/>
        <w:adjustRightInd w:val="0"/>
        <w:spacing w:after="0" w:line="240" w:lineRule="auto"/>
        <w:jc w:val="both"/>
        <w:rPr>
          <w:rFonts w:ascii="Times New Roman" w:hAnsi="Times New Roman" w:cs="Times New Roman"/>
          <w:b/>
          <w:i/>
          <w:color w:val="0070C0"/>
          <w:sz w:val="24"/>
          <w:szCs w:val="24"/>
        </w:rPr>
      </w:pPr>
      <w:r w:rsidRPr="006322F6">
        <w:rPr>
          <w:rFonts w:ascii="Times New Roman" w:hAnsi="Times New Roman" w:cs="Times New Roman"/>
          <w:b/>
          <w:i/>
          <w:color w:val="0070C0"/>
          <w:sz w:val="24"/>
          <w:szCs w:val="24"/>
        </w:rPr>
        <w:t>Objectif 5.Réduire à l’horizon 2020, le rythme de dégradation et de fragmentation des habitats naturels à 2%</w:t>
      </w:r>
    </w:p>
    <w:p w14:paraId="7079524E"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79576A47" w14:textId="597730C7" w:rsidR="00961BBC" w:rsidRPr="00961BBC" w:rsidRDefault="00575A3B" w:rsidP="00961BBC">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Les d</w:t>
      </w:r>
      <w:r w:rsidR="00961BBC" w:rsidRPr="00961BBC">
        <w:rPr>
          <w:rFonts w:ascii="Times New Roman" w:hAnsi="Times New Roman" w:cs="Times New Roman"/>
          <w:bCs/>
          <w:sz w:val="24"/>
          <w:szCs w:val="24"/>
        </w:rPr>
        <w:t>onnées relatives à la si</w:t>
      </w:r>
      <w:r w:rsidR="00717026">
        <w:rPr>
          <w:rFonts w:ascii="Times New Roman" w:hAnsi="Times New Roman" w:cs="Times New Roman"/>
          <w:bCs/>
          <w:sz w:val="24"/>
          <w:szCs w:val="24"/>
        </w:rPr>
        <w:t>tuation de référence et actuell</w:t>
      </w:r>
      <w:r w:rsidR="00961BBC" w:rsidRPr="00961BBC">
        <w:rPr>
          <w:rFonts w:ascii="Times New Roman" w:hAnsi="Times New Roman" w:cs="Times New Roman"/>
          <w:bCs/>
          <w:sz w:val="24"/>
          <w:szCs w:val="24"/>
        </w:rPr>
        <w:t>e en matière de rythme et de fragmentation des habitats (forêts, zones humides, terres, etc) naturels ne sont pas disponibles pour l’instant. Depuis 2011, plusieurs actions ont été menées pour réduire le rythme de dégradation et de fragmentation des habitats naturels. Les efforts de l’administration et des Organisations de la Société Civile (ONG et Associations) ont permis de sécuriser un peu plus de 60 000 ha de forêts</w:t>
      </w:r>
      <w:r w:rsidR="00717026">
        <w:rPr>
          <w:rFonts w:ascii="Times New Roman" w:hAnsi="Times New Roman" w:cs="Times New Roman"/>
          <w:bCs/>
          <w:sz w:val="24"/>
          <w:szCs w:val="24"/>
        </w:rPr>
        <w:t>,</w:t>
      </w:r>
      <w:r w:rsidR="00961BBC" w:rsidRPr="00961BBC">
        <w:rPr>
          <w:rFonts w:ascii="Times New Roman" w:hAnsi="Times New Roman" w:cs="Times New Roman"/>
          <w:bCs/>
          <w:sz w:val="24"/>
          <w:szCs w:val="24"/>
        </w:rPr>
        <w:t xml:space="preserve"> y compris les zones de protection, dont 20 500 ha pour le compte de l’Etat et 39 500 ha </w:t>
      </w:r>
      <w:r w:rsidR="00717026">
        <w:rPr>
          <w:rFonts w:ascii="Times New Roman" w:hAnsi="Times New Roman" w:cs="Times New Roman"/>
          <w:bCs/>
          <w:sz w:val="24"/>
          <w:szCs w:val="24"/>
        </w:rPr>
        <w:t>pour</w:t>
      </w:r>
      <w:r w:rsidR="00961BBC" w:rsidRPr="00961BBC">
        <w:rPr>
          <w:rFonts w:ascii="Times New Roman" w:hAnsi="Times New Roman" w:cs="Times New Roman"/>
          <w:bCs/>
          <w:sz w:val="24"/>
          <w:szCs w:val="24"/>
        </w:rPr>
        <w:t xml:space="preserve"> le compte des ONG et associations, des particuliers et des communautés locales. Toutes ces superficies de forêts sécurisées représentent environ 4,34 % des terres forestières du pays. Ceci est le fruit des campagnes de sensibilisation et de formation et des actions associées notamment</w:t>
      </w:r>
      <w:r w:rsidR="00717026">
        <w:rPr>
          <w:rFonts w:ascii="Times New Roman" w:hAnsi="Times New Roman" w:cs="Times New Roman"/>
          <w:bCs/>
          <w:sz w:val="24"/>
          <w:szCs w:val="24"/>
        </w:rPr>
        <w:t xml:space="preserve"> </w:t>
      </w:r>
      <w:r w:rsidR="00961BBC" w:rsidRPr="00961BBC">
        <w:rPr>
          <w:rFonts w:ascii="Times New Roman" w:hAnsi="Times New Roman" w:cs="Times New Roman"/>
          <w:bCs/>
          <w:sz w:val="24"/>
          <w:szCs w:val="24"/>
        </w:rPr>
        <w:t>:</w:t>
      </w:r>
    </w:p>
    <w:p w14:paraId="29950E05" w14:textId="4C973109"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lutte contre les feux de brousse (539 animateurs endogènes formés pour relayer l’information au sein de leurs communautés respectives)</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5647A2C4" w14:textId="77777777"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place des comités locaux de gestion des feux de végétation et le renforcement de leurs capacités opérationnelles à travers des ateliers de formation et la fourniture d’équipements de lutte ;</w:t>
      </w:r>
    </w:p>
    <w:p w14:paraId="153C27F3" w14:textId="2371C965"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575A3B">
        <w:rPr>
          <w:rFonts w:ascii="Times New Roman" w:hAnsi="Times New Roman" w:cs="Times New Roman"/>
          <w:bCs/>
          <w:sz w:val="24"/>
          <w:szCs w:val="24"/>
        </w:rPr>
        <w:t xml:space="preserve">les </w:t>
      </w:r>
      <w:r w:rsidR="001B16F2">
        <w:rPr>
          <w:rFonts w:ascii="Times New Roman" w:hAnsi="Times New Roman" w:cs="Times New Roman"/>
          <w:bCs/>
          <w:sz w:val="24"/>
          <w:szCs w:val="24"/>
        </w:rPr>
        <w:t>a</w:t>
      </w:r>
      <w:r w:rsidR="00717026">
        <w:rPr>
          <w:rFonts w:ascii="Times New Roman" w:hAnsi="Times New Roman" w:cs="Times New Roman"/>
          <w:bCs/>
          <w:sz w:val="24"/>
          <w:szCs w:val="24"/>
        </w:rPr>
        <w:t>ctions du micro FEM et du</w:t>
      </w:r>
      <w:r w:rsidRPr="00961BBC">
        <w:rPr>
          <w:rFonts w:ascii="Times New Roman" w:hAnsi="Times New Roman" w:cs="Times New Roman"/>
          <w:bCs/>
          <w:sz w:val="24"/>
          <w:szCs w:val="24"/>
        </w:rPr>
        <w:t xml:space="preserve"> PGICT</w:t>
      </w:r>
      <w:r w:rsidR="00717026">
        <w:rPr>
          <w:rFonts w:ascii="Times New Roman" w:hAnsi="Times New Roman" w:cs="Times New Roman"/>
          <w:bCs/>
          <w:sz w:val="24"/>
          <w:szCs w:val="24"/>
        </w:rPr>
        <w:t> ;</w:t>
      </w:r>
    </w:p>
    <w:p w14:paraId="3FD55A96" w14:textId="77777777"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l’engagement du Togo dans le processus REDD+ et la réalisation des études thématiques dans le cadre de REDD+ et l’élaboration de la stratégie nationale REDD+ ;</w:t>
      </w:r>
    </w:p>
    <w:p w14:paraId="77010701" w14:textId="77777777"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l’adhésion du Togo au programme de définition des cibles de la Neutralité en matière de Dégradation des Terres (NDT) avec la définition des cibles volontaire pour la Neutralité en matière de Dégradation des Terres (NDT) et l’élaboration d’une note politique pour la lutte contre la dégradation des terres et la dégradation des écosystèmes ;</w:t>
      </w:r>
    </w:p>
    <w:p w14:paraId="7D769B62" w14:textId="467D4E3E"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promotion de plus de 2 484 foyers améliorés par ProDRAV3, JVE, etc</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4A33FFB4" w14:textId="77777777"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l’amélioration des techniques de carbonisation au bénéfice de 303 acteurs ;</w:t>
      </w:r>
    </w:p>
    <w:p w14:paraId="47E57508" w14:textId="377960A4"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distribution des kits biogaz pour 120 ménages</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 xml:space="preserve">; </w:t>
      </w:r>
    </w:p>
    <w:p w14:paraId="48C7892D" w14:textId="5111EB36"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promotion de l’apiculture et de l’aquaculture</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29E651F3" w14:textId="680C52FA"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l’appui aux communautés pour la gestion durable des forêts communautaire</w:t>
      </w:r>
      <w:r w:rsidR="00575A3B">
        <w:rPr>
          <w:rFonts w:ascii="Times New Roman" w:hAnsi="Times New Roman" w:cs="Times New Roman"/>
          <w:bCs/>
          <w:sz w:val="24"/>
          <w:szCs w:val="24"/>
        </w:rPr>
        <w:t>s</w:t>
      </w:r>
      <w:r w:rsidRPr="00961BBC">
        <w:rPr>
          <w:rFonts w:ascii="Times New Roman" w:hAnsi="Times New Roman" w:cs="Times New Roman"/>
          <w:bCs/>
          <w:sz w:val="24"/>
          <w:szCs w:val="24"/>
        </w:rPr>
        <w:t xml:space="preserve"> ;</w:t>
      </w:r>
    </w:p>
    <w:p w14:paraId="03E29F83" w14:textId="4896824F"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l’appui à l’ODEF pour le reboisement en essences locales et de mise en défens des forêts naturelles</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280E1BF7" w14:textId="434CC0D6"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l’appui à la restauration </w:t>
      </w:r>
      <w:r w:rsidR="00575A3B">
        <w:rPr>
          <w:rFonts w:ascii="Times New Roman" w:hAnsi="Times New Roman" w:cs="Times New Roman"/>
          <w:bCs/>
          <w:sz w:val="24"/>
          <w:szCs w:val="24"/>
        </w:rPr>
        <w:t xml:space="preserve">à travers la </w:t>
      </w:r>
      <w:r w:rsidRPr="00961BBC">
        <w:rPr>
          <w:rFonts w:ascii="Times New Roman" w:hAnsi="Times New Roman" w:cs="Times New Roman"/>
          <w:bCs/>
          <w:sz w:val="24"/>
          <w:szCs w:val="24"/>
        </w:rPr>
        <w:t>mise en terre des plants pour l’enrichissement</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des forêts galeries dans certaines localités du pays</w:t>
      </w:r>
      <w:r w:rsidR="00717026">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40538F1F" w14:textId="77777777"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place des plantations  à objectif bois-énergie, bois d’œuvre et fourrage ;.</w:t>
      </w:r>
    </w:p>
    <w:p w14:paraId="60A68189" w14:textId="7AD5C1F7"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1B16F2">
        <w:rPr>
          <w:rFonts w:ascii="Times New Roman" w:hAnsi="Times New Roman" w:cs="Times New Roman"/>
          <w:bCs/>
          <w:sz w:val="24"/>
          <w:szCs w:val="24"/>
        </w:rPr>
        <w:t>a</w:t>
      </w:r>
      <w:r w:rsidRPr="00961BBC">
        <w:rPr>
          <w:rFonts w:ascii="Times New Roman" w:hAnsi="Times New Roman" w:cs="Times New Roman"/>
          <w:bCs/>
          <w:sz w:val="24"/>
          <w:szCs w:val="24"/>
        </w:rPr>
        <w:t>ppui aux communautés pour la gestion durable des forêts communautaires ;</w:t>
      </w:r>
    </w:p>
    <w:p w14:paraId="2D684FF4" w14:textId="489DD465"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1B16F2">
        <w:rPr>
          <w:rFonts w:ascii="Times New Roman" w:hAnsi="Times New Roman" w:cs="Times New Roman"/>
          <w:bCs/>
          <w:sz w:val="24"/>
          <w:szCs w:val="24"/>
        </w:rPr>
        <w:t>c</w:t>
      </w:r>
      <w:r w:rsidRPr="00961BBC">
        <w:rPr>
          <w:rFonts w:ascii="Times New Roman" w:hAnsi="Times New Roman" w:cs="Times New Roman"/>
          <w:bCs/>
          <w:sz w:val="24"/>
          <w:szCs w:val="24"/>
        </w:rPr>
        <w:t>élébration de la journée de l’arbre et du mois de l’environnement ;</w:t>
      </w:r>
    </w:p>
    <w:p w14:paraId="15D019E3" w14:textId="69E9F12B"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1B16F2">
        <w:rPr>
          <w:rFonts w:ascii="Times New Roman" w:hAnsi="Times New Roman" w:cs="Times New Roman"/>
          <w:bCs/>
          <w:sz w:val="24"/>
          <w:szCs w:val="24"/>
        </w:rPr>
        <w:t>l</w:t>
      </w:r>
      <w:r w:rsidRPr="00961BBC">
        <w:rPr>
          <w:rFonts w:ascii="Times New Roman" w:hAnsi="Times New Roman" w:cs="Times New Roman"/>
          <w:bCs/>
          <w:sz w:val="24"/>
          <w:szCs w:val="24"/>
        </w:rPr>
        <w:t>’organisation de 2 éditions de la caravane de l’environnement ;</w:t>
      </w:r>
    </w:p>
    <w:p w14:paraId="6B7DCF90" w14:textId="7A27014A" w:rsidR="00961BBC" w:rsidRP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717026">
        <w:rPr>
          <w:rFonts w:ascii="Times New Roman" w:hAnsi="Times New Roman" w:cs="Times New Roman"/>
          <w:bCs/>
          <w:sz w:val="24"/>
          <w:szCs w:val="24"/>
        </w:rPr>
        <w:t>l’</w:t>
      </w:r>
      <w:r w:rsidRPr="00961BBC">
        <w:rPr>
          <w:rFonts w:ascii="Times New Roman" w:hAnsi="Times New Roman" w:cs="Times New Roman"/>
          <w:bCs/>
          <w:sz w:val="24"/>
          <w:szCs w:val="24"/>
        </w:rPr>
        <w:t>aménagement des forêts communautaires d’Alibi1, de</w:t>
      </w:r>
      <w:r w:rsidR="00575A3B">
        <w:rPr>
          <w:rFonts w:ascii="Times New Roman" w:hAnsi="Times New Roman" w:cs="Times New Roman"/>
          <w:bCs/>
          <w:sz w:val="24"/>
          <w:szCs w:val="24"/>
        </w:rPr>
        <w:t xml:space="preserve"> Goubi, de Koussountou, de Bago</w:t>
      </w:r>
      <w:r w:rsidRPr="00961BBC">
        <w:rPr>
          <w:rFonts w:ascii="Times New Roman" w:hAnsi="Times New Roman" w:cs="Times New Roman"/>
          <w:bCs/>
          <w:sz w:val="24"/>
          <w:szCs w:val="24"/>
        </w:rPr>
        <w:t>, Missahoé et le lancement du processus de restauration du paysage forestier dans la préfecture des Lacs à titre pilote dans le cadre du ProREDD ;</w:t>
      </w:r>
    </w:p>
    <w:p w14:paraId="5490A6B2" w14:textId="00089413" w:rsidR="00961BBC" w:rsidRDefault="00961BBC" w:rsidP="006322F6">
      <w:pPr>
        <w:tabs>
          <w:tab w:val="left" w:pos="567"/>
        </w:tabs>
        <w:autoSpaceDE w:val="0"/>
        <w:autoSpaceDN w:val="0"/>
        <w:adjustRightInd w:val="0"/>
        <w:spacing w:after="0" w:line="240" w:lineRule="auto"/>
        <w:ind w:left="567" w:hanging="283"/>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r>
      <w:r w:rsidR="001B16F2">
        <w:rPr>
          <w:rFonts w:ascii="Times New Roman" w:hAnsi="Times New Roman" w:cs="Times New Roman"/>
          <w:bCs/>
          <w:sz w:val="24"/>
          <w:szCs w:val="24"/>
        </w:rPr>
        <w:t>e</w:t>
      </w:r>
      <w:r w:rsidRPr="00961BBC">
        <w:rPr>
          <w:rFonts w:ascii="Times New Roman" w:hAnsi="Times New Roman" w:cs="Times New Roman"/>
          <w:bCs/>
          <w:sz w:val="24"/>
          <w:szCs w:val="24"/>
        </w:rPr>
        <w:t>tc.</w:t>
      </w:r>
    </w:p>
    <w:p w14:paraId="04617243" w14:textId="77777777" w:rsidR="00F60485" w:rsidRPr="00961BBC" w:rsidRDefault="00F60485" w:rsidP="000B6635">
      <w:pPr>
        <w:tabs>
          <w:tab w:val="left" w:pos="567"/>
        </w:tabs>
        <w:autoSpaceDE w:val="0"/>
        <w:autoSpaceDN w:val="0"/>
        <w:adjustRightInd w:val="0"/>
        <w:spacing w:after="0" w:line="240" w:lineRule="auto"/>
        <w:jc w:val="both"/>
        <w:rPr>
          <w:rFonts w:ascii="Times New Roman" w:hAnsi="Times New Roman" w:cs="Times New Roman"/>
          <w:bCs/>
          <w:sz w:val="24"/>
          <w:szCs w:val="24"/>
        </w:rPr>
      </w:pPr>
    </w:p>
    <w:p w14:paraId="2969220C" w14:textId="77777777" w:rsidR="00F60485" w:rsidRPr="00551E40" w:rsidRDefault="00961BBC" w:rsidP="00551E40">
      <w:pPr>
        <w:spacing w:after="0"/>
        <w:jc w:val="both"/>
        <w:rPr>
          <w:rFonts w:ascii="Times New Roman" w:hAnsi="Times New Roman" w:cs="Times New Roman"/>
          <w:b/>
          <w:i/>
          <w:color w:val="0070C0"/>
          <w:sz w:val="24"/>
          <w:szCs w:val="24"/>
        </w:rPr>
      </w:pPr>
      <w:r w:rsidRPr="00551E40">
        <w:rPr>
          <w:rFonts w:ascii="Times New Roman" w:hAnsi="Times New Roman" w:cs="Times New Roman"/>
          <w:b/>
          <w:i/>
          <w:color w:val="0070C0"/>
          <w:sz w:val="24"/>
          <w:szCs w:val="24"/>
        </w:rPr>
        <w:t>Objectif6</w:t>
      </w:r>
      <w:r w:rsidR="006322F6" w:rsidRPr="00551E40">
        <w:rPr>
          <w:rFonts w:ascii="Times New Roman" w:hAnsi="Times New Roman" w:cs="Times New Roman"/>
          <w:b/>
          <w:i/>
          <w:color w:val="0070C0"/>
          <w:sz w:val="24"/>
          <w:szCs w:val="24"/>
        </w:rPr>
        <w:t xml:space="preserve">. </w:t>
      </w:r>
      <w:r w:rsidR="00F60485" w:rsidRPr="00551E40">
        <w:rPr>
          <w:rFonts w:ascii="Times New Roman" w:hAnsi="Times New Roman" w:cs="Times New Roman"/>
          <w:b/>
          <w:i/>
          <w:color w:val="0070C0"/>
          <w:sz w:val="24"/>
          <w:szCs w:val="24"/>
        </w:rPr>
        <w:t>Développer des innovations afin que d’ici à 2020, 50% des agriculteurs togolais adoptent des pratiques agricoles durables et respectueuses de l’environnement</w:t>
      </w:r>
    </w:p>
    <w:p w14:paraId="414BF88E" w14:textId="77777777" w:rsidR="00961BBC" w:rsidRPr="00551E40" w:rsidRDefault="00961BBC" w:rsidP="00551E40">
      <w:pPr>
        <w:autoSpaceDE w:val="0"/>
        <w:autoSpaceDN w:val="0"/>
        <w:adjustRightInd w:val="0"/>
        <w:spacing w:after="0" w:line="240" w:lineRule="auto"/>
        <w:jc w:val="both"/>
        <w:rPr>
          <w:rFonts w:ascii="Times New Roman" w:hAnsi="Times New Roman" w:cs="Times New Roman"/>
          <w:color w:val="0070C0"/>
          <w:sz w:val="24"/>
          <w:szCs w:val="24"/>
        </w:rPr>
      </w:pPr>
    </w:p>
    <w:p w14:paraId="1A8B4365" w14:textId="3D2890E4" w:rsidR="00551E40" w:rsidRPr="00480905" w:rsidRDefault="00551E40" w:rsidP="00551E40">
      <w:pPr>
        <w:spacing w:after="0" w:line="276" w:lineRule="auto"/>
        <w:jc w:val="both"/>
        <w:rPr>
          <w:rFonts w:ascii="Times New Roman" w:eastAsia="Times New Roman" w:hAnsi="Times New Roman" w:cs="Times New Roman"/>
          <w:sz w:val="24"/>
          <w:szCs w:val="24"/>
          <w:lang w:eastAsia="fr-FR"/>
        </w:rPr>
      </w:pPr>
      <w:r w:rsidRPr="00551E40">
        <w:rPr>
          <w:rFonts w:ascii="Times New Roman" w:eastAsia="Times New Roman" w:hAnsi="Times New Roman" w:cs="Times New Roman"/>
          <w:sz w:val="24"/>
          <w:szCs w:val="24"/>
          <w:lang w:eastAsia="fr-FR"/>
        </w:rPr>
        <w:t xml:space="preserve">L’accélération de la dégradation des terres a amené le pays à considérer la résolution du problème comme l’une de ses priorités à travers ses documents de planification stratégiques et </w:t>
      </w:r>
      <w:r w:rsidR="00575A3B">
        <w:rPr>
          <w:rFonts w:ascii="Times New Roman" w:eastAsia="Times New Roman" w:hAnsi="Times New Roman" w:cs="Times New Roman"/>
          <w:sz w:val="24"/>
          <w:szCs w:val="24"/>
          <w:lang w:eastAsia="fr-FR"/>
        </w:rPr>
        <w:t>la mise en oeuvre</w:t>
      </w:r>
      <w:r w:rsidRPr="00551E40">
        <w:rPr>
          <w:rFonts w:ascii="Times New Roman" w:eastAsia="Times New Roman" w:hAnsi="Times New Roman" w:cs="Times New Roman"/>
          <w:sz w:val="24"/>
          <w:szCs w:val="24"/>
          <w:lang w:eastAsia="fr-FR"/>
        </w:rPr>
        <w:t xml:space="preserve"> des proje</w:t>
      </w:r>
      <w:r w:rsidRPr="00E5025B">
        <w:rPr>
          <w:rFonts w:ascii="Times New Roman" w:eastAsia="Times New Roman" w:hAnsi="Times New Roman" w:cs="Times New Roman"/>
          <w:sz w:val="24"/>
          <w:szCs w:val="24"/>
          <w:lang w:eastAsia="fr-FR"/>
        </w:rPr>
        <w:t>ts comme le Projet Gestion Intégrée des Catastrophes et des Terres (PGICT)</w:t>
      </w:r>
      <w:r w:rsidRPr="00C059F3">
        <w:rPr>
          <w:rFonts w:ascii="Times New Roman" w:eastAsia="Times New Roman" w:hAnsi="Times New Roman" w:cs="Times New Roman"/>
          <w:sz w:val="24"/>
          <w:szCs w:val="24"/>
          <w:lang w:eastAsia="fr-FR"/>
        </w:rPr>
        <w:t xml:space="preserve">. </w:t>
      </w:r>
      <w:r w:rsidRPr="00480905">
        <w:rPr>
          <w:rFonts w:ascii="Times New Roman" w:eastAsia="Times New Roman" w:hAnsi="Times New Roman" w:cs="Times New Roman"/>
          <w:sz w:val="24"/>
          <w:szCs w:val="24"/>
          <w:lang w:eastAsia="fr-FR"/>
        </w:rPr>
        <w:t>Suite à u</w:t>
      </w:r>
      <w:r w:rsidRPr="00551E40">
        <w:rPr>
          <w:rFonts w:ascii="Times New Roman" w:eastAsia="Times New Roman" w:hAnsi="Times New Roman" w:cs="Times New Roman"/>
          <w:sz w:val="24"/>
          <w:szCs w:val="24"/>
          <w:lang w:eastAsia="fr-FR"/>
        </w:rPr>
        <w:t xml:space="preserve">ne étude menée par le projet </w:t>
      </w:r>
      <w:r w:rsidRPr="00E5025B">
        <w:rPr>
          <w:rFonts w:ascii="Times New Roman" w:eastAsia="Times New Roman" w:hAnsi="Times New Roman" w:cs="Times New Roman"/>
          <w:sz w:val="24"/>
          <w:szCs w:val="24"/>
          <w:lang w:eastAsia="fr-FR"/>
        </w:rPr>
        <w:t>sur tout le territoire, dix bonnes pratiques de Gestion Durable des Terres ont été retenues en fonction des zones agro-écologiques et consignées dans un catalogue qui fait l’objet de vulgarisation à grande échelle.</w:t>
      </w:r>
      <w:r w:rsidRPr="00480905">
        <w:rPr>
          <w:rFonts w:ascii="Times New Roman" w:eastAsia="Times New Roman" w:hAnsi="Times New Roman" w:cs="Times New Roman"/>
          <w:sz w:val="24"/>
          <w:szCs w:val="24"/>
          <w:lang w:eastAsia="fr-FR"/>
        </w:rPr>
        <w:t>Il s’agit :</w:t>
      </w:r>
    </w:p>
    <w:p w14:paraId="6BA52B11" w14:textId="77777777" w:rsidR="00551E40" w:rsidRPr="00F971D4" w:rsidRDefault="00551E40" w:rsidP="00E50666">
      <w:pPr>
        <w:numPr>
          <w:ilvl w:val="0"/>
          <w:numId w:val="38"/>
        </w:numPr>
        <w:spacing w:after="0" w:line="276" w:lineRule="auto"/>
        <w:jc w:val="both"/>
        <w:rPr>
          <w:rFonts w:ascii="Times New Roman" w:eastAsia="Times New Roman" w:hAnsi="Times New Roman" w:cs="Times New Roman"/>
          <w:sz w:val="24"/>
          <w:szCs w:val="24"/>
          <w:lang w:eastAsia="fr-FR"/>
        </w:rPr>
      </w:pPr>
      <w:r w:rsidRPr="00480905">
        <w:rPr>
          <w:rFonts w:ascii="Times New Roman" w:eastAsia="Times New Roman" w:hAnsi="Times New Roman" w:cs="Times New Roman"/>
          <w:sz w:val="24"/>
          <w:szCs w:val="24"/>
          <w:lang w:eastAsia="fr-FR"/>
        </w:rPr>
        <w:t>de pratiques agronomiques : le compostage, la rotation des cultures ou l’assolemen</w:t>
      </w:r>
      <w:r w:rsidRPr="00F971D4">
        <w:rPr>
          <w:rFonts w:ascii="Times New Roman" w:eastAsia="Times New Roman" w:hAnsi="Times New Roman" w:cs="Times New Roman"/>
          <w:sz w:val="24"/>
          <w:szCs w:val="24"/>
          <w:lang w:eastAsia="fr-FR"/>
        </w:rPr>
        <w:t>t, la jachère améliorée et la gestion intégrée de la fertilité, de l’eau et des ravageurs par les champignons (GIFERC) ;</w:t>
      </w:r>
    </w:p>
    <w:p w14:paraId="3A721FEA" w14:textId="7029ECB0" w:rsidR="00551E40" w:rsidRPr="00F971D4" w:rsidRDefault="00551E40" w:rsidP="00E50666">
      <w:pPr>
        <w:numPr>
          <w:ilvl w:val="0"/>
          <w:numId w:val="38"/>
        </w:numPr>
        <w:spacing w:after="0" w:line="276" w:lineRule="auto"/>
        <w:jc w:val="both"/>
        <w:rPr>
          <w:rFonts w:ascii="Times New Roman" w:eastAsia="Times New Roman" w:hAnsi="Times New Roman" w:cs="Times New Roman"/>
          <w:sz w:val="24"/>
          <w:szCs w:val="24"/>
          <w:lang w:eastAsia="fr-FR"/>
        </w:rPr>
      </w:pPr>
      <w:r w:rsidRPr="00F971D4">
        <w:rPr>
          <w:rFonts w:ascii="Times New Roman" w:eastAsia="Times New Roman" w:hAnsi="Times New Roman" w:cs="Times New Roman"/>
          <w:sz w:val="24"/>
          <w:szCs w:val="24"/>
          <w:lang w:eastAsia="fr-FR"/>
        </w:rPr>
        <w:t>d’aménagements ou de pratiques physiques : aménagement de bas-fon</w:t>
      </w:r>
      <w:r w:rsidR="00717026">
        <w:rPr>
          <w:rFonts w:ascii="Times New Roman" w:eastAsia="Times New Roman" w:hAnsi="Times New Roman" w:cs="Times New Roman"/>
          <w:sz w:val="24"/>
          <w:szCs w:val="24"/>
          <w:lang w:eastAsia="fr-FR"/>
        </w:rPr>
        <w:t>ds, aménagement en terres exondé</w:t>
      </w:r>
      <w:r w:rsidRPr="00F971D4">
        <w:rPr>
          <w:rFonts w:ascii="Times New Roman" w:eastAsia="Times New Roman" w:hAnsi="Times New Roman" w:cs="Times New Roman"/>
          <w:sz w:val="24"/>
          <w:szCs w:val="24"/>
          <w:lang w:eastAsia="fr-FR"/>
        </w:rPr>
        <w:t>s : les cordons pierreux et le labour en courbes de niveau ;</w:t>
      </w:r>
    </w:p>
    <w:p w14:paraId="473F2DD9" w14:textId="77777777" w:rsidR="00551E40" w:rsidRPr="00F971D4" w:rsidRDefault="00551E40" w:rsidP="00E50666">
      <w:pPr>
        <w:numPr>
          <w:ilvl w:val="0"/>
          <w:numId w:val="38"/>
        </w:numPr>
        <w:spacing w:after="0" w:line="276" w:lineRule="auto"/>
        <w:jc w:val="both"/>
        <w:rPr>
          <w:rFonts w:ascii="Times New Roman" w:eastAsia="Times New Roman" w:hAnsi="Times New Roman" w:cs="Times New Roman"/>
          <w:sz w:val="24"/>
          <w:szCs w:val="24"/>
          <w:lang w:eastAsia="fr-FR"/>
        </w:rPr>
      </w:pPr>
      <w:r w:rsidRPr="00F971D4">
        <w:rPr>
          <w:rFonts w:ascii="Times New Roman" w:eastAsia="Times New Roman" w:hAnsi="Times New Roman" w:cs="Times New Roman"/>
          <w:sz w:val="24"/>
          <w:szCs w:val="24"/>
          <w:lang w:eastAsia="fr-FR"/>
        </w:rPr>
        <w:t>de pratiques biologiques ou végétales : le reboisement ;</w:t>
      </w:r>
    </w:p>
    <w:p w14:paraId="5DCEAF81" w14:textId="77777777" w:rsidR="00551E40" w:rsidRPr="00F971D4" w:rsidRDefault="00551E40" w:rsidP="00E50666">
      <w:pPr>
        <w:numPr>
          <w:ilvl w:val="0"/>
          <w:numId w:val="38"/>
        </w:numPr>
        <w:spacing w:after="0" w:line="276" w:lineRule="auto"/>
        <w:jc w:val="both"/>
        <w:rPr>
          <w:rFonts w:ascii="Times New Roman" w:eastAsia="Times New Roman" w:hAnsi="Times New Roman" w:cs="Times New Roman"/>
          <w:sz w:val="24"/>
          <w:szCs w:val="24"/>
          <w:lang w:eastAsia="fr-FR"/>
        </w:rPr>
      </w:pPr>
      <w:r w:rsidRPr="00F971D4">
        <w:rPr>
          <w:rFonts w:ascii="Times New Roman" w:eastAsia="Times New Roman" w:hAnsi="Times New Roman" w:cs="Times New Roman"/>
          <w:sz w:val="24"/>
          <w:szCs w:val="24"/>
          <w:lang w:eastAsia="fr-FR"/>
        </w:rPr>
        <w:t>et d’autres pratiques comme l’utilisation des foyers améliorés et du gaz butane.</w:t>
      </w:r>
    </w:p>
    <w:p w14:paraId="5D2FC140" w14:textId="77777777" w:rsidR="00551E40" w:rsidRPr="00F971D4" w:rsidRDefault="00551E40" w:rsidP="00551E40">
      <w:pPr>
        <w:spacing w:after="0" w:line="276" w:lineRule="auto"/>
        <w:jc w:val="both"/>
        <w:rPr>
          <w:rFonts w:ascii="Times New Roman" w:eastAsia="Times New Roman" w:hAnsi="Times New Roman" w:cs="Times New Roman"/>
          <w:sz w:val="24"/>
          <w:szCs w:val="24"/>
          <w:lang w:eastAsia="fr-FR"/>
        </w:rPr>
      </w:pPr>
    </w:p>
    <w:p w14:paraId="0C15A8D8" w14:textId="136A0511" w:rsidR="00551E40" w:rsidRPr="00F971D4" w:rsidRDefault="00551E40" w:rsidP="00F971D4">
      <w:pPr>
        <w:pStyle w:val="NormalWeb"/>
        <w:spacing w:before="0" w:beforeAutospacing="0" w:after="0" w:afterAutospacing="0" w:line="276" w:lineRule="auto"/>
        <w:jc w:val="both"/>
      </w:pPr>
      <w:r w:rsidRPr="00551E40">
        <w:t>Le PGICT a assuré l’enseignement de toutes ces pratiques à près de 1000 agents des ministères en charge de l’environnement et de l’agriculture, ainsi qu’aux organisations de la société et de développement à la base (niveau communautaire) pour assurer leur diss</w:t>
      </w:r>
      <w:r w:rsidR="00575A3B">
        <w:t>émination. Mais le PGICT a mis</w:t>
      </w:r>
      <w:r w:rsidRPr="00551E40">
        <w:t xml:space="preserve"> en œuvre ces outils de GDT à travers plusieurs de ses sous projets dans toutes les régions du Togo.</w:t>
      </w:r>
      <w:r>
        <w:t xml:space="preserve"> C’est ainsi qu’est </w:t>
      </w:r>
      <w:r w:rsidRPr="00E5025B">
        <w:t xml:space="preserve">exécuté à Akoumapé (Préfecture de Vo), le sous projet d’amélioration de la productivité des terres et des rendements agricoles par les bonnes pratiques de gestion des terres et des eaux. </w:t>
      </w:r>
      <w:r w:rsidRPr="00C059F3">
        <w:t>A</w:t>
      </w:r>
      <w:r w:rsidRPr="00480905">
        <w:t xml:space="preserve"> partir de deux cha</w:t>
      </w:r>
      <w:r w:rsidR="00575A3B">
        <w:t>mps-écoles paysans basé</w:t>
      </w:r>
      <w:r w:rsidRPr="00480905">
        <w:t>s sur l’apprentissage participatif sous la conduite d’un ingénieur agronome, les femmes, les jeunes et les autres membres de la communauté ont maîtrisé et adoptent désormais la gestion intégrée de la fertilité des sols</w:t>
      </w:r>
      <w:r w:rsidRPr="00F971D4">
        <w:t xml:space="preserve"> à partir du compostage et de la jachère améliorée avec le muccuna. Les producteurs de semences sont aussi formés dans la communauté.</w:t>
      </w:r>
    </w:p>
    <w:p w14:paraId="35FB0BDC" w14:textId="77777777" w:rsidR="00551E40" w:rsidRPr="00F971D4" w:rsidRDefault="00551E40" w:rsidP="00F971D4">
      <w:pPr>
        <w:pStyle w:val="NormalWeb"/>
        <w:spacing w:before="0" w:beforeAutospacing="0" w:after="0" w:afterAutospacing="0" w:line="276" w:lineRule="auto"/>
        <w:jc w:val="both"/>
      </w:pPr>
    </w:p>
    <w:p w14:paraId="7B02C2E5" w14:textId="4CA642DD" w:rsidR="00E5025B" w:rsidRPr="00F971D4" w:rsidRDefault="00551E40" w:rsidP="00F971D4">
      <w:pPr>
        <w:pStyle w:val="NormalWeb"/>
        <w:spacing w:before="0" w:beforeAutospacing="0" w:after="0" w:afterAutospacing="0" w:line="276" w:lineRule="auto"/>
        <w:jc w:val="both"/>
      </w:pPr>
      <w:r w:rsidRPr="00F971D4">
        <w:t xml:space="preserve">Dans les préfectures d’Agou et de Kloto, le PGICT </w:t>
      </w:r>
      <w:r w:rsidR="00575A3B">
        <w:t>a appuyé</w:t>
      </w:r>
      <w:r w:rsidRPr="00F971D4">
        <w:t xml:space="preserve"> aussi des coopératives de jeunes entrepreneurs agricoles pour l’adoption de bonnes pratiques GDT. Au moins douze milles exploitants agricoles de 19 villages sont ciblés avec 18 sites écoles de démonstration des techniques agro-écologiques mis en place.</w:t>
      </w:r>
    </w:p>
    <w:p w14:paraId="33FBD270" w14:textId="77777777" w:rsidR="00E5025B" w:rsidRPr="00F971D4" w:rsidRDefault="00E5025B" w:rsidP="00F971D4">
      <w:pPr>
        <w:pStyle w:val="NormalWeb"/>
        <w:spacing w:before="0" w:beforeAutospacing="0" w:after="0" w:afterAutospacing="0" w:line="276" w:lineRule="auto"/>
        <w:jc w:val="both"/>
      </w:pPr>
    </w:p>
    <w:p w14:paraId="5EC4E748" w14:textId="73D0F885" w:rsidR="00551E40" w:rsidRPr="00F971D4" w:rsidRDefault="00E5025B" w:rsidP="00F971D4">
      <w:pPr>
        <w:pStyle w:val="NormalWeb"/>
        <w:spacing w:before="0" w:beforeAutospacing="0" w:after="0" w:afterAutospacing="0" w:line="276" w:lineRule="auto"/>
        <w:jc w:val="both"/>
      </w:pPr>
      <w:r w:rsidRPr="00F971D4">
        <w:t xml:space="preserve">A Panabagou (région des Savanes), le PGICT </w:t>
      </w:r>
      <w:r w:rsidR="00575A3B">
        <w:t>a corrigé</w:t>
      </w:r>
      <w:r w:rsidRPr="00F971D4">
        <w:t xml:space="preserve"> 500 m de ravine et des berges. Le projet </w:t>
      </w:r>
      <w:r w:rsidR="00575A3B">
        <w:t>a aménagé</w:t>
      </w:r>
      <w:r w:rsidRPr="00F971D4">
        <w:t xml:space="preserve"> 1 500 m d’ouvrages anti érosifs, exécute des regarnis et appuie la communauté à la lutte contre les feux de brousse. Outre le reboisement, l’on met à l’actif du PGICT dans la région la pratique des cordons pierreux et du labour en courbes de niveau. Cette technique consiste à confectionner les billons suivants les courbes de niveau sur la bande des parcelles alternant avec les cordons pierreux. La largeur des parcelles varie entre 6 et 10 m. </w:t>
      </w:r>
      <w:r w:rsidR="00DF57C4">
        <w:t>Cette</w:t>
      </w:r>
      <w:r w:rsidRPr="00F971D4">
        <w:t xml:space="preserve"> pratique</w:t>
      </w:r>
      <w:r w:rsidR="00DF57C4">
        <w:t xml:space="preserve"> a</w:t>
      </w:r>
      <w:r w:rsidRPr="00F971D4">
        <w:t xml:space="preserve"> contribu</w:t>
      </w:r>
      <w:r w:rsidR="00DF57C4">
        <w:t>é</w:t>
      </w:r>
      <w:r w:rsidRPr="00F971D4">
        <w:t xml:space="preserve"> à freiner le ruissellement et l’érosion, à augmenter l’infiltration de l’eau dans le sol, à restaurer le sol dégradé et à améliorer les rendements agricoles. Elle</w:t>
      </w:r>
      <w:r w:rsidR="00DF57C4">
        <w:t xml:space="preserve"> a été</w:t>
      </w:r>
      <w:r w:rsidRPr="00F971D4">
        <w:t xml:space="preserve"> développée en zone forestière et dans les savanes sèches sur des terrains légèrement inclinés.</w:t>
      </w:r>
    </w:p>
    <w:p w14:paraId="42E991C5" w14:textId="77777777" w:rsidR="00551E40" w:rsidRPr="00F971D4" w:rsidRDefault="00551E40" w:rsidP="00E5025B">
      <w:pPr>
        <w:spacing w:after="0" w:line="276" w:lineRule="auto"/>
        <w:jc w:val="both"/>
        <w:rPr>
          <w:rFonts w:ascii="Times New Roman" w:eastAsia="Times New Roman" w:hAnsi="Times New Roman" w:cs="Times New Roman"/>
          <w:sz w:val="24"/>
          <w:szCs w:val="24"/>
          <w:lang w:eastAsia="fr-FR"/>
        </w:rPr>
      </w:pPr>
    </w:p>
    <w:p w14:paraId="1589F987" w14:textId="12DB6632" w:rsidR="00551E40" w:rsidRPr="00F971D4" w:rsidRDefault="00551E40" w:rsidP="00E5025B">
      <w:pPr>
        <w:autoSpaceDE w:val="0"/>
        <w:autoSpaceDN w:val="0"/>
        <w:adjustRightInd w:val="0"/>
        <w:spacing w:after="0" w:line="276" w:lineRule="auto"/>
        <w:jc w:val="both"/>
        <w:rPr>
          <w:rFonts w:ascii="Times New Roman" w:hAnsi="Times New Roman" w:cs="Times New Roman"/>
          <w:bCs/>
          <w:sz w:val="24"/>
          <w:szCs w:val="24"/>
        </w:rPr>
      </w:pPr>
      <w:r w:rsidRPr="00F971D4">
        <w:rPr>
          <w:rStyle w:val="fullarticletexte"/>
          <w:rFonts w:ascii="Times New Roman" w:hAnsi="Times New Roman" w:cs="Times New Roman"/>
          <w:sz w:val="24"/>
          <w:szCs w:val="24"/>
        </w:rPr>
        <w:t>Par ailleurs, les acteurs du domaine agricole en particulier les maraîchers (environ 10</w:t>
      </w:r>
      <w:r w:rsidRPr="00E5025B">
        <w:rPr>
          <w:rStyle w:val="fullarticletexte"/>
          <w:rFonts w:ascii="Times New Roman" w:hAnsi="Times New Roman" w:cs="Times New Roman"/>
          <w:sz w:val="24"/>
          <w:szCs w:val="24"/>
        </w:rPr>
        <w:t>0 maraîchers de la région Maritime) ont vu leurs capacités renforcées sur la production durable axé</w:t>
      </w:r>
      <w:r w:rsidR="00575A3B">
        <w:rPr>
          <w:rStyle w:val="fullarticletexte"/>
          <w:rFonts w:ascii="Times New Roman" w:hAnsi="Times New Roman" w:cs="Times New Roman"/>
          <w:sz w:val="24"/>
          <w:szCs w:val="24"/>
        </w:rPr>
        <w:t>e</w:t>
      </w:r>
      <w:r w:rsidRPr="00E5025B">
        <w:rPr>
          <w:rStyle w:val="fullarticletexte"/>
          <w:rFonts w:ascii="Times New Roman" w:hAnsi="Times New Roman" w:cs="Times New Roman"/>
          <w:sz w:val="24"/>
          <w:szCs w:val="24"/>
        </w:rPr>
        <w:t xml:space="preserve"> sur la Gestion Intégrée de la Fertilité, de l’Eau et des Ravageurs par les Champignons (GIFERC). La méthode en question facilite et promeut une agriculture biologique dans le respect de l’environnement avec </w:t>
      </w:r>
      <w:r w:rsidRPr="00C059F3">
        <w:rPr>
          <w:rStyle w:val="fullarticletexte"/>
          <w:rFonts w:ascii="Times New Roman" w:hAnsi="Times New Roman" w:cs="Times New Roman"/>
          <w:sz w:val="24"/>
          <w:szCs w:val="24"/>
        </w:rPr>
        <w:t>une résilience au changement climatique. Dans la technique GIFERC</w:t>
      </w:r>
      <w:r w:rsidR="00E5025B" w:rsidRPr="00480905">
        <w:rPr>
          <w:rStyle w:val="fullarticletexte"/>
          <w:rFonts w:ascii="Times New Roman" w:hAnsi="Times New Roman" w:cs="Times New Roman"/>
          <w:sz w:val="24"/>
          <w:szCs w:val="24"/>
        </w:rPr>
        <w:t>,</w:t>
      </w:r>
      <w:r w:rsidRPr="00480905">
        <w:rPr>
          <w:rStyle w:val="fullarticletexte"/>
          <w:rFonts w:ascii="Times New Roman" w:hAnsi="Times New Roman" w:cs="Times New Roman"/>
          <w:sz w:val="24"/>
          <w:szCs w:val="24"/>
        </w:rPr>
        <w:t xml:space="preserve"> le champignon permet de fertiliser le sol, d’apporter </w:t>
      </w:r>
      <w:r w:rsidRPr="00F971D4">
        <w:rPr>
          <w:rStyle w:val="fullarticletexte"/>
          <w:rFonts w:ascii="Times New Roman" w:hAnsi="Times New Roman" w:cs="Times New Roman"/>
          <w:sz w:val="24"/>
          <w:szCs w:val="24"/>
        </w:rPr>
        <w:t xml:space="preserve">à la plante les éléments nutritifs, de réduire l’utilisation des intrants et d’accroître la productivité. </w:t>
      </w:r>
      <w:r w:rsidR="00E5025B" w:rsidRPr="00F971D4">
        <w:rPr>
          <w:rFonts w:ascii="Times New Roman" w:hAnsi="Times New Roman" w:cs="Times New Roman"/>
          <w:sz w:val="24"/>
          <w:szCs w:val="24"/>
        </w:rPr>
        <w:t xml:space="preserve">Dans les champs et sites de cultures maraichères, les fertilisants organiques ont systématiquement remplacé les engrais chimiques. </w:t>
      </w:r>
      <w:r w:rsidRPr="00F971D4">
        <w:rPr>
          <w:rStyle w:val="fullarticletexte"/>
          <w:rFonts w:ascii="Times New Roman" w:hAnsi="Times New Roman" w:cs="Times New Roman"/>
          <w:sz w:val="24"/>
          <w:szCs w:val="24"/>
        </w:rPr>
        <w:t>Des sessions de for</w:t>
      </w:r>
      <w:r w:rsidRPr="00F971D4">
        <w:rPr>
          <w:rFonts w:ascii="Times New Roman" w:hAnsi="Times New Roman" w:cs="Times New Roman"/>
          <w:sz w:val="24"/>
          <w:szCs w:val="24"/>
        </w:rPr>
        <w:t xml:space="preserve">mation sur le compostage et l’amendement des terrains de culture axés sur la GIFERC ont été également organisées à l’endroit des agriculteurs à travers le pays. </w:t>
      </w:r>
      <w:r w:rsidRPr="00F971D4">
        <w:rPr>
          <w:rStyle w:val="fullarticletexte"/>
          <w:rFonts w:ascii="Times New Roman" w:hAnsi="Times New Roman" w:cs="Times New Roman"/>
          <w:sz w:val="24"/>
          <w:szCs w:val="24"/>
        </w:rPr>
        <w:t>De l’avis des spécialistes, cette méthode pourra amoindrir les charges aux producteurs et accroître le rendement, l’agriculture togolaise étant dépendante du changement climatique.</w:t>
      </w:r>
    </w:p>
    <w:p w14:paraId="6936640B" w14:textId="77777777" w:rsidR="00551E40" w:rsidRPr="00E5025B" w:rsidRDefault="00551E40" w:rsidP="00E5025B">
      <w:pPr>
        <w:autoSpaceDE w:val="0"/>
        <w:autoSpaceDN w:val="0"/>
        <w:adjustRightInd w:val="0"/>
        <w:spacing w:after="0" w:line="276" w:lineRule="auto"/>
        <w:jc w:val="both"/>
        <w:rPr>
          <w:rFonts w:ascii="Times New Roman" w:hAnsi="Times New Roman" w:cs="Times New Roman"/>
          <w:sz w:val="24"/>
          <w:szCs w:val="24"/>
        </w:rPr>
      </w:pPr>
    </w:p>
    <w:p w14:paraId="66A8D615" w14:textId="4E4F8962" w:rsidR="00E46483" w:rsidRPr="00E5025B" w:rsidRDefault="00AE3253" w:rsidP="00E5025B">
      <w:pPr>
        <w:spacing w:after="0" w:line="276" w:lineRule="auto"/>
        <w:jc w:val="both"/>
        <w:rPr>
          <w:rFonts w:ascii="Times New Roman" w:hAnsi="Times New Roman" w:cs="Times New Roman"/>
          <w:sz w:val="24"/>
          <w:szCs w:val="24"/>
        </w:rPr>
      </w:pPr>
      <w:r w:rsidRPr="00E5025B">
        <w:rPr>
          <w:rFonts w:ascii="Times New Roman" w:hAnsi="Times New Roman" w:cs="Times New Roman"/>
          <w:sz w:val="24"/>
          <w:szCs w:val="24"/>
        </w:rPr>
        <w:t>Abordant les questions de maîtrise de feux de végétation, de gestion intégrée de la fertilité des sols, de l’agroforesterie et des pratiques de jachères améliorées et d’agriculture adaptée aux changements climatiques, il a été mis en place des champs écoles, la création des fermes agricoles, la formation d’environ 1000 acteurs ruraux dans le cadre de l’appui de PGICT, la restauration de 100 ha par l’utilisation des biofertilisants.</w:t>
      </w:r>
      <w:r w:rsidR="00E46483" w:rsidRPr="00E5025B">
        <w:rPr>
          <w:rFonts w:ascii="Times New Roman" w:hAnsi="Times New Roman" w:cs="Times New Roman"/>
          <w:sz w:val="24"/>
          <w:szCs w:val="24"/>
        </w:rPr>
        <w:t xml:space="preserve"> C’e</w:t>
      </w:r>
      <w:r w:rsidR="00575A3B">
        <w:rPr>
          <w:rFonts w:ascii="Times New Roman" w:hAnsi="Times New Roman" w:cs="Times New Roman"/>
          <w:sz w:val="24"/>
          <w:szCs w:val="24"/>
        </w:rPr>
        <w:t xml:space="preserve">st </w:t>
      </w:r>
      <w:r w:rsidR="00DF57C4">
        <w:rPr>
          <w:rFonts w:ascii="Times New Roman" w:hAnsi="Times New Roman" w:cs="Times New Roman"/>
          <w:sz w:val="24"/>
          <w:szCs w:val="24"/>
        </w:rPr>
        <w:t xml:space="preserve">dans </w:t>
      </w:r>
      <w:r w:rsidR="00575A3B">
        <w:rPr>
          <w:rFonts w:ascii="Times New Roman" w:hAnsi="Times New Roman" w:cs="Times New Roman"/>
          <w:sz w:val="24"/>
          <w:szCs w:val="24"/>
        </w:rPr>
        <w:t xml:space="preserve">la même optique que </w:t>
      </w:r>
      <w:r w:rsidR="00DF57C4">
        <w:rPr>
          <w:rFonts w:ascii="Times New Roman" w:hAnsi="Times New Roman" w:cs="Times New Roman"/>
          <w:sz w:val="24"/>
          <w:szCs w:val="24"/>
        </w:rPr>
        <w:t>l’</w:t>
      </w:r>
      <w:r w:rsidR="00E46483" w:rsidRPr="00E5025B">
        <w:rPr>
          <w:rFonts w:ascii="Times New Roman" w:hAnsi="Times New Roman" w:cs="Times New Roman"/>
          <w:sz w:val="24"/>
          <w:szCs w:val="24"/>
        </w:rPr>
        <w:t>Association pour la Gestion Intégrée et Durable de l’Environnement (AGIDE) a mis au point des fertilisants et de</w:t>
      </w:r>
      <w:r w:rsidR="00DF57C4">
        <w:rPr>
          <w:rFonts w:ascii="Times New Roman" w:hAnsi="Times New Roman" w:cs="Times New Roman"/>
          <w:sz w:val="24"/>
          <w:szCs w:val="24"/>
        </w:rPr>
        <w:t>s</w:t>
      </w:r>
      <w:r w:rsidR="00E46483" w:rsidRPr="00E5025B">
        <w:rPr>
          <w:rFonts w:ascii="Times New Roman" w:hAnsi="Times New Roman" w:cs="Times New Roman"/>
          <w:sz w:val="24"/>
          <w:szCs w:val="24"/>
        </w:rPr>
        <w:t xml:space="preserve"> pesticides à base de champignons appelés « </w:t>
      </w:r>
      <w:r w:rsidR="00E46483" w:rsidRPr="00E5025B">
        <w:rPr>
          <w:rStyle w:val="lev"/>
          <w:rFonts w:ascii="Times New Roman" w:hAnsi="Times New Roman" w:cs="Times New Roman"/>
          <w:sz w:val="24"/>
          <w:szCs w:val="24"/>
        </w:rPr>
        <w:t xml:space="preserve">CHAMPIGROW » </w:t>
      </w:r>
      <w:r w:rsidR="00E46483" w:rsidRPr="00E5025B">
        <w:rPr>
          <w:rFonts w:ascii="Times New Roman" w:hAnsi="Times New Roman" w:cs="Times New Roman"/>
          <w:sz w:val="24"/>
          <w:szCs w:val="24"/>
        </w:rPr>
        <w:t>pour restaurer la fertilité des sols et la santé des cultures. Les différentes gammes de produits proposés sont entre autres</w:t>
      </w:r>
      <w:r w:rsidR="00DF57C4">
        <w:rPr>
          <w:rFonts w:ascii="Times New Roman" w:hAnsi="Times New Roman" w:cs="Times New Roman"/>
          <w:sz w:val="24"/>
          <w:szCs w:val="24"/>
        </w:rPr>
        <w:t xml:space="preserve"> </w:t>
      </w:r>
      <w:r w:rsidR="00E46483" w:rsidRPr="00E5025B">
        <w:rPr>
          <w:rFonts w:ascii="Times New Roman" w:hAnsi="Times New Roman" w:cs="Times New Roman"/>
          <w:sz w:val="24"/>
          <w:szCs w:val="24"/>
        </w:rPr>
        <w:t xml:space="preserve">: </w:t>
      </w:r>
      <w:r w:rsidR="00E46483" w:rsidRPr="00E5025B">
        <w:rPr>
          <w:rFonts w:ascii="Times New Roman" w:eastAsia="Times New Roman" w:hAnsi="Times New Roman" w:cs="Times New Roman"/>
          <w:sz w:val="24"/>
          <w:szCs w:val="24"/>
          <w:lang w:eastAsia="fr-FR"/>
        </w:rPr>
        <w:t>Mycosol, Myc</w:t>
      </w:r>
      <w:r w:rsidR="00DF57C4">
        <w:rPr>
          <w:rFonts w:ascii="Times New Roman" w:eastAsia="Times New Roman" w:hAnsi="Times New Roman" w:cs="Times New Roman"/>
          <w:sz w:val="24"/>
          <w:szCs w:val="24"/>
          <w:lang w:eastAsia="fr-FR"/>
        </w:rPr>
        <w:t>oplus, Mycotri, Metazia, Fofoga, Ayomide et</w:t>
      </w:r>
      <w:r w:rsidR="00E46483" w:rsidRPr="00E5025B">
        <w:rPr>
          <w:rFonts w:ascii="Times New Roman" w:eastAsia="Times New Roman" w:hAnsi="Times New Roman" w:cs="Times New Roman"/>
          <w:sz w:val="24"/>
          <w:szCs w:val="24"/>
          <w:lang w:eastAsia="fr-FR"/>
        </w:rPr>
        <w:t xml:space="preserve"> Xylomique.</w:t>
      </w:r>
    </w:p>
    <w:p w14:paraId="7629C688" w14:textId="77777777" w:rsidR="00F60485" w:rsidRPr="00E5025B" w:rsidRDefault="00F60485" w:rsidP="00E5025B">
      <w:pPr>
        <w:autoSpaceDE w:val="0"/>
        <w:autoSpaceDN w:val="0"/>
        <w:adjustRightInd w:val="0"/>
        <w:spacing w:after="0" w:line="276" w:lineRule="auto"/>
        <w:jc w:val="both"/>
        <w:rPr>
          <w:rFonts w:ascii="Times New Roman" w:hAnsi="Times New Roman" w:cs="Times New Roman"/>
          <w:bCs/>
          <w:sz w:val="24"/>
          <w:szCs w:val="24"/>
        </w:rPr>
      </w:pPr>
    </w:p>
    <w:p w14:paraId="3BB2469E" w14:textId="77777777" w:rsidR="00961BBC" w:rsidRPr="00E5025B" w:rsidRDefault="00961BBC" w:rsidP="00E5025B">
      <w:pPr>
        <w:autoSpaceDE w:val="0"/>
        <w:autoSpaceDN w:val="0"/>
        <w:adjustRightInd w:val="0"/>
        <w:spacing w:after="0" w:line="276" w:lineRule="auto"/>
        <w:jc w:val="both"/>
        <w:rPr>
          <w:rFonts w:ascii="Times New Roman" w:hAnsi="Times New Roman" w:cs="Times New Roman"/>
          <w:b/>
          <w:i/>
          <w:color w:val="0070C0"/>
          <w:sz w:val="24"/>
          <w:szCs w:val="24"/>
        </w:rPr>
      </w:pPr>
      <w:r w:rsidRPr="00E5025B">
        <w:rPr>
          <w:rFonts w:ascii="Times New Roman" w:hAnsi="Times New Roman" w:cs="Times New Roman"/>
          <w:b/>
          <w:i/>
          <w:color w:val="0070C0"/>
          <w:sz w:val="24"/>
          <w:szCs w:val="24"/>
        </w:rPr>
        <w:t>Objectif 7. Maîtriser les feux de végétation par la mise en œuvre d’ici 2018, des mesures inscrites dans la stratégie nationale de gestion des feux de végétation de sorte à réduire les superficies brûlées à 10 000 km² chaque année (le tiers de la superficie nationale est actuellement brulé chaque année)</w:t>
      </w:r>
    </w:p>
    <w:p w14:paraId="414BF4F0" w14:textId="77777777" w:rsidR="00961BBC" w:rsidRPr="00E5025B" w:rsidRDefault="00961BBC" w:rsidP="00E5025B">
      <w:pPr>
        <w:autoSpaceDE w:val="0"/>
        <w:autoSpaceDN w:val="0"/>
        <w:adjustRightInd w:val="0"/>
        <w:spacing w:after="0" w:line="276" w:lineRule="auto"/>
        <w:jc w:val="both"/>
        <w:rPr>
          <w:rFonts w:ascii="Times New Roman" w:hAnsi="Times New Roman" w:cs="Times New Roman"/>
          <w:bCs/>
          <w:sz w:val="24"/>
          <w:szCs w:val="24"/>
        </w:rPr>
      </w:pPr>
    </w:p>
    <w:p w14:paraId="1A00775A" w14:textId="77777777" w:rsidR="00961BBC" w:rsidRPr="00E5025B" w:rsidRDefault="00961BBC" w:rsidP="00E5025B">
      <w:pPr>
        <w:autoSpaceDE w:val="0"/>
        <w:autoSpaceDN w:val="0"/>
        <w:adjustRightInd w:val="0"/>
        <w:spacing w:after="0" w:line="276" w:lineRule="auto"/>
        <w:jc w:val="both"/>
        <w:rPr>
          <w:rFonts w:ascii="Times New Roman" w:hAnsi="Times New Roman" w:cs="Times New Roman"/>
          <w:bCs/>
          <w:sz w:val="24"/>
          <w:szCs w:val="24"/>
        </w:rPr>
      </w:pPr>
      <w:r w:rsidRPr="00E5025B">
        <w:rPr>
          <w:rFonts w:ascii="Times New Roman" w:hAnsi="Times New Roman" w:cs="Times New Roman"/>
          <w:bCs/>
          <w:sz w:val="24"/>
          <w:szCs w:val="24"/>
        </w:rPr>
        <w:t>Les feux de végétation constituent une problématique majeure de gestion de l’environnement, des terres et des forêts, de sécurité sociale et alimentaire et de développement au niveau local, national et global. Pour maîtriser les feux de végétation, le Togo a adopté une stratégie nationale de gestion des feux en 2010, mais à ce jour, cette stratégie n’est pas encore transcrite en plans régionaux et locaux de gestion des feux prenant en compte les spécificités écologiques et socioéconomiques. En 2010, sur la base d’une cartographie avec les images Landsat et MODIS, les travaux estimaient à 30 000 km² la superficie totale brûlée au Togo (MERF, 2010).</w:t>
      </w:r>
    </w:p>
    <w:p w14:paraId="1EEF7B35" w14:textId="77777777" w:rsidR="00961BBC" w:rsidRPr="00E5025B" w:rsidRDefault="00961BBC" w:rsidP="00E5025B">
      <w:pPr>
        <w:autoSpaceDE w:val="0"/>
        <w:autoSpaceDN w:val="0"/>
        <w:adjustRightInd w:val="0"/>
        <w:spacing w:after="0" w:line="276" w:lineRule="auto"/>
        <w:jc w:val="both"/>
        <w:rPr>
          <w:rFonts w:ascii="Times New Roman" w:hAnsi="Times New Roman" w:cs="Times New Roman"/>
          <w:bCs/>
          <w:sz w:val="24"/>
          <w:szCs w:val="24"/>
        </w:rPr>
      </w:pPr>
    </w:p>
    <w:p w14:paraId="64566CFB" w14:textId="78A138F9" w:rsidR="00961BBC" w:rsidRPr="00961BBC" w:rsidRDefault="00961BBC" w:rsidP="00E5025B">
      <w:pPr>
        <w:autoSpaceDE w:val="0"/>
        <w:autoSpaceDN w:val="0"/>
        <w:adjustRightInd w:val="0"/>
        <w:spacing w:after="0" w:line="276" w:lineRule="auto"/>
        <w:jc w:val="both"/>
        <w:rPr>
          <w:rFonts w:ascii="Times New Roman" w:hAnsi="Times New Roman" w:cs="Times New Roman"/>
          <w:bCs/>
          <w:sz w:val="24"/>
          <w:szCs w:val="24"/>
        </w:rPr>
      </w:pPr>
      <w:r w:rsidRPr="00E5025B">
        <w:rPr>
          <w:rFonts w:ascii="Times New Roman" w:hAnsi="Times New Roman" w:cs="Times New Roman"/>
          <w:bCs/>
          <w:sz w:val="24"/>
          <w:szCs w:val="24"/>
        </w:rPr>
        <w:t xml:space="preserve">En application </w:t>
      </w:r>
      <w:r w:rsidR="00DF57C4">
        <w:rPr>
          <w:rFonts w:ascii="Times New Roman" w:hAnsi="Times New Roman" w:cs="Times New Roman"/>
          <w:bCs/>
          <w:sz w:val="24"/>
          <w:szCs w:val="24"/>
        </w:rPr>
        <w:t>des</w:t>
      </w:r>
      <w:r w:rsidRPr="00E5025B">
        <w:rPr>
          <w:rFonts w:ascii="Times New Roman" w:hAnsi="Times New Roman" w:cs="Times New Roman"/>
          <w:bCs/>
          <w:sz w:val="24"/>
          <w:szCs w:val="24"/>
        </w:rPr>
        <w:t xml:space="preserve"> mesures prescrites dans cette stratégie, de nombreuses actions ont été mise</w:t>
      </w:r>
      <w:r w:rsidR="00575A3B">
        <w:rPr>
          <w:rFonts w:ascii="Times New Roman" w:hAnsi="Times New Roman" w:cs="Times New Roman"/>
          <w:bCs/>
          <w:sz w:val="24"/>
          <w:szCs w:val="24"/>
        </w:rPr>
        <w:t>s</w:t>
      </w:r>
      <w:r w:rsidRPr="00E5025B">
        <w:rPr>
          <w:rFonts w:ascii="Times New Roman" w:hAnsi="Times New Roman" w:cs="Times New Roman"/>
          <w:bCs/>
          <w:sz w:val="24"/>
          <w:szCs w:val="24"/>
        </w:rPr>
        <w:t xml:space="preserve"> en œuvre pour réglementer la pratique des feux utilitaires et la lutte</w:t>
      </w:r>
      <w:r w:rsidRPr="00961BBC">
        <w:rPr>
          <w:rFonts w:ascii="Times New Roman" w:hAnsi="Times New Roman" w:cs="Times New Roman"/>
          <w:bCs/>
          <w:sz w:val="24"/>
          <w:szCs w:val="24"/>
        </w:rPr>
        <w:t xml:space="preserve"> contre les feux incontrôlés à travers notamment l’intensification des actions de sensibilisation qui ont abouti à</w:t>
      </w:r>
      <w:r w:rsidR="00575A3B">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629FB305" w14:textId="77777777"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place d’un comité national, des comités régionaux, préfectoraux et cantonaux de gestion des feux de végétation ;</w:t>
      </w:r>
    </w:p>
    <w:p w14:paraId="23A3BEDB" w14:textId="3D30DE54"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place d’une cellule technique et interministérielle chargée d'orienter et de faciliter la mise en œuvre effective de la stratégie nationale ;</w:t>
      </w:r>
    </w:p>
    <w:p w14:paraId="5BDD8A95" w14:textId="7AD81A84"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place et l’opérationnalisation de 510 comités et de brigades anti-feu</w:t>
      </w:r>
      <w:r w:rsidR="00DF57C4">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5D1A6AB7" w14:textId="5C13B373"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formation de 2 500 acteurs sur la lutte contre les feux</w:t>
      </w:r>
      <w:r w:rsidR="00DF57C4">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597CE098" w14:textId="77777777"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l’équipement de 15 brigades de lutte contre les feux ;</w:t>
      </w:r>
    </w:p>
    <w:p w14:paraId="26C11990" w14:textId="77777777"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le développement des modules de formations des membres des comités locaux anti-feux dans la zone de production de café et de cacao ;</w:t>
      </w:r>
    </w:p>
    <w:p w14:paraId="58FE63D5" w14:textId="4F7E2EB1"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l’organisation de  plusieurs séances (environ 300 séances) de vulgarisation des textes réglementaires sur les feux</w:t>
      </w:r>
      <w:r w:rsidR="00DF57C4">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3248B6E6" w14:textId="0973E569"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 xml:space="preserve">l’élaboration et la mise en œuvre des chartes communautaires pour la gestion durable des feux et des forêts communautaires dans au moins </w:t>
      </w:r>
      <w:r w:rsidR="00C607D0">
        <w:rPr>
          <w:rFonts w:ascii="Times New Roman" w:hAnsi="Times New Roman" w:cs="Times New Roman"/>
          <w:bCs/>
          <w:sz w:val="24"/>
          <w:szCs w:val="24"/>
        </w:rPr>
        <w:t>50</w:t>
      </w:r>
      <w:r w:rsidRPr="00961BBC">
        <w:rPr>
          <w:rFonts w:ascii="Times New Roman" w:hAnsi="Times New Roman" w:cs="Times New Roman"/>
          <w:bCs/>
          <w:sz w:val="24"/>
          <w:szCs w:val="24"/>
        </w:rPr>
        <w:t xml:space="preserve"> villages ;</w:t>
      </w:r>
    </w:p>
    <w:p w14:paraId="2A9D6B33" w14:textId="77777777"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place de plus de 2 000 ha de pare-feux ;</w:t>
      </w:r>
    </w:p>
    <w:p w14:paraId="74264E9A" w14:textId="77777777"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mise en défens de plus de 800 ha de forêts ;</w:t>
      </w:r>
    </w:p>
    <w:p w14:paraId="7CA26A4B" w14:textId="36D215FE"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la formation d’au moins 20 agents des eaux et forêts sur la réglementation nationale en matière de gestion des feux de végétation, les rôles et responsabilités des membres des comités anti-feux, les techniques de gestion des feux de végétation, etc</w:t>
      </w:r>
      <w:r w:rsidR="00DF57C4">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7DD4C54A" w14:textId="34A27502"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l’organisation de plus de 500 séances de sensibilisation sur la problématique des feux et de végétation et les conséquences sur les différentes composantes environnementales et socio-économiques</w:t>
      </w:r>
      <w:r w:rsidR="00DF57C4">
        <w:rPr>
          <w:rFonts w:ascii="Times New Roman" w:hAnsi="Times New Roman" w:cs="Times New Roman"/>
          <w:bCs/>
          <w:sz w:val="24"/>
          <w:szCs w:val="24"/>
        </w:rPr>
        <w:t xml:space="preserve"> </w:t>
      </w:r>
      <w:r w:rsidRPr="00961BBC">
        <w:rPr>
          <w:rFonts w:ascii="Times New Roman" w:hAnsi="Times New Roman" w:cs="Times New Roman"/>
          <w:bCs/>
          <w:sz w:val="24"/>
          <w:szCs w:val="24"/>
        </w:rPr>
        <w:t>;</w:t>
      </w:r>
    </w:p>
    <w:p w14:paraId="66A1A66F" w14:textId="576FAF5B" w:rsidR="00961BBC" w:rsidRPr="00961BBC" w:rsidRDefault="00961BBC" w:rsidP="00C83C01">
      <w:pPr>
        <w:autoSpaceDE w:val="0"/>
        <w:autoSpaceDN w:val="0"/>
        <w:adjustRightInd w:val="0"/>
        <w:spacing w:after="0" w:line="240" w:lineRule="auto"/>
        <w:ind w:left="567" w:hanging="425"/>
        <w:jc w:val="both"/>
        <w:rPr>
          <w:rFonts w:ascii="Times New Roman" w:hAnsi="Times New Roman" w:cs="Times New Roman"/>
          <w:bCs/>
          <w:sz w:val="24"/>
          <w:szCs w:val="24"/>
        </w:rPr>
      </w:pPr>
      <w:r w:rsidRPr="00961BBC">
        <w:rPr>
          <w:rFonts w:ascii="Times New Roman" w:hAnsi="Times New Roman" w:cs="Times New Roman"/>
          <w:bCs/>
          <w:sz w:val="24"/>
          <w:szCs w:val="24"/>
        </w:rPr>
        <w:t>-</w:t>
      </w:r>
      <w:r w:rsidRPr="00961BBC">
        <w:rPr>
          <w:rFonts w:ascii="Times New Roman" w:hAnsi="Times New Roman" w:cs="Times New Roman"/>
          <w:bCs/>
          <w:sz w:val="24"/>
          <w:szCs w:val="24"/>
        </w:rPr>
        <w:tab/>
        <w:t>Etc</w:t>
      </w:r>
      <w:r w:rsidR="00DF57C4">
        <w:rPr>
          <w:rFonts w:ascii="Times New Roman" w:hAnsi="Times New Roman" w:cs="Times New Roman"/>
          <w:bCs/>
          <w:sz w:val="24"/>
          <w:szCs w:val="24"/>
        </w:rPr>
        <w:t>.</w:t>
      </w:r>
    </w:p>
    <w:p w14:paraId="627AE895" w14:textId="77777777" w:rsidR="00961BBC" w:rsidRPr="00961BBC" w:rsidRDefault="00961BBC" w:rsidP="00961BBC">
      <w:pPr>
        <w:autoSpaceDE w:val="0"/>
        <w:autoSpaceDN w:val="0"/>
        <w:adjustRightInd w:val="0"/>
        <w:spacing w:after="0" w:line="240" w:lineRule="auto"/>
        <w:jc w:val="both"/>
        <w:rPr>
          <w:rFonts w:ascii="Times New Roman" w:hAnsi="Times New Roman" w:cs="Times New Roman"/>
          <w:bCs/>
          <w:sz w:val="24"/>
          <w:szCs w:val="24"/>
        </w:rPr>
      </w:pPr>
    </w:p>
    <w:p w14:paraId="20398A6D" w14:textId="4087DB2C" w:rsidR="00D31C6C" w:rsidRDefault="00961BBC" w:rsidP="0090672F">
      <w:pPr>
        <w:pStyle w:val="Paragraphedeliste"/>
        <w:spacing w:after="0" w:line="240" w:lineRule="auto"/>
        <w:ind w:left="0"/>
        <w:jc w:val="both"/>
        <w:rPr>
          <w:rFonts w:ascii="Times New Roman" w:hAnsi="Times New Roman" w:cs="Times New Roman"/>
          <w:bCs/>
          <w:sz w:val="24"/>
          <w:szCs w:val="24"/>
        </w:rPr>
      </w:pPr>
      <w:r w:rsidRPr="00961BBC">
        <w:rPr>
          <w:rFonts w:ascii="Times New Roman" w:hAnsi="Times New Roman" w:cs="Times New Roman"/>
          <w:bCs/>
          <w:sz w:val="24"/>
          <w:szCs w:val="24"/>
        </w:rPr>
        <w:t>Pour répond</w:t>
      </w:r>
      <w:r w:rsidR="00C607D0">
        <w:rPr>
          <w:rFonts w:ascii="Times New Roman" w:hAnsi="Times New Roman" w:cs="Times New Roman"/>
          <w:bCs/>
          <w:sz w:val="24"/>
          <w:szCs w:val="24"/>
        </w:rPr>
        <w:t>r</w:t>
      </w:r>
      <w:r w:rsidRPr="00961BBC">
        <w:rPr>
          <w:rFonts w:ascii="Times New Roman" w:hAnsi="Times New Roman" w:cs="Times New Roman"/>
          <w:bCs/>
          <w:sz w:val="24"/>
          <w:szCs w:val="24"/>
        </w:rPr>
        <w:t>e à l’urgence de la situation dramatique des feux de végétation, le Togo a</w:t>
      </w:r>
      <w:r w:rsidR="00C607D0">
        <w:rPr>
          <w:rFonts w:ascii="Times New Roman" w:hAnsi="Times New Roman" w:cs="Times New Roman"/>
          <w:bCs/>
          <w:sz w:val="24"/>
          <w:szCs w:val="24"/>
        </w:rPr>
        <w:t xml:space="preserve"> </w:t>
      </w:r>
      <w:r w:rsidRPr="00961BBC">
        <w:rPr>
          <w:rFonts w:ascii="Times New Roman" w:hAnsi="Times New Roman" w:cs="Times New Roman"/>
          <w:bCs/>
          <w:sz w:val="24"/>
          <w:szCs w:val="24"/>
        </w:rPr>
        <w:t xml:space="preserve"> réalisé une étude</w:t>
      </w:r>
      <w:r w:rsidR="00575A3B">
        <w:rPr>
          <w:rFonts w:ascii="Times New Roman" w:hAnsi="Times New Roman" w:cs="Times New Roman"/>
          <w:bCs/>
          <w:sz w:val="24"/>
          <w:szCs w:val="24"/>
        </w:rPr>
        <w:t xml:space="preserve"> relative à la proposition des</w:t>
      </w:r>
      <w:r w:rsidRPr="00961BBC">
        <w:rPr>
          <w:rFonts w:ascii="Times New Roman" w:hAnsi="Times New Roman" w:cs="Times New Roman"/>
          <w:bCs/>
          <w:sz w:val="24"/>
          <w:szCs w:val="24"/>
        </w:rPr>
        <w:t xml:space="preserve"> modèles de gestion participative des feux à travers entre autres la détermination des périodes indiquées pour les feux précoces selon les zones écologiques. L’étude s’est appuyée sur l’analyse de la dynamique spatiotemporelle des feux, de la variation des paramètres climatiques, de la phénologie et de la biomasse végétale ainsi que le diagnostic du contexte juridique et institutionnel de gestion des feux.</w:t>
      </w:r>
      <w:r w:rsidR="00575A3B">
        <w:rPr>
          <w:rFonts w:ascii="Times New Roman" w:hAnsi="Times New Roman" w:cs="Times New Roman"/>
          <w:bCs/>
          <w:sz w:val="24"/>
          <w:szCs w:val="24"/>
        </w:rPr>
        <w:t xml:space="preserve"> </w:t>
      </w:r>
      <w:r w:rsidRPr="00961BBC">
        <w:rPr>
          <w:rFonts w:ascii="Times New Roman" w:hAnsi="Times New Roman" w:cs="Times New Roman"/>
          <w:bCs/>
          <w:sz w:val="24"/>
          <w:szCs w:val="24"/>
        </w:rPr>
        <w:t>Les résultats de cette étude ont révélé que le Togo a connu une baisse substantielle de sa superficie brulée et du nombre de feux actifs depuis 2011 et les zones brûlées sont estimées respectivement à 8 321,92 km² en 2016 et 11 148,22 km² en 2017 (Figure 13).</w:t>
      </w:r>
    </w:p>
    <w:p w14:paraId="5A803975" w14:textId="77777777" w:rsidR="00E5025B" w:rsidRPr="0090672F" w:rsidRDefault="00E5025B" w:rsidP="0090672F">
      <w:pPr>
        <w:pStyle w:val="Paragraphedeliste"/>
        <w:spacing w:after="0" w:line="240" w:lineRule="auto"/>
        <w:ind w:left="0"/>
        <w:jc w:val="both"/>
        <w:rPr>
          <w:rFonts w:ascii="Times New Roman" w:hAnsi="Times New Roman" w:cs="Times New Roman"/>
          <w:sz w:val="24"/>
          <w:szCs w:val="24"/>
        </w:rPr>
      </w:pPr>
    </w:p>
    <w:p w14:paraId="042930BF" w14:textId="77777777" w:rsidR="00D31C6C" w:rsidRPr="0090672F" w:rsidRDefault="00D31C6C" w:rsidP="0090672F">
      <w:pPr>
        <w:spacing w:after="0" w:line="240" w:lineRule="auto"/>
        <w:jc w:val="center"/>
        <w:rPr>
          <w:rFonts w:ascii="Times New Roman" w:hAnsi="Times New Roman" w:cs="Times New Roman"/>
          <w:sz w:val="24"/>
          <w:szCs w:val="24"/>
        </w:rPr>
      </w:pPr>
      <w:r w:rsidRPr="0090672F">
        <w:rPr>
          <w:rFonts w:ascii="Times New Roman" w:hAnsi="Times New Roman" w:cs="Times New Roman"/>
          <w:noProof/>
          <w:sz w:val="24"/>
          <w:szCs w:val="24"/>
          <w:lang w:eastAsia="fr-FR"/>
        </w:rPr>
        <w:drawing>
          <wp:inline distT="0" distB="0" distL="0" distR="0" wp14:anchorId="752691D7" wp14:editId="63B5E8C1">
            <wp:extent cx="5759450" cy="2330450"/>
            <wp:effectExtent l="19050" t="0" r="0" b="0"/>
            <wp:docPr id="18"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59450" cy="2330450"/>
                    </a:xfrm>
                    <a:prstGeom prst="rect">
                      <a:avLst/>
                    </a:prstGeom>
                    <a:noFill/>
                    <a:ln w="9525">
                      <a:noFill/>
                      <a:miter lim="800000"/>
                      <a:headEnd/>
                      <a:tailEnd/>
                    </a:ln>
                  </pic:spPr>
                </pic:pic>
              </a:graphicData>
            </a:graphic>
          </wp:inline>
        </w:drawing>
      </w:r>
    </w:p>
    <w:p w14:paraId="3B3FD0CD" w14:textId="77777777" w:rsidR="00CA7432" w:rsidRDefault="00CA7432" w:rsidP="0090672F">
      <w:pPr>
        <w:spacing w:after="0" w:line="240" w:lineRule="auto"/>
        <w:jc w:val="center"/>
        <w:rPr>
          <w:rFonts w:ascii="Times New Roman" w:hAnsi="Times New Roman" w:cs="Times New Roman"/>
          <w:b/>
          <w:sz w:val="24"/>
          <w:szCs w:val="24"/>
        </w:rPr>
      </w:pPr>
    </w:p>
    <w:p w14:paraId="1A3A11E8" w14:textId="267E1275" w:rsidR="00D31C6C" w:rsidRPr="00542A1C" w:rsidRDefault="00542A1C" w:rsidP="00E5025B">
      <w:pPr>
        <w:pStyle w:val="Lgende"/>
        <w:spacing w:after="0"/>
        <w:rPr>
          <w:rFonts w:ascii="Times New Roman" w:hAnsi="Times New Roman"/>
          <w:sz w:val="24"/>
          <w:szCs w:val="24"/>
        </w:rPr>
      </w:pPr>
      <w:bookmarkStart w:id="55" w:name="_Toc533413501"/>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13</w:t>
      </w:r>
      <w:r w:rsidR="00620BEA" w:rsidRPr="00542A1C">
        <w:rPr>
          <w:rFonts w:ascii="Times New Roman" w:hAnsi="Times New Roman"/>
          <w:sz w:val="24"/>
          <w:szCs w:val="24"/>
        </w:rPr>
        <w:fldChar w:fldCharType="end"/>
      </w:r>
      <w:r w:rsidRPr="00542A1C">
        <w:rPr>
          <w:rFonts w:ascii="Times New Roman" w:hAnsi="Times New Roman"/>
          <w:sz w:val="24"/>
          <w:szCs w:val="24"/>
        </w:rPr>
        <w:t>: Variation des superficies brulées et du nombre de feux actifs par campagne de feu de 2003 à 2016 (A) et des superficies brulées par zone écologique (B)</w:t>
      </w:r>
      <w:bookmarkEnd w:id="55"/>
    </w:p>
    <w:p w14:paraId="40CDA50F" w14:textId="77777777" w:rsidR="00542A1C" w:rsidRPr="0090672F" w:rsidRDefault="00542A1C" w:rsidP="0090672F">
      <w:pPr>
        <w:pStyle w:val="Paragraphedeliste"/>
        <w:spacing w:after="0" w:line="240" w:lineRule="auto"/>
        <w:ind w:left="0"/>
        <w:jc w:val="both"/>
        <w:rPr>
          <w:rFonts w:ascii="Times New Roman" w:hAnsi="Times New Roman" w:cs="Times New Roman"/>
          <w:sz w:val="24"/>
          <w:szCs w:val="24"/>
        </w:rPr>
      </w:pPr>
    </w:p>
    <w:p w14:paraId="2C41F7A2" w14:textId="63C46CCC" w:rsidR="00D31C6C" w:rsidRPr="0090672F" w:rsidRDefault="00D31C6C" w:rsidP="0090672F">
      <w:p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En outre, dans le cadre de la mise en œuvre du Projet d’Appui au Secteur Agricole (PASA), il a été relevé que la période de sécheresse de fin 2015 et début 2016 a occasionné des feux de végétation ayant dévasté 50 % de jeunes plants en pépinières, 1 400 ha environ de jeunes plantations installées et des plantations en production. En 2017, 4,5 % des plantations de caféiers et 3,6% des plantations de cacaoyers (DSID, 2018) ont également été touchés par les feux de végétation, rendant vulnérable les résultats encourageants obtenus durant la phase initiale de mise en œuvre d</w:t>
      </w:r>
      <w:r w:rsidR="00C607D0">
        <w:rPr>
          <w:rFonts w:ascii="Times New Roman" w:hAnsi="Times New Roman" w:cs="Times New Roman"/>
          <w:sz w:val="24"/>
          <w:szCs w:val="24"/>
        </w:rPr>
        <w:t>u</w:t>
      </w:r>
      <w:r w:rsidRPr="0090672F">
        <w:rPr>
          <w:rFonts w:ascii="Times New Roman" w:hAnsi="Times New Roman" w:cs="Times New Roman"/>
          <w:sz w:val="24"/>
          <w:szCs w:val="24"/>
        </w:rPr>
        <w:t xml:space="preserve"> PASA dans le cadre de l’appui au développement de la filière café et cacao. Conscients des conséquences fâcheuses du dégât des feux de végétation sur l’agriculture, les acteurs de la filière ont pris l’initiative de mener des actions à travers des réunions de sensibilisation ayant conduit à un éveil de conscience auprès des populations des villages concernées par les activités de café et de ca</w:t>
      </w:r>
      <w:r w:rsidR="00575A3B">
        <w:rPr>
          <w:rFonts w:ascii="Times New Roman" w:hAnsi="Times New Roman" w:cs="Times New Roman"/>
          <w:sz w:val="24"/>
          <w:szCs w:val="24"/>
        </w:rPr>
        <w:t xml:space="preserve">cao. Cette initiative a permis </w:t>
      </w:r>
      <w:r w:rsidRPr="0090672F">
        <w:rPr>
          <w:rFonts w:ascii="Times New Roman" w:hAnsi="Times New Roman" w:cs="Times New Roman"/>
          <w:sz w:val="24"/>
          <w:szCs w:val="24"/>
        </w:rPr>
        <w:t xml:space="preserve">de mettre en place 27 comités anti-feux </w:t>
      </w:r>
      <w:r w:rsidR="00C607D0">
        <w:rPr>
          <w:rFonts w:ascii="Times New Roman" w:hAnsi="Times New Roman" w:cs="Times New Roman"/>
          <w:sz w:val="24"/>
          <w:szCs w:val="24"/>
        </w:rPr>
        <w:t xml:space="preserve">au cours de </w:t>
      </w:r>
      <w:r w:rsidRPr="0090672F">
        <w:rPr>
          <w:rFonts w:ascii="Times New Roman" w:hAnsi="Times New Roman" w:cs="Times New Roman"/>
          <w:sz w:val="24"/>
          <w:szCs w:val="24"/>
        </w:rPr>
        <w:t>la phase additionnelle du PASA. L’opérationnalisation de ces comités consiste à les équiper et à former ces membres en vue de leur permettre de jouer efficacement leurs rôles dans la prévention et la lutte contre les feux de végétation.</w:t>
      </w:r>
    </w:p>
    <w:p w14:paraId="79C5CAC1" w14:textId="77777777" w:rsidR="00D31C6C" w:rsidRPr="0090672F" w:rsidRDefault="00D31C6C" w:rsidP="0090672F">
      <w:pPr>
        <w:pStyle w:val="Paragraphedeliste"/>
        <w:spacing w:after="0" w:line="240" w:lineRule="auto"/>
        <w:ind w:left="0"/>
        <w:jc w:val="both"/>
        <w:rPr>
          <w:rFonts w:ascii="Times New Roman" w:hAnsi="Times New Roman" w:cs="Times New Roman"/>
          <w:sz w:val="24"/>
          <w:szCs w:val="24"/>
        </w:rPr>
      </w:pPr>
    </w:p>
    <w:p w14:paraId="34004434" w14:textId="0BD434A4" w:rsidR="00D31C6C" w:rsidRPr="0090672F" w:rsidRDefault="00D31C6C" w:rsidP="0090672F">
      <w:pPr>
        <w:spacing w:after="0" w:line="240" w:lineRule="auto"/>
        <w:jc w:val="both"/>
        <w:rPr>
          <w:rFonts w:ascii="Times New Roman" w:hAnsi="Times New Roman" w:cs="Times New Roman"/>
          <w:iCs/>
          <w:sz w:val="24"/>
          <w:szCs w:val="24"/>
          <w:highlight w:val="yellow"/>
          <w:lang w:val="fr-CA"/>
        </w:rPr>
      </w:pPr>
      <w:r w:rsidRPr="0090672F">
        <w:rPr>
          <w:rFonts w:ascii="Times New Roman" w:hAnsi="Times New Roman" w:cs="Times New Roman"/>
          <w:sz w:val="24"/>
          <w:szCs w:val="24"/>
        </w:rPr>
        <w:t>Par ailleurs, dans le cadre de ses activités, l’Office de développement et d’Exploitation des forêts (ODEF) a mené de nombreuses activités en lien avec la protection des écosystèmes forestiers. La protection concerne l’ouverture de pare-feu larges de 6 ou 8 m, l’incinération des andains, la réalisation de feux précoces et l’installation des brigades de gardiennage ou surveillance permanente des blocs de plantations contre les feux de végétations. Ainsi</w:t>
      </w:r>
      <w:r w:rsidR="00575A3B">
        <w:rPr>
          <w:rFonts w:ascii="Times New Roman" w:hAnsi="Times New Roman" w:cs="Times New Roman"/>
          <w:sz w:val="24"/>
          <w:szCs w:val="24"/>
        </w:rPr>
        <w:t>,</w:t>
      </w:r>
      <w:r w:rsidRPr="0090672F">
        <w:rPr>
          <w:rFonts w:ascii="Times New Roman" w:hAnsi="Times New Roman" w:cs="Times New Roman"/>
          <w:sz w:val="24"/>
          <w:szCs w:val="24"/>
        </w:rPr>
        <w:t xml:space="preserve"> toutes les plantations (vieilles comme jeunes) installées dans</w:t>
      </w:r>
      <w:r w:rsidR="00C607D0">
        <w:rPr>
          <w:rFonts w:ascii="Times New Roman" w:hAnsi="Times New Roman" w:cs="Times New Roman"/>
          <w:sz w:val="24"/>
          <w:szCs w:val="24"/>
        </w:rPr>
        <w:t xml:space="preserve"> tous les secteurs</w:t>
      </w:r>
      <w:r w:rsidRPr="0090672F">
        <w:rPr>
          <w:rFonts w:ascii="Times New Roman" w:hAnsi="Times New Roman" w:cs="Times New Roman"/>
          <w:sz w:val="24"/>
          <w:szCs w:val="24"/>
        </w:rPr>
        <w:t xml:space="preserve"> où l’ODEF intervient, soit une superficie totale de 19 182,22 ha, sont protégées contre les feux et/ou les coupes frauduleuses. Cependant, certaines parcelles ont connu des feux d’origines diverses (criminelles, accidentelles, etc.) dont certains ont été sans grand dommage, mais d’autres  feux ont été destructeurs. Ainsi</w:t>
      </w:r>
      <w:r w:rsidR="00575A3B">
        <w:rPr>
          <w:rFonts w:ascii="Times New Roman" w:hAnsi="Times New Roman" w:cs="Times New Roman"/>
          <w:sz w:val="24"/>
          <w:szCs w:val="24"/>
        </w:rPr>
        <w:t>,</w:t>
      </w:r>
      <w:r w:rsidRPr="0090672F">
        <w:rPr>
          <w:rFonts w:ascii="Times New Roman" w:hAnsi="Times New Roman" w:cs="Times New Roman"/>
          <w:sz w:val="24"/>
          <w:szCs w:val="24"/>
        </w:rPr>
        <w:t xml:space="preserve"> sur l’ensemble des régions</w:t>
      </w:r>
      <w:r w:rsidR="00575A3B">
        <w:rPr>
          <w:rFonts w:ascii="Times New Roman" w:hAnsi="Times New Roman" w:cs="Times New Roman"/>
          <w:sz w:val="24"/>
          <w:szCs w:val="24"/>
        </w:rPr>
        <w:t>,</w:t>
      </w:r>
      <w:r w:rsidRPr="0090672F">
        <w:rPr>
          <w:rFonts w:ascii="Times New Roman" w:hAnsi="Times New Roman" w:cs="Times New Roman"/>
          <w:sz w:val="24"/>
          <w:szCs w:val="24"/>
        </w:rPr>
        <w:t xml:space="preserve"> 363,95 ha de plantation</w:t>
      </w:r>
      <w:r w:rsidR="00575A3B">
        <w:rPr>
          <w:rFonts w:ascii="Times New Roman" w:hAnsi="Times New Roman" w:cs="Times New Roman"/>
          <w:sz w:val="24"/>
          <w:szCs w:val="24"/>
        </w:rPr>
        <w:t>s</w:t>
      </w:r>
      <w:r w:rsidRPr="0090672F">
        <w:rPr>
          <w:rFonts w:ascii="Times New Roman" w:hAnsi="Times New Roman" w:cs="Times New Roman"/>
          <w:sz w:val="24"/>
          <w:szCs w:val="24"/>
        </w:rPr>
        <w:t xml:space="preserve"> ont été parcourus par les feux, contre 181,82 ha en 2016.</w:t>
      </w:r>
    </w:p>
    <w:p w14:paraId="09453C8F" w14:textId="77777777" w:rsidR="00551E40" w:rsidRPr="0090672F" w:rsidRDefault="00551E40" w:rsidP="0090672F">
      <w:pPr>
        <w:spacing w:after="0" w:line="240" w:lineRule="auto"/>
        <w:jc w:val="both"/>
        <w:rPr>
          <w:rFonts w:ascii="Times New Roman" w:hAnsi="Times New Roman" w:cs="Times New Roman"/>
          <w:iCs/>
          <w:sz w:val="24"/>
          <w:szCs w:val="24"/>
          <w:highlight w:val="yellow"/>
          <w:lang w:val="fr-CA"/>
        </w:rPr>
      </w:pPr>
    </w:p>
    <w:p w14:paraId="4031003B" w14:textId="11FF2F5B" w:rsidR="00D31C6C" w:rsidRPr="0090672F" w:rsidRDefault="00D31C6C" w:rsidP="0090672F">
      <w:pPr>
        <w:spacing w:after="0" w:line="240" w:lineRule="auto"/>
        <w:jc w:val="both"/>
        <w:rPr>
          <w:rFonts w:ascii="Times New Roman" w:hAnsi="Times New Roman" w:cs="Times New Roman"/>
          <w:b/>
          <w:i/>
          <w:color w:val="0070C0"/>
          <w:sz w:val="24"/>
          <w:szCs w:val="24"/>
        </w:rPr>
      </w:pPr>
      <w:r w:rsidRPr="0090672F">
        <w:rPr>
          <w:rFonts w:ascii="Times New Roman" w:hAnsi="Times New Roman" w:cs="Times New Roman"/>
          <w:b/>
          <w:i/>
          <w:color w:val="0070C0"/>
          <w:sz w:val="24"/>
          <w:szCs w:val="24"/>
        </w:rPr>
        <w:t>Objectif 8. D’ici à 2020, 50% des 13 aires protégées prioritaires sont doté</w:t>
      </w:r>
      <w:r w:rsidR="00DF57C4">
        <w:rPr>
          <w:rFonts w:ascii="Times New Roman" w:hAnsi="Times New Roman" w:cs="Times New Roman"/>
          <w:b/>
          <w:i/>
          <w:color w:val="0070C0"/>
          <w:sz w:val="24"/>
          <w:szCs w:val="24"/>
        </w:rPr>
        <w:t>e</w:t>
      </w:r>
      <w:r w:rsidRPr="0090672F">
        <w:rPr>
          <w:rFonts w:ascii="Times New Roman" w:hAnsi="Times New Roman" w:cs="Times New Roman"/>
          <w:b/>
          <w:i/>
          <w:color w:val="0070C0"/>
          <w:sz w:val="24"/>
          <w:szCs w:val="24"/>
        </w:rPr>
        <w:t>s de plans d’aménagement qui présentent d’importants intérêts pour la conservation de la biodiversité</w:t>
      </w:r>
    </w:p>
    <w:p w14:paraId="32E2BFCF" w14:textId="77777777" w:rsidR="00D31C6C" w:rsidRPr="0090672F" w:rsidRDefault="00D31C6C" w:rsidP="0090672F">
      <w:pPr>
        <w:spacing w:after="0" w:line="240" w:lineRule="auto"/>
        <w:jc w:val="both"/>
        <w:rPr>
          <w:rFonts w:ascii="Times New Roman" w:hAnsi="Times New Roman" w:cs="Times New Roman"/>
          <w:sz w:val="24"/>
          <w:szCs w:val="24"/>
        </w:rPr>
      </w:pPr>
    </w:p>
    <w:p w14:paraId="5F591507" w14:textId="5C282A67" w:rsidR="00C607D0" w:rsidRDefault="00D31C6C" w:rsidP="00961BBC">
      <w:p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 xml:space="preserve">Au Togo, les aires protégées constituent la pierre angulaire de conservation de la biodiversité. A cet effet, le Togo, grâce à l’appui du FEM, de l’UEMOA et du PNUD et sur ses propres fonds s’est engagé à sécuriser 578 000 ha répartis dans 14 aires protégées prioritaires. Les sites éligibles devant être institués dans le système national des aires protégées du pays sont, entre </w:t>
      </w:r>
      <w:r w:rsidR="00575A3B">
        <w:rPr>
          <w:rFonts w:ascii="Times New Roman" w:hAnsi="Times New Roman" w:cs="Times New Roman"/>
          <w:sz w:val="24"/>
          <w:szCs w:val="24"/>
        </w:rPr>
        <w:t xml:space="preserve">autres, Fazao-Malfakassa, </w:t>
      </w:r>
      <w:r w:rsidRPr="0090672F">
        <w:rPr>
          <w:rFonts w:ascii="Times New Roman" w:hAnsi="Times New Roman" w:cs="Times New Roman"/>
          <w:sz w:val="24"/>
          <w:szCs w:val="24"/>
        </w:rPr>
        <w:t>Anié, Abdoulaye, Oti-Kéran, Oti-Mandouri, Togodo-Sud, Togodo-Nord, Bayémé, Amou Mono/Tchilla-Monota, Alédjo, Fosse aux lions, auxquelles s’ajoutent les 2 forêts sacrées d’A</w:t>
      </w:r>
      <w:r w:rsidR="00DF57C4">
        <w:rPr>
          <w:rFonts w:ascii="Times New Roman" w:hAnsi="Times New Roman" w:cs="Times New Roman"/>
          <w:sz w:val="24"/>
          <w:szCs w:val="24"/>
        </w:rPr>
        <w:t>kissa</w:t>
      </w:r>
      <w:r w:rsidRPr="0090672F">
        <w:rPr>
          <w:rFonts w:ascii="Times New Roman" w:hAnsi="Times New Roman" w:cs="Times New Roman"/>
          <w:sz w:val="24"/>
          <w:szCs w:val="24"/>
        </w:rPr>
        <w:t xml:space="preserve"> et de Godjinmé sous réserve que, pour chacune d’elle, puisse être entrepris et complété le processus de requalification. Ainsi, plus de 90 000 hectares incluant neuf aires protégées ont été doté de plan d’aménagement participatif. Dans cet élan, deux aires protégées ont été requalifiées en attente de l’élaboration de leur plan d’aménagement.</w:t>
      </w:r>
      <w:r w:rsidR="00DF57C4">
        <w:rPr>
          <w:rFonts w:ascii="Times New Roman" w:hAnsi="Times New Roman" w:cs="Times New Roman"/>
          <w:sz w:val="24"/>
          <w:szCs w:val="24"/>
        </w:rPr>
        <w:t xml:space="preserve"> </w:t>
      </w:r>
      <w:r w:rsidR="00961BBC" w:rsidRPr="00961BBC">
        <w:rPr>
          <w:rFonts w:ascii="Times New Roman" w:hAnsi="Times New Roman" w:cs="Times New Roman"/>
          <w:sz w:val="24"/>
          <w:szCs w:val="24"/>
        </w:rPr>
        <w:t xml:space="preserve">Au Total sept (07) aires protégées sur les </w:t>
      </w:r>
      <w:r w:rsidR="0032015A">
        <w:rPr>
          <w:rFonts w:ascii="Times New Roman" w:hAnsi="Times New Roman" w:cs="Times New Roman"/>
          <w:sz w:val="24"/>
          <w:szCs w:val="24"/>
        </w:rPr>
        <w:t>quatorze</w:t>
      </w:r>
      <w:r w:rsidR="00961BBC" w:rsidRPr="00961BBC">
        <w:rPr>
          <w:rFonts w:ascii="Times New Roman" w:hAnsi="Times New Roman" w:cs="Times New Roman"/>
          <w:sz w:val="24"/>
          <w:szCs w:val="24"/>
        </w:rPr>
        <w:t xml:space="preserve"> ont été dotées de plans d’aménagement et de gestion soit 54%.</w:t>
      </w:r>
    </w:p>
    <w:p w14:paraId="6790B6FB" w14:textId="77777777" w:rsidR="00C607D0" w:rsidRDefault="00C607D0" w:rsidP="00961BBC">
      <w:pPr>
        <w:spacing w:after="0" w:line="240" w:lineRule="auto"/>
        <w:jc w:val="both"/>
        <w:rPr>
          <w:rFonts w:ascii="Times New Roman" w:hAnsi="Times New Roman" w:cs="Times New Roman"/>
          <w:sz w:val="24"/>
          <w:szCs w:val="24"/>
        </w:rPr>
      </w:pPr>
    </w:p>
    <w:p w14:paraId="53A0294E" w14:textId="0D788664" w:rsidR="00D31C6C" w:rsidRPr="0090672F" w:rsidRDefault="00961BBC" w:rsidP="00961BBC">
      <w:pPr>
        <w:spacing w:after="0" w:line="240" w:lineRule="auto"/>
        <w:jc w:val="both"/>
        <w:rPr>
          <w:rFonts w:ascii="Times New Roman" w:hAnsi="Times New Roman" w:cs="Times New Roman"/>
          <w:sz w:val="24"/>
          <w:szCs w:val="24"/>
        </w:rPr>
      </w:pPr>
      <w:r w:rsidRPr="00961BBC">
        <w:rPr>
          <w:rFonts w:ascii="Times New Roman" w:hAnsi="Times New Roman" w:cs="Times New Roman"/>
          <w:sz w:val="24"/>
          <w:szCs w:val="24"/>
        </w:rPr>
        <w:t>Ainsi, les aires protégées prioritaires du Togo qui disposent actuellement de plan</w:t>
      </w:r>
      <w:r w:rsidR="00DF57C4">
        <w:rPr>
          <w:rFonts w:ascii="Times New Roman" w:hAnsi="Times New Roman" w:cs="Times New Roman"/>
          <w:sz w:val="24"/>
          <w:szCs w:val="24"/>
        </w:rPr>
        <w:t>s</w:t>
      </w:r>
      <w:r w:rsidRPr="00961BBC">
        <w:rPr>
          <w:rFonts w:ascii="Times New Roman" w:hAnsi="Times New Roman" w:cs="Times New Roman"/>
          <w:sz w:val="24"/>
          <w:szCs w:val="24"/>
        </w:rPr>
        <w:t xml:space="preserve"> d’aménagement et de gestion sont : le parc national Fazao-Malfakassa, le complexe d’AP de Togodo (Nord et Sud), la réserve de faune d’Abdoulaye, l’aire protégée d’Amou-Mono,</w:t>
      </w:r>
      <w:r w:rsidR="00DF57C4">
        <w:rPr>
          <w:rFonts w:ascii="Times New Roman" w:hAnsi="Times New Roman" w:cs="Times New Roman"/>
          <w:sz w:val="24"/>
          <w:szCs w:val="24"/>
        </w:rPr>
        <w:t xml:space="preserve"> </w:t>
      </w:r>
      <w:r w:rsidRPr="00961BBC">
        <w:rPr>
          <w:rFonts w:ascii="Times New Roman" w:hAnsi="Times New Roman" w:cs="Times New Roman"/>
          <w:sz w:val="24"/>
          <w:szCs w:val="24"/>
        </w:rPr>
        <w:t>l’aire protégée d’Aledjo, la réserve de faune de Djamdè. En dehors de ces aires protégées prioritaires, la forêt classée de Missahoé et certaines forêts communautaires (Alibi I, Godjin-Godjè, Assimé, Bago, Kousountou) disposent également des plans d’aménagement et de gestion. D’autres sites de protection et de conservation de la biodiversité ont été également dotés de plan d’aménagement</w:t>
      </w:r>
      <w:r w:rsidR="00D31C6C" w:rsidRPr="0090672F">
        <w:rPr>
          <w:rFonts w:ascii="Times New Roman" w:hAnsi="Times New Roman" w:cs="Times New Roman"/>
          <w:sz w:val="24"/>
          <w:szCs w:val="24"/>
        </w:rPr>
        <w:t>. Il s’agit notamment des bassins versants et zones humides tels que :</w:t>
      </w:r>
    </w:p>
    <w:p w14:paraId="425D686E" w14:textId="77777777" w:rsidR="00D31C6C" w:rsidRPr="0090672F" w:rsidRDefault="00D31C6C" w:rsidP="00E50666">
      <w:pPr>
        <w:pStyle w:val="Paragraphedeliste"/>
        <w:numPr>
          <w:ilvl w:val="0"/>
          <w:numId w:val="20"/>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les zones humides du Littoral sous-tend la partie sud du mono intégrant le système lagunaire du Togo ;</w:t>
      </w:r>
    </w:p>
    <w:p w14:paraId="147C2EA9" w14:textId="77777777" w:rsidR="00D31C6C" w:rsidRPr="0090672F" w:rsidRDefault="00D31C6C" w:rsidP="00E50666">
      <w:pPr>
        <w:pStyle w:val="Paragraphedeliste"/>
        <w:numPr>
          <w:ilvl w:val="0"/>
          <w:numId w:val="20"/>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 bassin versant du Zio sous-tend la partie médiane du fleuve Zio ;</w:t>
      </w:r>
    </w:p>
    <w:p w14:paraId="7B16D60B" w14:textId="77777777" w:rsidR="00D31C6C" w:rsidRPr="0090672F" w:rsidRDefault="00D31C6C" w:rsidP="00E50666">
      <w:pPr>
        <w:pStyle w:val="Paragraphedeliste"/>
        <w:numPr>
          <w:ilvl w:val="0"/>
          <w:numId w:val="20"/>
        </w:numPr>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le bassin versant de l’Oti-Mandouri sous-tend la partie sud du bassin hydrographique du fleuve Oti englobant l’aire protégée d’Oti-Mandouri, les forêts communautaires Natchambouga et Djiyéga.</w:t>
      </w:r>
    </w:p>
    <w:p w14:paraId="361E5D3B" w14:textId="77777777" w:rsidR="00D31C6C" w:rsidRPr="0090672F" w:rsidRDefault="00D31C6C" w:rsidP="0090672F">
      <w:pPr>
        <w:spacing w:after="0" w:line="240" w:lineRule="auto"/>
        <w:jc w:val="both"/>
        <w:rPr>
          <w:rFonts w:ascii="Times New Roman" w:hAnsi="Times New Roman" w:cs="Times New Roman"/>
          <w:sz w:val="24"/>
          <w:szCs w:val="24"/>
        </w:rPr>
      </w:pPr>
    </w:p>
    <w:p w14:paraId="45EB7660" w14:textId="573A4577" w:rsidR="00D31C6C" w:rsidRDefault="00DF57C4" w:rsidP="0090672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Tous ces</w:t>
      </w:r>
      <w:r w:rsidR="00D31C6C" w:rsidRPr="0090672F">
        <w:rPr>
          <w:rFonts w:ascii="Times New Roman" w:hAnsi="Times New Roman" w:cs="Times New Roman"/>
          <w:sz w:val="24"/>
          <w:szCs w:val="24"/>
        </w:rPr>
        <w:t xml:space="preserve"> effort</w:t>
      </w:r>
      <w:r>
        <w:rPr>
          <w:rFonts w:ascii="Times New Roman" w:hAnsi="Times New Roman" w:cs="Times New Roman"/>
          <w:sz w:val="24"/>
          <w:szCs w:val="24"/>
        </w:rPr>
        <w:t>s</w:t>
      </w:r>
      <w:r w:rsidR="00D31C6C" w:rsidRPr="0090672F">
        <w:rPr>
          <w:rFonts w:ascii="Times New Roman" w:hAnsi="Times New Roman" w:cs="Times New Roman"/>
          <w:sz w:val="24"/>
          <w:szCs w:val="24"/>
        </w:rPr>
        <w:t xml:space="preserve"> vise</w:t>
      </w:r>
      <w:r>
        <w:rPr>
          <w:rFonts w:ascii="Times New Roman" w:hAnsi="Times New Roman" w:cs="Times New Roman"/>
          <w:sz w:val="24"/>
          <w:szCs w:val="24"/>
        </w:rPr>
        <w:t>nt</w:t>
      </w:r>
      <w:r w:rsidR="00D31C6C" w:rsidRPr="0090672F">
        <w:rPr>
          <w:rFonts w:ascii="Times New Roman" w:hAnsi="Times New Roman" w:cs="Times New Roman"/>
          <w:sz w:val="24"/>
          <w:szCs w:val="24"/>
        </w:rPr>
        <w:t xml:space="preserve"> à concilier les objectifs de conservation de la diversité biologique et l</w:t>
      </w:r>
      <w:r w:rsidR="0032015A">
        <w:rPr>
          <w:rFonts w:ascii="Times New Roman" w:hAnsi="Times New Roman" w:cs="Times New Roman"/>
          <w:sz w:val="24"/>
          <w:szCs w:val="24"/>
        </w:rPr>
        <w:t>e développement socioéconomique</w:t>
      </w:r>
      <w:r w:rsidR="00D31C6C" w:rsidRPr="0090672F">
        <w:rPr>
          <w:rFonts w:ascii="Times New Roman" w:hAnsi="Times New Roman" w:cs="Times New Roman"/>
          <w:sz w:val="24"/>
          <w:szCs w:val="24"/>
        </w:rPr>
        <w:t xml:space="preserve"> des communautés riveraines.</w:t>
      </w:r>
      <w:r w:rsidR="0032015A">
        <w:rPr>
          <w:rFonts w:ascii="Times New Roman" w:hAnsi="Times New Roman" w:cs="Times New Roman"/>
          <w:sz w:val="24"/>
          <w:szCs w:val="24"/>
        </w:rPr>
        <w:t xml:space="preserve"> </w:t>
      </w:r>
      <w:r w:rsidR="00D31C6C" w:rsidRPr="0090672F">
        <w:rPr>
          <w:rFonts w:ascii="Times New Roman" w:hAnsi="Times New Roman" w:cs="Times New Roman"/>
          <w:sz w:val="24"/>
          <w:szCs w:val="24"/>
        </w:rPr>
        <w:t>En perspective, il urge, non seulement de doter les cinq autres aires protégées de plan d’aménagement et de gestion, mais aussi de mettre en œuvre tous les plans d’aménagement et de gestion élaborés dans un cadre intégré et inclusif.</w:t>
      </w:r>
    </w:p>
    <w:p w14:paraId="752927D3" w14:textId="77777777" w:rsidR="00961BBC" w:rsidRDefault="00961BBC" w:rsidP="0090672F">
      <w:pPr>
        <w:spacing w:after="0" w:line="240" w:lineRule="auto"/>
        <w:jc w:val="both"/>
        <w:rPr>
          <w:rFonts w:ascii="Times New Roman" w:hAnsi="Times New Roman" w:cs="Times New Roman"/>
          <w:sz w:val="24"/>
          <w:szCs w:val="24"/>
        </w:rPr>
      </w:pPr>
    </w:p>
    <w:p w14:paraId="46E9B985" w14:textId="77777777" w:rsidR="00551E40" w:rsidRPr="00B54AAD" w:rsidRDefault="00551E40" w:rsidP="00551E40">
      <w:pPr>
        <w:spacing w:after="0" w:line="276" w:lineRule="auto"/>
        <w:jc w:val="both"/>
        <w:rPr>
          <w:rFonts w:ascii="Times New Roman" w:hAnsi="Times New Roman"/>
          <w:b/>
          <w:i/>
          <w:color w:val="0070C0"/>
          <w:sz w:val="24"/>
          <w:szCs w:val="24"/>
        </w:rPr>
      </w:pPr>
      <w:r w:rsidRPr="00B54AAD">
        <w:rPr>
          <w:rFonts w:ascii="Times New Roman" w:hAnsi="Times New Roman"/>
          <w:b/>
          <w:i/>
          <w:color w:val="0070C0"/>
          <w:sz w:val="24"/>
          <w:szCs w:val="24"/>
        </w:rPr>
        <w:t xml:space="preserve">Objectif 9. Développer </w:t>
      </w:r>
      <w:r w:rsidRPr="00B54AAD">
        <w:rPr>
          <w:rFonts w:ascii="Times New Roman" w:hAnsi="Times New Roman"/>
          <w:b/>
          <w:i/>
          <w:iCs/>
          <w:color w:val="0070C0"/>
          <w:sz w:val="24"/>
          <w:szCs w:val="24"/>
        </w:rPr>
        <w:t>d’ici à 2018, les connaissances suffisantes sur les espèces exotiques envahissantes en vue de mettre au point des technologies appropriées pour les contrôler</w:t>
      </w:r>
    </w:p>
    <w:p w14:paraId="0F7F0480" w14:textId="77777777" w:rsidR="00551E40" w:rsidRDefault="00551E40" w:rsidP="00551E40">
      <w:pPr>
        <w:spacing w:after="0" w:line="276" w:lineRule="auto"/>
        <w:jc w:val="both"/>
        <w:rPr>
          <w:rFonts w:ascii="Times New Roman" w:hAnsi="Times New Roman"/>
          <w:sz w:val="24"/>
          <w:szCs w:val="24"/>
        </w:rPr>
      </w:pPr>
    </w:p>
    <w:p w14:paraId="16DC6C88" w14:textId="617EF4CD" w:rsidR="00551E40" w:rsidRPr="00B54AAD" w:rsidRDefault="00551E40" w:rsidP="00551E40">
      <w:pPr>
        <w:spacing w:after="0" w:line="276" w:lineRule="auto"/>
        <w:jc w:val="both"/>
        <w:rPr>
          <w:rFonts w:ascii="Times New Roman" w:hAnsi="Times New Roman"/>
          <w:sz w:val="24"/>
          <w:szCs w:val="24"/>
        </w:rPr>
      </w:pPr>
      <w:r w:rsidRPr="00691FA2">
        <w:rPr>
          <w:rFonts w:ascii="Times New Roman" w:hAnsi="Times New Roman"/>
          <w:sz w:val="24"/>
          <w:szCs w:val="24"/>
        </w:rPr>
        <w:t xml:space="preserve">Les efforts pour la connaissance des espèces envahissantes se sont concentrés sur trois zones terrestres et la zone lagunaire avec le suivi phénologiques des espèces telles que </w:t>
      </w:r>
      <w:r w:rsidRPr="00691FA2">
        <w:rPr>
          <w:rStyle w:val="Accentuation"/>
          <w:rFonts w:ascii="Times New Roman" w:hAnsi="Times New Roman"/>
          <w:sz w:val="24"/>
          <w:szCs w:val="24"/>
        </w:rPr>
        <w:t>Eichhornia</w:t>
      </w:r>
      <w:r w:rsidRPr="00691FA2">
        <w:rPr>
          <w:rStyle w:val="st"/>
          <w:rFonts w:ascii="Times New Roman" w:hAnsi="Times New Roman"/>
          <w:sz w:val="24"/>
          <w:szCs w:val="24"/>
        </w:rPr>
        <w:t xml:space="preserve"> crassipes</w:t>
      </w:r>
      <w:r w:rsidRPr="00691FA2">
        <w:rPr>
          <w:rFonts w:ascii="Times New Roman" w:hAnsi="Times New Roman"/>
          <w:sz w:val="24"/>
          <w:szCs w:val="24"/>
        </w:rPr>
        <w:t xml:space="preserve">, </w:t>
      </w:r>
      <w:r w:rsidRPr="00691FA2">
        <w:rPr>
          <w:rStyle w:val="Accentuation"/>
          <w:rFonts w:ascii="Times New Roman" w:hAnsi="Times New Roman"/>
          <w:sz w:val="24"/>
          <w:szCs w:val="24"/>
        </w:rPr>
        <w:t>Pistia stratiotes</w:t>
      </w:r>
      <w:r w:rsidRPr="00691FA2">
        <w:rPr>
          <w:rFonts w:ascii="Times New Roman" w:hAnsi="Times New Roman"/>
          <w:sz w:val="24"/>
          <w:szCs w:val="24"/>
        </w:rPr>
        <w:t xml:space="preserve">, </w:t>
      </w:r>
      <w:r w:rsidRPr="00691FA2">
        <w:rPr>
          <w:rStyle w:val="Accentuation"/>
          <w:rFonts w:ascii="Times New Roman" w:hAnsi="Times New Roman"/>
          <w:sz w:val="24"/>
          <w:szCs w:val="24"/>
        </w:rPr>
        <w:t>Nymphaea lotus</w:t>
      </w:r>
      <w:r w:rsidRPr="00691FA2">
        <w:rPr>
          <w:rFonts w:ascii="Times New Roman" w:hAnsi="Times New Roman"/>
          <w:sz w:val="24"/>
          <w:szCs w:val="24"/>
        </w:rPr>
        <w:t xml:space="preserve">, </w:t>
      </w:r>
      <w:r w:rsidRPr="00691FA2">
        <w:rPr>
          <w:rStyle w:val="Accentuation"/>
          <w:rFonts w:ascii="Times New Roman" w:hAnsi="Times New Roman"/>
          <w:sz w:val="24"/>
          <w:szCs w:val="24"/>
        </w:rPr>
        <w:t>Ipomoea aquatica</w:t>
      </w:r>
      <w:r w:rsidRPr="00691FA2">
        <w:rPr>
          <w:rFonts w:ascii="Times New Roman" w:hAnsi="Times New Roman"/>
          <w:sz w:val="24"/>
          <w:szCs w:val="24"/>
        </w:rPr>
        <w:t>. Des essais de lutte biologique se sont rendu positifs à l’échelle expérimentale et nécessitent</w:t>
      </w:r>
      <w:r w:rsidRPr="00B54AAD">
        <w:rPr>
          <w:rFonts w:ascii="Times New Roman" w:hAnsi="Times New Roman"/>
          <w:sz w:val="24"/>
          <w:szCs w:val="24"/>
        </w:rPr>
        <w:t xml:space="preserve"> d’être vulgarisée</w:t>
      </w:r>
      <w:r>
        <w:rPr>
          <w:rFonts w:ascii="Times New Roman" w:hAnsi="Times New Roman"/>
          <w:sz w:val="24"/>
          <w:szCs w:val="24"/>
        </w:rPr>
        <w:t xml:space="preserve">. </w:t>
      </w:r>
      <w:r w:rsidRPr="00B54AAD">
        <w:rPr>
          <w:rFonts w:ascii="Times New Roman" w:hAnsi="Times New Roman"/>
          <w:sz w:val="24"/>
          <w:szCs w:val="24"/>
        </w:rPr>
        <w:t>Vue la problématique que pose les plantes envahissantes sur la conservation de la diversité biologique locale</w:t>
      </w:r>
      <w:r>
        <w:rPr>
          <w:rFonts w:ascii="Times New Roman" w:hAnsi="Times New Roman"/>
          <w:sz w:val="24"/>
          <w:szCs w:val="24"/>
        </w:rPr>
        <w:t>,</w:t>
      </w:r>
      <w:r w:rsidR="00DF57C4">
        <w:rPr>
          <w:rFonts w:ascii="Times New Roman" w:hAnsi="Times New Roman"/>
          <w:sz w:val="24"/>
          <w:szCs w:val="24"/>
        </w:rPr>
        <w:t xml:space="preserve"> il est envisagé</w:t>
      </w:r>
      <w:r w:rsidRPr="00B54AAD">
        <w:rPr>
          <w:rFonts w:ascii="Times New Roman" w:hAnsi="Times New Roman"/>
          <w:sz w:val="24"/>
          <w:szCs w:val="24"/>
        </w:rPr>
        <w:t xml:space="preserve"> de renforcer la réglementation de la circulation des ressources phyt</w:t>
      </w:r>
      <w:r>
        <w:rPr>
          <w:rFonts w:ascii="Times New Roman" w:hAnsi="Times New Roman"/>
          <w:sz w:val="24"/>
          <w:szCs w:val="24"/>
        </w:rPr>
        <w:t>ogénétiques.</w:t>
      </w:r>
    </w:p>
    <w:p w14:paraId="213C6291" w14:textId="77777777" w:rsidR="00551E40" w:rsidRDefault="00551E40" w:rsidP="0090672F">
      <w:pPr>
        <w:spacing w:after="0" w:line="240" w:lineRule="auto"/>
        <w:jc w:val="both"/>
        <w:rPr>
          <w:rFonts w:ascii="Times New Roman" w:hAnsi="Times New Roman" w:cs="Times New Roman"/>
          <w:sz w:val="24"/>
          <w:szCs w:val="24"/>
        </w:rPr>
      </w:pPr>
    </w:p>
    <w:p w14:paraId="249E2141" w14:textId="77777777" w:rsidR="00551E40" w:rsidRPr="00B54AAD" w:rsidRDefault="00551E40" w:rsidP="00551E40">
      <w:pPr>
        <w:spacing w:after="0" w:line="276" w:lineRule="auto"/>
        <w:rPr>
          <w:rFonts w:ascii="Times New Roman" w:hAnsi="Times New Roman"/>
          <w:b/>
          <w:i/>
          <w:color w:val="0070C0"/>
          <w:sz w:val="24"/>
        </w:rPr>
      </w:pPr>
      <w:r w:rsidRPr="00B54AAD">
        <w:rPr>
          <w:rFonts w:ascii="Times New Roman" w:hAnsi="Times New Roman"/>
          <w:b/>
          <w:i/>
          <w:color w:val="0070C0"/>
          <w:sz w:val="24"/>
        </w:rPr>
        <w:t>Objectif 10</w:t>
      </w:r>
      <w:r>
        <w:rPr>
          <w:rFonts w:ascii="Times New Roman" w:hAnsi="Times New Roman"/>
          <w:b/>
          <w:i/>
          <w:color w:val="0070C0"/>
          <w:sz w:val="24"/>
        </w:rPr>
        <w:t>.</w:t>
      </w:r>
      <w:r w:rsidRPr="00B54AAD">
        <w:rPr>
          <w:rFonts w:ascii="Times New Roman" w:hAnsi="Times New Roman"/>
          <w:b/>
          <w:i/>
          <w:color w:val="0070C0"/>
          <w:sz w:val="24"/>
        </w:rPr>
        <w:t xml:space="preserve"> Développer d’ici à 2016 la recherche afin d’améliorer, partager et diffuser les connaissances sur la biodiversité</w:t>
      </w:r>
    </w:p>
    <w:p w14:paraId="616E8684" w14:textId="77777777" w:rsidR="00551E40" w:rsidRDefault="00551E40" w:rsidP="00551E40">
      <w:pPr>
        <w:spacing w:after="0" w:line="276" w:lineRule="auto"/>
        <w:rPr>
          <w:rFonts w:ascii="Times New Roman" w:hAnsi="Times New Roman"/>
          <w:sz w:val="24"/>
        </w:rPr>
      </w:pPr>
    </w:p>
    <w:p w14:paraId="682B4FDD" w14:textId="4D9EFF03" w:rsidR="00551E40" w:rsidRPr="00BE0D1D" w:rsidRDefault="00551E40" w:rsidP="00551E40">
      <w:pPr>
        <w:spacing w:after="0" w:line="276" w:lineRule="auto"/>
        <w:jc w:val="both"/>
        <w:rPr>
          <w:rFonts w:ascii="Times New Roman" w:hAnsi="Times New Roman"/>
          <w:sz w:val="24"/>
        </w:rPr>
      </w:pPr>
      <w:r>
        <w:rPr>
          <w:rFonts w:ascii="Times New Roman" w:hAnsi="Times New Roman"/>
          <w:sz w:val="24"/>
        </w:rPr>
        <w:t>Vu la place de la recherche et de l’innovation technologique dans le suivi et la gestion de la diversité biologique, les acteurs togolais, avec l’aide des partenaires techniques et financiers ainsi que les universités, accordent une importance capitale et un soutien à l’inventaire forestier national pour le développement et la mise en œuvre d’une base de données globale sur les ressources forestières et la biodiversité. Aussi, le Togo a-t-il élaboré son cinquième rapport sur la diversité biologique et le document sur les indicateurs de participation à la gestion de la biodiversité. En somme,</w:t>
      </w:r>
      <w:r w:rsidRPr="00672A48">
        <w:rPr>
          <w:rFonts w:ascii="Times New Roman" w:hAnsi="Times New Roman"/>
          <w:sz w:val="24"/>
        </w:rPr>
        <w:t xml:space="preserve"> une cinquantaine d’études en lien avec la conservation de la biodiversité ont été menées</w:t>
      </w:r>
      <w:r>
        <w:rPr>
          <w:rFonts w:ascii="Times New Roman" w:hAnsi="Times New Roman"/>
          <w:sz w:val="24"/>
        </w:rPr>
        <w:t xml:space="preserve"> de 2011 à 2016 dans le cadre de divers programmes et projets comme le PNR, le PGICT, le PRAPT, PROMONO, ProREDD, etc. Il s’agit entre autres de</w:t>
      </w:r>
      <w:r w:rsidR="00DF57C4">
        <w:rPr>
          <w:rFonts w:ascii="Times New Roman" w:hAnsi="Times New Roman"/>
          <w:sz w:val="24"/>
        </w:rPr>
        <w:t xml:space="preserve"> </w:t>
      </w:r>
      <w:r>
        <w:rPr>
          <w:rFonts w:ascii="Times New Roman" w:hAnsi="Times New Roman"/>
          <w:sz w:val="24"/>
        </w:rPr>
        <w:t>: l’</w:t>
      </w:r>
      <w:r w:rsidRPr="00BE0D1D">
        <w:rPr>
          <w:rFonts w:ascii="Times New Roman" w:hAnsi="Times New Roman"/>
          <w:sz w:val="24"/>
        </w:rPr>
        <w:t xml:space="preserve">étude actualisée </w:t>
      </w:r>
      <w:r>
        <w:rPr>
          <w:rFonts w:ascii="Times New Roman" w:hAnsi="Times New Roman"/>
          <w:sz w:val="24"/>
        </w:rPr>
        <w:t>de</w:t>
      </w:r>
      <w:r w:rsidRPr="00BE0D1D">
        <w:rPr>
          <w:rFonts w:ascii="Times New Roman" w:hAnsi="Times New Roman"/>
          <w:sz w:val="24"/>
        </w:rPr>
        <w:t xml:space="preserve"> la contribution du secteur f</w:t>
      </w:r>
      <w:r>
        <w:rPr>
          <w:rFonts w:ascii="Times New Roman" w:hAnsi="Times New Roman"/>
          <w:sz w:val="24"/>
        </w:rPr>
        <w:t xml:space="preserve">orestier à l’économie nationale, l’étude </w:t>
      </w:r>
      <w:r w:rsidRPr="00BE0D1D">
        <w:rPr>
          <w:rFonts w:ascii="Times New Roman" w:hAnsi="Times New Roman"/>
          <w:sz w:val="24"/>
        </w:rPr>
        <w:t xml:space="preserve">sur les espèces forestières adaptées aux changements climatiques et </w:t>
      </w:r>
      <w:r>
        <w:rPr>
          <w:rFonts w:ascii="Times New Roman" w:hAnsi="Times New Roman"/>
          <w:sz w:val="24"/>
        </w:rPr>
        <w:t>aux zones agroécologiques du Togo, l’</w:t>
      </w:r>
      <w:r w:rsidRPr="00BE0D1D">
        <w:rPr>
          <w:rFonts w:ascii="Times New Roman" w:hAnsi="Times New Roman"/>
          <w:sz w:val="24"/>
        </w:rPr>
        <w:t>étude sur le cadre institutionnel de mise en œuvre et d’incitation au reboisement</w:t>
      </w:r>
      <w:r>
        <w:rPr>
          <w:rFonts w:ascii="Times New Roman" w:hAnsi="Times New Roman"/>
          <w:sz w:val="24"/>
        </w:rPr>
        <w:t>, l</w:t>
      </w:r>
      <w:r w:rsidRPr="00BE0D1D">
        <w:rPr>
          <w:rFonts w:ascii="Times New Roman" w:hAnsi="Times New Roman"/>
          <w:sz w:val="24"/>
        </w:rPr>
        <w:t>’état des lieux de la ressource</w:t>
      </w:r>
      <w:r w:rsidR="00017384">
        <w:rPr>
          <w:rFonts w:ascii="Times New Roman" w:hAnsi="Times New Roman"/>
          <w:sz w:val="24"/>
        </w:rPr>
        <w:t xml:space="preserve"> biologique</w:t>
      </w:r>
      <w:r w:rsidRPr="00BE0D1D">
        <w:rPr>
          <w:rFonts w:ascii="Times New Roman" w:hAnsi="Times New Roman"/>
          <w:sz w:val="24"/>
        </w:rPr>
        <w:t xml:space="preserve"> et de la gestion des aires protégées</w:t>
      </w:r>
      <w:r>
        <w:rPr>
          <w:rFonts w:ascii="Times New Roman" w:hAnsi="Times New Roman"/>
          <w:sz w:val="24"/>
        </w:rPr>
        <w:t xml:space="preserve">, l’évaluation de la faune ornithologique, l’étude </w:t>
      </w:r>
      <w:r w:rsidR="00017384">
        <w:rPr>
          <w:rFonts w:ascii="Times New Roman" w:hAnsi="Times New Roman"/>
          <w:sz w:val="24"/>
        </w:rPr>
        <w:t>sur le</w:t>
      </w:r>
      <w:r>
        <w:rPr>
          <w:rFonts w:ascii="Times New Roman" w:hAnsi="Times New Roman"/>
          <w:sz w:val="24"/>
        </w:rPr>
        <w:t>s Primates, etc.</w:t>
      </w:r>
    </w:p>
    <w:p w14:paraId="60A3D049" w14:textId="77777777" w:rsidR="00551E40" w:rsidRDefault="00551E40" w:rsidP="0090672F">
      <w:pPr>
        <w:spacing w:after="0" w:line="240" w:lineRule="auto"/>
        <w:jc w:val="both"/>
        <w:rPr>
          <w:rFonts w:ascii="Times New Roman" w:hAnsi="Times New Roman" w:cs="Times New Roman"/>
          <w:sz w:val="24"/>
          <w:szCs w:val="24"/>
        </w:rPr>
      </w:pPr>
    </w:p>
    <w:p w14:paraId="1F802783" w14:textId="77777777" w:rsidR="0032015A" w:rsidRDefault="0032015A">
      <w:pPr>
        <w:rPr>
          <w:rFonts w:ascii="Times New Roman" w:hAnsi="Times New Roman"/>
          <w:b/>
          <w:i/>
          <w:color w:val="0070C0"/>
          <w:sz w:val="24"/>
        </w:rPr>
      </w:pPr>
      <w:r>
        <w:rPr>
          <w:rFonts w:ascii="Times New Roman" w:hAnsi="Times New Roman"/>
          <w:b/>
          <w:i/>
          <w:color w:val="0070C0"/>
          <w:sz w:val="24"/>
        </w:rPr>
        <w:br w:type="page"/>
      </w:r>
    </w:p>
    <w:p w14:paraId="077A7C28" w14:textId="127EA4AC" w:rsidR="00551E40" w:rsidRPr="00B54AAD" w:rsidRDefault="00551E40" w:rsidP="00551E40">
      <w:pPr>
        <w:spacing w:after="0" w:line="276" w:lineRule="auto"/>
        <w:jc w:val="both"/>
        <w:rPr>
          <w:rFonts w:ascii="Times New Roman" w:hAnsi="Times New Roman"/>
          <w:b/>
          <w:i/>
          <w:iCs/>
          <w:color w:val="0070C0"/>
          <w:sz w:val="24"/>
        </w:rPr>
      </w:pPr>
      <w:r w:rsidRPr="00B54AAD">
        <w:rPr>
          <w:rFonts w:ascii="Times New Roman" w:hAnsi="Times New Roman"/>
          <w:b/>
          <w:i/>
          <w:color w:val="0070C0"/>
          <w:sz w:val="24"/>
        </w:rPr>
        <w:t>Objectif 11</w:t>
      </w:r>
      <w:r>
        <w:rPr>
          <w:rFonts w:ascii="Times New Roman" w:hAnsi="Times New Roman"/>
          <w:b/>
          <w:i/>
          <w:color w:val="0070C0"/>
          <w:sz w:val="24"/>
        </w:rPr>
        <w:t>.</w:t>
      </w:r>
      <w:r w:rsidRPr="00B54AAD">
        <w:rPr>
          <w:rFonts w:ascii="Times New Roman" w:hAnsi="Times New Roman"/>
          <w:b/>
          <w:i/>
          <w:color w:val="0070C0"/>
          <w:sz w:val="24"/>
        </w:rPr>
        <w:t xml:space="preserve"> Réaliser l’inventaire </w:t>
      </w:r>
      <w:r w:rsidRPr="00B54AAD">
        <w:rPr>
          <w:rFonts w:ascii="Times New Roman" w:hAnsi="Times New Roman"/>
          <w:b/>
          <w:i/>
          <w:iCs/>
          <w:color w:val="0070C0"/>
          <w:sz w:val="24"/>
        </w:rPr>
        <w:t>des ressources halieutiques comestibles (stocks de poissons et des crustacés) afin que d’ici à 2016 des plans et des mesures de récolte contrôlée soient mis en place</w:t>
      </w:r>
    </w:p>
    <w:p w14:paraId="00F9B2C6" w14:textId="77777777" w:rsidR="00551E40" w:rsidRDefault="00551E40" w:rsidP="00551E40">
      <w:pPr>
        <w:spacing w:after="0" w:line="276" w:lineRule="auto"/>
        <w:jc w:val="both"/>
        <w:rPr>
          <w:rFonts w:ascii="Times New Roman" w:hAnsi="Times New Roman"/>
          <w:iCs/>
          <w:sz w:val="24"/>
        </w:rPr>
      </w:pPr>
    </w:p>
    <w:p w14:paraId="064BF7CD" w14:textId="647F1A3B" w:rsidR="00551E40" w:rsidRDefault="00551E40" w:rsidP="00551E40">
      <w:pPr>
        <w:spacing w:after="0" w:line="276" w:lineRule="auto"/>
        <w:jc w:val="both"/>
        <w:rPr>
          <w:rFonts w:ascii="Times New Roman" w:hAnsi="Times New Roman"/>
          <w:iCs/>
          <w:sz w:val="24"/>
        </w:rPr>
      </w:pPr>
      <w:r>
        <w:rPr>
          <w:rFonts w:ascii="Times New Roman" w:hAnsi="Times New Roman"/>
          <w:iCs/>
          <w:sz w:val="24"/>
        </w:rPr>
        <w:t>Les ressources halieutiques comestibles font partie des principaux moyens de subsistance de la population togolaise. C’est donc à juste titre que le gouvernement a retenu</w:t>
      </w:r>
      <w:r w:rsidR="0032015A">
        <w:rPr>
          <w:rFonts w:ascii="Times New Roman" w:hAnsi="Times New Roman"/>
          <w:iCs/>
          <w:sz w:val="24"/>
        </w:rPr>
        <w:t xml:space="preserve"> la réalisation de l’inventaire </w:t>
      </w:r>
      <w:r>
        <w:rPr>
          <w:rFonts w:ascii="Times New Roman" w:hAnsi="Times New Roman"/>
          <w:iCs/>
          <w:sz w:val="24"/>
        </w:rPr>
        <w:t>de ces ressources comme objectif dans la SPANB. Depuis lors, des campagnes</w:t>
      </w:r>
      <w:r w:rsidR="0032015A">
        <w:rPr>
          <w:rFonts w:ascii="Times New Roman" w:hAnsi="Times New Roman"/>
          <w:iCs/>
          <w:sz w:val="24"/>
        </w:rPr>
        <w:t xml:space="preserve"> </w:t>
      </w:r>
      <w:r w:rsidRPr="00374EF6">
        <w:rPr>
          <w:rFonts w:ascii="Times New Roman" w:hAnsi="Times New Roman"/>
          <w:iCs/>
          <w:sz w:val="24"/>
        </w:rPr>
        <w:t xml:space="preserve">d’évaluation des espèces pélagiques </w:t>
      </w:r>
      <w:r>
        <w:rPr>
          <w:rFonts w:ascii="Times New Roman" w:hAnsi="Times New Roman"/>
          <w:iCs/>
          <w:sz w:val="24"/>
        </w:rPr>
        <w:t xml:space="preserve">et </w:t>
      </w:r>
      <w:r w:rsidRPr="00374EF6">
        <w:rPr>
          <w:rFonts w:ascii="Times New Roman" w:hAnsi="Times New Roman"/>
          <w:iCs/>
          <w:sz w:val="24"/>
        </w:rPr>
        <w:t>des espèces démersales da</w:t>
      </w:r>
      <w:r w:rsidR="00017384">
        <w:rPr>
          <w:rFonts w:ascii="Times New Roman" w:hAnsi="Times New Roman"/>
          <w:iCs/>
          <w:sz w:val="24"/>
        </w:rPr>
        <w:t>ns la zone économique exclusive</w:t>
      </w:r>
      <w:r w:rsidRPr="00374EF6">
        <w:rPr>
          <w:rFonts w:ascii="Times New Roman" w:hAnsi="Times New Roman"/>
          <w:iCs/>
          <w:sz w:val="24"/>
        </w:rPr>
        <w:t xml:space="preserve"> (ZEE) du Togo</w:t>
      </w:r>
      <w:r>
        <w:rPr>
          <w:rFonts w:ascii="Times New Roman" w:hAnsi="Times New Roman"/>
          <w:iCs/>
          <w:sz w:val="24"/>
        </w:rPr>
        <w:t xml:space="preserve"> ont été  menées. Des efforts seront donc consentis afin que d’ici </w:t>
      </w:r>
      <w:r w:rsidR="00017384">
        <w:rPr>
          <w:rFonts w:ascii="Times New Roman" w:hAnsi="Times New Roman"/>
          <w:iCs/>
          <w:sz w:val="24"/>
        </w:rPr>
        <w:t xml:space="preserve">à </w:t>
      </w:r>
      <w:r>
        <w:rPr>
          <w:rFonts w:ascii="Times New Roman" w:hAnsi="Times New Roman"/>
          <w:iCs/>
          <w:sz w:val="24"/>
        </w:rPr>
        <w:t xml:space="preserve">2020, cet inventaire soit réalisé pour mieux planifier la gestion de ces ressources. </w:t>
      </w:r>
    </w:p>
    <w:p w14:paraId="2B6E2AD9" w14:textId="77777777" w:rsidR="00551E40" w:rsidRDefault="00551E40" w:rsidP="0090672F">
      <w:pPr>
        <w:spacing w:after="0" w:line="240" w:lineRule="auto"/>
        <w:jc w:val="both"/>
        <w:rPr>
          <w:rFonts w:ascii="Times New Roman" w:hAnsi="Times New Roman" w:cs="Times New Roman"/>
          <w:sz w:val="24"/>
          <w:szCs w:val="24"/>
        </w:rPr>
      </w:pPr>
    </w:p>
    <w:p w14:paraId="3C6E8EB9" w14:textId="7B58F2FA" w:rsidR="00551E40" w:rsidRPr="00B54AAD" w:rsidRDefault="00551E40" w:rsidP="00551E40">
      <w:pPr>
        <w:spacing w:after="0" w:line="276" w:lineRule="auto"/>
        <w:jc w:val="both"/>
        <w:rPr>
          <w:rFonts w:ascii="Times New Roman" w:hAnsi="Times New Roman"/>
          <w:b/>
          <w:i/>
          <w:iCs/>
          <w:color w:val="0070C0"/>
          <w:sz w:val="24"/>
        </w:rPr>
      </w:pPr>
      <w:r w:rsidRPr="00B54AAD">
        <w:rPr>
          <w:rFonts w:ascii="Times New Roman" w:hAnsi="Times New Roman"/>
          <w:b/>
          <w:i/>
          <w:color w:val="0070C0"/>
          <w:sz w:val="24"/>
        </w:rPr>
        <w:t>Objectif 12</w:t>
      </w:r>
      <w:r>
        <w:rPr>
          <w:rFonts w:ascii="Times New Roman" w:hAnsi="Times New Roman"/>
          <w:b/>
          <w:i/>
          <w:color w:val="0070C0"/>
          <w:sz w:val="24"/>
        </w:rPr>
        <w:t>.</w:t>
      </w:r>
      <w:r w:rsidR="00017384">
        <w:rPr>
          <w:rFonts w:ascii="Times New Roman" w:hAnsi="Times New Roman"/>
          <w:b/>
          <w:i/>
          <w:color w:val="0070C0"/>
          <w:sz w:val="24"/>
        </w:rPr>
        <w:t xml:space="preserve"> </w:t>
      </w:r>
      <w:r w:rsidRPr="00B54AAD">
        <w:rPr>
          <w:rFonts w:ascii="Times New Roman" w:hAnsi="Times New Roman"/>
          <w:b/>
          <w:i/>
          <w:iCs/>
          <w:color w:val="0070C0"/>
          <w:sz w:val="24"/>
        </w:rPr>
        <w:t xml:space="preserve">Réduire significativement d’ici à 2018 l’érosion génétique </w:t>
      </w:r>
      <w:r w:rsidR="00017384">
        <w:rPr>
          <w:rFonts w:ascii="Times New Roman" w:hAnsi="Times New Roman"/>
          <w:b/>
          <w:i/>
          <w:iCs/>
          <w:color w:val="0070C0"/>
          <w:sz w:val="24"/>
        </w:rPr>
        <w:t>de la diversité biolog</w:t>
      </w:r>
      <w:r w:rsidRPr="00B54AAD">
        <w:rPr>
          <w:rFonts w:ascii="Times New Roman" w:hAnsi="Times New Roman"/>
          <w:b/>
          <w:i/>
          <w:iCs/>
          <w:color w:val="0070C0"/>
          <w:sz w:val="24"/>
        </w:rPr>
        <w:t>ique des plantes cultivées, des animaux d’élevage et des parents sauvages, des espèces à valeur socio-économique ou culturelle</w:t>
      </w:r>
    </w:p>
    <w:p w14:paraId="7866191F" w14:textId="77777777" w:rsidR="00551E40" w:rsidRDefault="00551E40" w:rsidP="00551E40">
      <w:pPr>
        <w:spacing w:after="0" w:line="276" w:lineRule="auto"/>
        <w:jc w:val="both"/>
        <w:rPr>
          <w:rFonts w:ascii="Times New Roman" w:hAnsi="Times New Roman"/>
          <w:sz w:val="24"/>
        </w:rPr>
      </w:pPr>
    </w:p>
    <w:p w14:paraId="7FDEAE8C" w14:textId="4F5BF6D3" w:rsidR="00551E40" w:rsidRPr="00E808D0" w:rsidRDefault="00551E40" w:rsidP="00551E40">
      <w:pPr>
        <w:spacing w:after="0" w:line="276" w:lineRule="auto"/>
        <w:jc w:val="both"/>
        <w:rPr>
          <w:rFonts w:ascii="Times New Roman" w:hAnsi="Times New Roman"/>
          <w:sz w:val="24"/>
        </w:rPr>
      </w:pPr>
      <w:r w:rsidRPr="00E54B9D">
        <w:rPr>
          <w:rFonts w:ascii="Times New Roman" w:hAnsi="Times New Roman"/>
          <w:sz w:val="24"/>
        </w:rPr>
        <w:t xml:space="preserve">La </w:t>
      </w:r>
      <w:r>
        <w:rPr>
          <w:rFonts w:ascii="Times New Roman" w:hAnsi="Times New Roman"/>
          <w:sz w:val="24"/>
        </w:rPr>
        <w:t>préservation de la diversité génétique est un défi majeur dans la conservation de la biodiver</w:t>
      </w:r>
      <w:r w:rsidR="00017384">
        <w:rPr>
          <w:rFonts w:ascii="Times New Roman" w:hAnsi="Times New Roman"/>
          <w:sz w:val="24"/>
        </w:rPr>
        <w:t>sité agricole.  Le gouvernement, grâce à l’appui technique et financier de ses</w:t>
      </w:r>
      <w:r>
        <w:rPr>
          <w:rFonts w:ascii="Times New Roman" w:hAnsi="Times New Roman"/>
          <w:sz w:val="24"/>
        </w:rPr>
        <w:t xml:space="preserve"> partenaires</w:t>
      </w:r>
      <w:r w:rsidR="00017384">
        <w:rPr>
          <w:rFonts w:ascii="Times New Roman" w:hAnsi="Times New Roman"/>
          <w:sz w:val="24"/>
        </w:rPr>
        <w:t>,</w:t>
      </w:r>
      <w:r>
        <w:rPr>
          <w:rFonts w:ascii="Times New Roman" w:hAnsi="Times New Roman"/>
          <w:sz w:val="24"/>
        </w:rPr>
        <w:t xml:space="preserve"> a initié et conduit un programme d’adaptation du secteur agricole aux changements climatiques à travers le projet ADAPT dans le cadre du programme PPAO. Cette initiative a consisté à identifier et à vulgariser des espèces et variétés résilientes aux changements climatiques et à promouvoir l’adoption des bonnes pratiques de gestion durable des terres. Il faut aussi mentionner au titre des mesures prises pour r</w:t>
      </w:r>
      <w:r w:rsidRPr="00E808D0">
        <w:rPr>
          <w:rFonts w:ascii="Times New Roman" w:hAnsi="Times New Roman"/>
          <w:iCs/>
          <w:sz w:val="24"/>
        </w:rPr>
        <w:t>éduire l’érosion</w:t>
      </w:r>
      <w:r w:rsidR="00017384">
        <w:rPr>
          <w:rFonts w:ascii="Times New Roman" w:hAnsi="Times New Roman"/>
          <w:iCs/>
          <w:sz w:val="24"/>
        </w:rPr>
        <w:t xml:space="preserve"> génétique de la diversité biolog</w:t>
      </w:r>
      <w:r w:rsidRPr="00E808D0">
        <w:rPr>
          <w:rFonts w:ascii="Times New Roman" w:hAnsi="Times New Roman"/>
          <w:iCs/>
          <w:sz w:val="24"/>
        </w:rPr>
        <w:t>ique des plantes cultivées, des espèces à valeur socio-économique ou culturelle</w:t>
      </w:r>
      <w:r w:rsidR="00017384">
        <w:rPr>
          <w:rFonts w:ascii="Times New Roman" w:hAnsi="Times New Roman"/>
          <w:iCs/>
          <w:sz w:val="24"/>
        </w:rPr>
        <w:t xml:space="preserve"> </w:t>
      </w:r>
      <w:r w:rsidRPr="00E808D0">
        <w:rPr>
          <w:rFonts w:ascii="Times New Roman" w:hAnsi="Times New Roman"/>
          <w:sz w:val="24"/>
        </w:rPr>
        <w:t>:</w:t>
      </w:r>
    </w:p>
    <w:p w14:paraId="1CDB2D78" w14:textId="77777777" w:rsidR="00551E40" w:rsidRDefault="00551E40" w:rsidP="00E50666">
      <w:pPr>
        <w:pStyle w:val="Paragraphedeliste"/>
        <w:numPr>
          <w:ilvl w:val="0"/>
          <w:numId w:val="21"/>
        </w:numPr>
        <w:spacing w:after="0"/>
        <w:jc w:val="both"/>
        <w:rPr>
          <w:rFonts w:ascii="Times New Roman" w:hAnsi="Times New Roman"/>
          <w:sz w:val="24"/>
        </w:rPr>
      </w:pPr>
      <w:r w:rsidRPr="00F032A0">
        <w:rPr>
          <w:rFonts w:ascii="Times New Roman" w:hAnsi="Times New Roman"/>
          <w:sz w:val="24"/>
        </w:rPr>
        <w:t>l’appui aux ménages vulnérables au reboisement communautaire des espèces à haute valeur économique pérenne ;</w:t>
      </w:r>
    </w:p>
    <w:p w14:paraId="1F6C0AC5" w14:textId="77777777" w:rsidR="00551E40" w:rsidRDefault="00551E40" w:rsidP="00E50666">
      <w:pPr>
        <w:pStyle w:val="Paragraphedeliste"/>
        <w:numPr>
          <w:ilvl w:val="0"/>
          <w:numId w:val="21"/>
        </w:numPr>
        <w:spacing w:after="0"/>
        <w:jc w:val="both"/>
        <w:rPr>
          <w:rFonts w:ascii="Times New Roman" w:hAnsi="Times New Roman"/>
          <w:sz w:val="24"/>
        </w:rPr>
      </w:pPr>
      <w:r>
        <w:rPr>
          <w:rFonts w:ascii="Times New Roman" w:hAnsi="Times New Roman"/>
          <w:sz w:val="24"/>
        </w:rPr>
        <w:t>l’a</w:t>
      </w:r>
      <w:r w:rsidRPr="00F032A0">
        <w:rPr>
          <w:rFonts w:ascii="Times New Roman" w:hAnsi="Times New Roman"/>
          <w:sz w:val="24"/>
        </w:rPr>
        <w:t>ppui des ménages vulnérables aux élevages familiaux à haute valeur économique pérenne</w:t>
      </w:r>
      <w:r>
        <w:rPr>
          <w:rFonts w:ascii="Times New Roman" w:hAnsi="Times New Roman"/>
          <w:sz w:val="24"/>
        </w:rPr>
        <w:t>.</w:t>
      </w:r>
    </w:p>
    <w:p w14:paraId="0EE5E78F" w14:textId="77777777" w:rsidR="00551E40" w:rsidRDefault="00551E40" w:rsidP="0090672F">
      <w:pPr>
        <w:spacing w:after="0" w:line="240" w:lineRule="auto"/>
        <w:jc w:val="both"/>
        <w:rPr>
          <w:rFonts w:ascii="Times New Roman" w:hAnsi="Times New Roman" w:cs="Times New Roman"/>
          <w:sz w:val="24"/>
          <w:szCs w:val="24"/>
        </w:rPr>
      </w:pPr>
    </w:p>
    <w:p w14:paraId="24F11113" w14:textId="77777777" w:rsidR="007475D1" w:rsidRPr="00744BD1" w:rsidRDefault="007475D1" w:rsidP="007475D1">
      <w:pPr>
        <w:pStyle w:val="Paragraphedeliste"/>
        <w:spacing w:after="0"/>
        <w:ind w:left="0"/>
        <w:jc w:val="both"/>
        <w:rPr>
          <w:rFonts w:ascii="Times New Roman" w:hAnsi="Times New Roman"/>
          <w:b/>
          <w:i/>
          <w:color w:val="0070C0"/>
          <w:sz w:val="24"/>
          <w:szCs w:val="24"/>
        </w:rPr>
      </w:pPr>
      <w:r w:rsidRPr="00744BD1">
        <w:rPr>
          <w:rFonts w:ascii="Times New Roman" w:hAnsi="Times New Roman"/>
          <w:b/>
          <w:i/>
          <w:color w:val="0070C0"/>
          <w:sz w:val="24"/>
          <w:szCs w:val="24"/>
        </w:rPr>
        <w:t>Objectif 13. Etablir d’ici à 2018, le statut de conservation des espèces de faune et de flore terrestres, aquatiques et semi-aquatiques afin d’élaborer des plans d’utilisation durable et de conservation spécifique</w:t>
      </w:r>
    </w:p>
    <w:p w14:paraId="4F28BB40" w14:textId="77777777" w:rsidR="007475D1" w:rsidRPr="00744BD1" w:rsidRDefault="007475D1" w:rsidP="007475D1">
      <w:pPr>
        <w:spacing w:after="0" w:line="276" w:lineRule="auto"/>
        <w:jc w:val="both"/>
        <w:rPr>
          <w:rFonts w:ascii="Times New Roman" w:hAnsi="Times New Roman"/>
          <w:sz w:val="24"/>
          <w:szCs w:val="24"/>
        </w:rPr>
      </w:pPr>
    </w:p>
    <w:p w14:paraId="68A46CAD" w14:textId="77777777" w:rsidR="007475D1" w:rsidRPr="00744BD1" w:rsidRDefault="007475D1" w:rsidP="007475D1">
      <w:pPr>
        <w:spacing w:after="0" w:line="276" w:lineRule="auto"/>
        <w:jc w:val="both"/>
        <w:rPr>
          <w:rFonts w:ascii="Times New Roman" w:hAnsi="Times New Roman"/>
          <w:sz w:val="24"/>
          <w:szCs w:val="24"/>
        </w:rPr>
      </w:pPr>
      <w:r w:rsidRPr="00744BD1">
        <w:rPr>
          <w:rFonts w:ascii="Times New Roman" w:hAnsi="Times New Roman"/>
          <w:sz w:val="24"/>
          <w:szCs w:val="24"/>
        </w:rPr>
        <w:t>Concernant cet objectif, le MERF a réalisé en 2016, en collaboration avec l’Université de Lomé, une étude portant sur quatre espèces de faune faisant l’objet du commerce international au Togo dans le but de fournir les informations nécessaires à l’Union Européenne (UE) lui permettant d’autoriser l’importation sur le territoire UE desdites espèces d’une part et de respecter les notifications du CITES d’autre part. Il s’agit du perroquet d’Afrique (</w:t>
      </w:r>
      <w:r w:rsidRPr="00744BD1">
        <w:rPr>
          <w:rFonts w:ascii="Times New Roman" w:hAnsi="Times New Roman"/>
          <w:i/>
          <w:sz w:val="24"/>
          <w:szCs w:val="24"/>
        </w:rPr>
        <w:t>Psittacus erithacus), du</w:t>
      </w:r>
      <w:r w:rsidRPr="00744BD1">
        <w:rPr>
          <w:rFonts w:ascii="Times New Roman" w:hAnsi="Times New Roman"/>
          <w:sz w:val="24"/>
          <w:szCs w:val="24"/>
        </w:rPr>
        <w:t xml:space="preserve"> caméléon gracile </w:t>
      </w:r>
      <w:r w:rsidRPr="00744BD1">
        <w:rPr>
          <w:rFonts w:ascii="Times New Roman" w:hAnsi="Times New Roman"/>
          <w:i/>
          <w:sz w:val="24"/>
          <w:szCs w:val="24"/>
        </w:rPr>
        <w:t xml:space="preserve">(Chamaeleo gracilis), de </w:t>
      </w:r>
      <w:r w:rsidRPr="00744BD1">
        <w:rPr>
          <w:rFonts w:ascii="Times New Roman" w:hAnsi="Times New Roman"/>
          <w:sz w:val="24"/>
          <w:szCs w:val="24"/>
        </w:rPr>
        <w:t>la tortue de Home Home’s</w:t>
      </w:r>
      <w:r w:rsidRPr="00744BD1">
        <w:rPr>
          <w:rFonts w:ascii="Times New Roman" w:hAnsi="Times New Roman"/>
          <w:i/>
          <w:sz w:val="24"/>
          <w:szCs w:val="24"/>
        </w:rPr>
        <w:t xml:space="preserve"> (Kinixys homeana) et du</w:t>
      </w:r>
      <w:r w:rsidRPr="00744BD1">
        <w:rPr>
          <w:rFonts w:ascii="Times New Roman" w:hAnsi="Times New Roman"/>
          <w:sz w:val="24"/>
          <w:szCs w:val="24"/>
        </w:rPr>
        <w:t xml:space="preserve"> scorpion noir (</w:t>
      </w:r>
      <w:r w:rsidRPr="00744BD1">
        <w:rPr>
          <w:rFonts w:ascii="Times New Roman" w:hAnsi="Times New Roman"/>
          <w:i/>
          <w:sz w:val="24"/>
          <w:szCs w:val="24"/>
        </w:rPr>
        <w:t>Pandinus imperator</w:t>
      </w:r>
      <w:r w:rsidRPr="00744BD1">
        <w:rPr>
          <w:rFonts w:ascii="Times New Roman" w:hAnsi="Times New Roman"/>
          <w:sz w:val="24"/>
          <w:szCs w:val="24"/>
        </w:rPr>
        <w:t xml:space="preserve">). Cette étude a été réalisée pour répondre aux dispositions de la convention de Washington sur le commerce international des espèces de faune et de flore sauvages menacées d’extinction (CITES). </w:t>
      </w:r>
    </w:p>
    <w:p w14:paraId="06EA0E4E" w14:textId="77777777" w:rsidR="007475D1" w:rsidRPr="00744BD1" w:rsidRDefault="007475D1" w:rsidP="007475D1">
      <w:pPr>
        <w:spacing w:after="0" w:line="276" w:lineRule="auto"/>
        <w:jc w:val="both"/>
        <w:rPr>
          <w:rFonts w:ascii="Times New Roman" w:hAnsi="Times New Roman"/>
          <w:sz w:val="24"/>
          <w:szCs w:val="24"/>
        </w:rPr>
      </w:pPr>
    </w:p>
    <w:p w14:paraId="5C337790" w14:textId="77777777" w:rsidR="007475D1" w:rsidRPr="00744BD1" w:rsidRDefault="007475D1" w:rsidP="007475D1">
      <w:pPr>
        <w:spacing w:after="0" w:line="276" w:lineRule="auto"/>
        <w:jc w:val="both"/>
        <w:rPr>
          <w:rFonts w:ascii="Times New Roman" w:hAnsi="Times New Roman"/>
          <w:sz w:val="24"/>
          <w:szCs w:val="24"/>
        </w:rPr>
      </w:pPr>
      <w:r w:rsidRPr="00744BD1">
        <w:rPr>
          <w:rFonts w:ascii="Times New Roman" w:hAnsi="Times New Roman"/>
          <w:sz w:val="24"/>
          <w:szCs w:val="24"/>
        </w:rPr>
        <w:t xml:space="preserve">En addition à cette étude, la DRF/MERF a </w:t>
      </w:r>
      <w:r w:rsidRPr="00E10787">
        <w:rPr>
          <w:rFonts w:ascii="Times New Roman" w:hAnsi="Times New Roman"/>
          <w:sz w:val="24"/>
          <w:szCs w:val="24"/>
        </w:rPr>
        <w:t>procédé de 2011 à 2018</w:t>
      </w:r>
      <w:r w:rsidRPr="00744BD1">
        <w:rPr>
          <w:rFonts w:ascii="Times New Roman" w:hAnsi="Times New Roman"/>
          <w:sz w:val="24"/>
          <w:szCs w:val="24"/>
        </w:rPr>
        <w:t xml:space="preserve"> au suivi écologique des mouvements des oiseaux migrateurs. Aussi, une formation a eu lieu à Lomé en février 2013 à l’endroit de plusieurs spécialistes des groupes végétaux et animaux sur l’application des critères pour évaluer le statut de conservation des espèces animales d’Afrique de l’Ouest.</w:t>
      </w:r>
    </w:p>
    <w:p w14:paraId="3D7EB61D" w14:textId="77777777" w:rsidR="007475D1" w:rsidRPr="00744BD1" w:rsidRDefault="007475D1" w:rsidP="007475D1">
      <w:pPr>
        <w:spacing w:after="0" w:line="276" w:lineRule="auto"/>
        <w:jc w:val="both"/>
        <w:rPr>
          <w:rFonts w:ascii="Times New Roman" w:hAnsi="Times New Roman"/>
          <w:sz w:val="24"/>
          <w:szCs w:val="24"/>
        </w:rPr>
      </w:pPr>
    </w:p>
    <w:p w14:paraId="411D5877" w14:textId="1059FFAD" w:rsidR="007475D1" w:rsidRPr="00744BD1" w:rsidRDefault="007475D1" w:rsidP="007475D1">
      <w:pPr>
        <w:autoSpaceDE w:val="0"/>
        <w:autoSpaceDN w:val="0"/>
        <w:adjustRightInd w:val="0"/>
        <w:spacing w:after="0" w:line="276" w:lineRule="auto"/>
        <w:jc w:val="both"/>
        <w:rPr>
          <w:rFonts w:ascii="Times New Roman" w:hAnsi="Times New Roman" w:cs="Times New Roman"/>
          <w:i/>
          <w:iCs/>
          <w:sz w:val="24"/>
          <w:szCs w:val="24"/>
        </w:rPr>
      </w:pPr>
      <w:r w:rsidRPr="00744BD1">
        <w:rPr>
          <w:rFonts w:ascii="Times New Roman" w:hAnsi="Times New Roman" w:cs="Times New Roman"/>
          <w:sz w:val="24"/>
          <w:szCs w:val="24"/>
        </w:rPr>
        <w:t xml:space="preserve">Par ailleurs, il faut relever que le statut de certaines espèces est alarmant et des mesures urgentes devraient être prises pour leur protection intégrale. Ces espèces comptent pour 0,4% de la flore (soit 12 espèces) qui sont actuellement en danger et sont menacées de disparaître définitivement du territoire togolais. Parmi ces espèces, on peut citer </w:t>
      </w:r>
      <w:r w:rsidRPr="00744BD1">
        <w:rPr>
          <w:rFonts w:ascii="Times New Roman" w:hAnsi="Times New Roman" w:cs="Times New Roman"/>
          <w:i/>
          <w:sz w:val="24"/>
          <w:szCs w:val="24"/>
        </w:rPr>
        <w:t>Aldrovanda vesiculosa, Diospyros ferrea, Pavetta lindina, Pavetta mollis, Parinari macrop</w:t>
      </w:r>
      <w:r w:rsidR="00017384">
        <w:rPr>
          <w:rFonts w:ascii="Times New Roman" w:hAnsi="Times New Roman" w:cs="Times New Roman"/>
          <w:i/>
          <w:sz w:val="24"/>
          <w:szCs w:val="24"/>
        </w:rPr>
        <w:t>hylla, et Placodiscus attenuatu, etc.</w:t>
      </w:r>
    </w:p>
    <w:p w14:paraId="1DD7B695" w14:textId="77777777" w:rsidR="007475D1" w:rsidRPr="00744BD1" w:rsidRDefault="007475D1" w:rsidP="007475D1">
      <w:pPr>
        <w:autoSpaceDE w:val="0"/>
        <w:autoSpaceDN w:val="0"/>
        <w:adjustRightInd w:val="0"/>
        <w:spacing w:after="0" w:line="276" w:lineRule="auto"/>
        <w:jc w:val="both"/>
        <w:rPr>
          <w:rFonts w:ascii="Times New Roman" w:hAnsi="Times New Roman" w:cs="Times New Roman"/>
          <w:sz w:val="24"/>
          <w:szCs w:val="24"/>
        </w:rPr>
      </w:pPr>
    </w:p>
    <w:p w14:paraId="77843470" w14:textId="0AA344EE" w:rsidR="007475D1" w:rsidRPr="00744BD1" w:rsidRDefault="007475D1" w:rsidP="007475D1">
      <w:pPr>
        <w:autoSpaceDE w:val="0"/>
        <w:autoSpaceDN w:val="0"/>
        <w:adjustRightInd w:val="0"/>
        <w:spacing w:after="0" w:line="276" w:lineRule="auto"/>
        <w:jc w:val="both"/>
        <w:rPr>
          <w:rFonts w:ascii="Times New Roman" w:hAnsi="Times New Roman" w:cs="Times New Roman"/>
          <w:sz w:val="24"/>
          <w:szCs w:val="24"/>
        </w:rPr>
      </w:pPr>
      <w:r w:rsidRPr="00744BD1">
        <w:rPr>
          <w:rFonts w:ascii="Times New Roman" w:hAnsi="Times New Roman" w:cs="Times New Roman"/>
          <w:iCs/>
          <w:sz w:val="24"/>
          <w:szCs w:val="24"/>
          <w:lang w:val="fr-CA"/>
        </w:rPr>
        <w:t>Aucun système d’évaluation de l’état de conservation n’est officiellement établi. Mais</w:t>
      </w:r>
      <w:r w:rsidR="00017384">
        <w:rPr>
          <w:rFonts w:ascii="Times New Roman" w:hAnsi="Times New Roman" w:cs="Times New Roman"/>
          <w:iCs/>
          <w:sz w:val="24"/>
          <w:szCs w:val="24"/>
          <w:lang w:val="fr-CA"/>
        </w:rPr>
        <w:t>,</w:t>
      </w:r>
      <w:r w:rsidRPr="00744BD1">
        <w:rPr>
          <w:rFonts w:ascii="Times New Roman" w:hAnsi="Times New Roman" w:cs="Times New Roman"/>
          <w:iCs/>
          <w:sz w:val="24"/>
          <w:szCs w:val="24"/>
          <w:lang w:val="fr-CA"/>
        </w:rPr>
        <w:t xml:space="preserve"> à travers les travaux de recherche de l’Université de Lomé</w:t>
      </w:r>
      <w:r w:rsidRPr="00744BD1">
        <w:rPr>
          <w:rFonts w:ascii="Times New Roman" w:hAnsi="Times New Roman" w:cs="Times New Roman"/>
          <w:sz w:val="24"/>
          <w:szCs w:val="24"/>
        </w:rPr>
        <w:t xml:space="preserve">, plus de 50 espèces ont été récemment collectées et pourraient potentiellement être considérées comme de nouvelles citations pour la flore du Togo. Certaines parmi elles sont représentées par des spécimens isolés ou présents dans une zone écologique très réduite et peuvent être considérées aussi comme des espèces menacées à l’échelle nationale. On peut citer entre autres, </w:t>
      </w:r>
      <w:r w:rsidRPr="00744BD1">
        <w:rPr>
          <w:rFonts w:ascii="Times New Roman" w:hAnsi="Times New Roman" w:cs="Times New Roman"/>
          <w:i/>
          <w:sz w:val="24"/>
          <w:szCs w:val="24"/>
        </w:rPr>
        <w:t>Dacryodes klaineana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Garcinia afzelii</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Garcinia kola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Blighia welwitschii</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Klainedoxa gabonensis</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Ancytrophylum secundiflorum</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Cordia platityrsa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Cyathea camerouniana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Ensete gilletii</w:t>
      </w:r>
      <w:r w:rsidRPr="00744BD1">
        <w:rPr>
          <w:rFonts w:ascii="Times New Roman" w:hAnsi="Times New Roman" w:cs="Times New Roman"/>
          <w:sz w:val="24"/>
          <w:szCs w:val="24"/>
        </w:rPr>
        <w:t>, etc. Actuellement, certaines espèces de bois d’oeuvre très exploité</w:t>
      </w:r>
      <w:r w:rsidR="00017384">
        <w:rPr>
          <w:rFonts w:ascii="Times New Roman" w:hAnsi="Times New Roman" w:cs="Times New Roman"/>
          <w:sz w:val="24"/>
          <w:szCs w:val="24"/>
        </w:rPr>
        <w:t>e</w:t>
      </w:r>
      <w:r w:rsidRPr="00744BD1">
        <w:rPr>
          <w:rFonts w:ascii="Times New Roman" w:hAnsi="Times New Roman" w:cs="Times New Roman"/>
          <w:sz w:val="24"/>
          <w:szCs w:val="24"/>
        </w:rPr>
        <w:t>s pourraient également être classé</w:t>
      </w:r>
      <w:r w:rsidR="0032015A">
        <w:rPr>
          <w:rFonts w:ascii="Times New Roman" w:hAnsi="Times New Roman" w:cs="Times New Roman"/>
          <w:sz w:val="24"/>
          <w:szCs w:val="24"/>
        </w:rPr>
        <w:t>e</w:t>
      </w:r>
      <w:r w:rsidRPr="00744BD1">
        <w:rPr>
          <w:rFonts w:ascii="Times New Roman" w:hAnsi="Times New Roman" w:cs="Times New Roman"/>
          <w:sz w:val="24"/>
          <w:szCs w:val="24"/>
        </w:rPr>
        <w:t>s comme menacé</w:t>
      </w:r>
      <w:r w:rsidR="0032015A">
        <w:rPr>
          <w:rFonts w:ascii="Times New Roman" w:hAnsi="Times New Roman" w:cs="Times New Roman"/>
          <w:sz w:val="24"/>
          <w:szCs w:val="24"/>
        </w:rPr>
        <w:t>e</w:t>
      </w:r>
      <w:r w:rsidRPr="00744BD1">
        <w:rPr>
          <w:rFonts w:ascii="Times New Roman" w:hAnsi="Times New Roman" w:cs="Times New Roman"/>
          <w:sz w:val="24"/>
          <w:szCs w:val="24"/>
        </w:rPr>
        <w:t>s</w:t>
      </w:r>
      <w:r w:rsidR="0032015A">
        <w:rPr>
          <w:rFonts w:ascii="Times New Roman" w:hAnsi="Times New Roman" w:cs="Times New Roman"/>
          <w:sz w:val="24"/>
          <w:szCs w:val="24"/>
        </w:rPr>
        <w:t xml:space="preserve"> </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Afzelia africana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Aningeria altissima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Entandrophragma cylindricum</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Aubrevillea kerstingii</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Khaya anthotheca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Mansonia altissima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Milicia excelsa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Mitragyna stipulosa</w:t>
      </w:r>
      <w:r w:rsidRPr="00744BD1">
        <w:rPr>
          <w:rFonts w:ascii="Times New Roman" w:hAnsi="Times New Roman" w:cs="Times New Roman"/>
          <w:sz w:val="24"/>
          <w:szCs w:val="24"/>
        </w:rPr>
        <w:t xml:space="preserve">, </w:t>
      </w:r>
      <w:r w:rsidRPr="00744BD1">
        <w:rPr>
          <w:rFonts w:ascii="Times New Roman" w:hAnsi="Times New Roman" w:cs="Times New Roman"/>
          <w:i/>
          <w:sz w:val="24"/>
          <w:szCs w:val="24"/>
        </w:rPr>
        <w:t>Pterocarpus erinaceaus</w:t>
      </w:r>
      <w:r w:rsidRPr="00744BD1">
        <w:rPr>
          <w:rFonts w:ascii="Times New Roman" w:hAnsi="Times New Roman" w:cs="Times New Roman"/>
          <w:sz w:val="24"/>
          <w:szCs w:val="24"/>
        </w:rPr>
        <w:t xml:space="preserve"> et </w:t>
      </w:r>
      <w:r w:rsidRPr="00744BD1">
        <w:rPr>
          <w:rFonts w:ascii="Times New Roman" w:hAnsi="Times New Roman" w:cs="Times New Roman"/>
          <w:i/>
          <w:sz w:val="24"/>
          <w:szCs w:val="24"/>
        </w:rPr>
        <w:t>P. mildbraedii</w:t>
      </w:r>
      <w:r w:rsidRPr="00744BD1">
        <w:rPr>
          <w:rFonts w:ascii="Times New Roman" w:hAnsi="Times New Roman" w:cs="Times New Roman"/>
          <w:sz w:val="24"/>
          <w:szCs w:val="24"/>
        </w:rPr>
        <w:t>. Ensuite, 55 espèces sont reconnues exclusives des forêts riveraines et sont potentiellement menacée</w:t>
      </w:r>
      <w:r w:rsidR="00017384">
        <w:rPr>
          <w:rFonts w:ascii="Times New Roman" w:hAnsi="Times New Roman" w:cs="Times New Roman"/>
          <w:sz w:val="24"/>
          <w:szCs w:val="24"/>
        </w:rPr>
        <w:t>s</w:t>
      </w:r>
      <w:r w:rsidRPr="00744BD1">
        <w:rPr>
          <w:rFonts w:ascii="Times New Roman" w:hAnsi="Times New Roman" w:cs="Times New Roman"/>
          <w:sz w:val="24"/>
          <w:szCs w:val="24"/>
        </w:rPr>
        <w:t xml:space="preserve"> en raison de la pression actuelle sur les forêts riveraines.</w:t>
      </w:r>
    </w:p>
    <w:p w14:paraId="25DCA360" w14:textId="77777777" w:rsidR="007475D1" w:rsidRPr="00744BD1" w:rsidRDefault="007475D1" w:rsidP="007475D1">
      <w:pPr>
        <w:autoSpaceDE w:val="0"/>
        <w:autoSpaceDN w:val="0"/>
        <w:adjustRightInd w:val="0"/>
        <w:spacing w:after="0" w:line="276" w:lineRule="auto"/>
        <w:jc w:val="both"/>
        <w:rPr>
          <w:rFonts w:ascii="Times New Roman" w:hAnsi="Times New Roman" w:cs="Times New Roman"/>
          <w:sz w:val="24"/>
          <w:szCs w:val="24"/>
        </w:rPr>
      </w:pPr>
    </w:p>
    <w:p w14:paraId="1C7468ED" w14:textId="77777777" w:rsidR="007475D1" w:rsidRPr="00744BD1" w:rsidRDefault="007475D1" w:rsidP="007475D1">
      <w:pPr>
        <w:autoSpaceDE w:val="0"/>
        <w:autoSpaceDN w:val="0"/>
        <w:adjustRightInd w:val="0"/>
        <w:spacing w:after="0" w:line="276" w:lineRule="auto"/>
        <w:jc w:val="both"/>
        <w:rPr>
          <w:rFonts w:ascii="Times New Roman" w:hAnsi="Times New Roman" w:cs="Times New Roman"/>
          <w:sz w:val="24"/>
          <w:szCs w:val="24"/>
        </w:rPr>
      </w:pPr>
      <w:r w:rsidRPr="00744BD1">
        <w:rPr>
          <w:rFonts w:ascii="Times New Roman" w:hAnsi="Times New Roman" w:cs="Times New Roman"/>
          <w:sz w:val="24"/>
          <w:szCs w:val="24"/>
        </w:rPr>
        <w:t xml:space="preserve">En outre, </w:t>
      </w:r>
      <w:r w:rsidRPr="00744BD1">
        <w:rPr>
          <w:rFonts w:ascii="Times New Roman" w:hAnsi="Times New Roman" w:cs="Times New Roman"/>
          <w:color w:val="000000"/>
          <w:sz w:val="24"/>
          <w:szCs w:val="24"/>
        </w:rPr>
        <w:t>il faut noter que certaines espèces sont localement menacées mais ne le sont pas si l’on se réfère aux statuts de conservation de l’IUCN</w:t>
      </w:r>
      <w:r w:rsidR="005546FE">
        <w:rPr>
          <w:rFonts w:ascii="Times New Roman" w:hAnsi="Times New Roman" w:cs="Times New Roman"/>
          <w:color w:val="000000"/>
          <w:sz w:val="24"/>
          <w:szCs w:val="24"/>
        </w:rPr>
        <w:t xml:space="preserve"> (Figure 14)</w:t>
      </w:r>
      <w:r w:rsidRPr="00744BD1">
        <w:rPr>
          <w:rFonts w:ascii="Times New Roman" w:hAnsi="Times New Roman" w:cs="Times New Roman"/>
          <w:color w:val="000000"/>
          <w:sz w:val="24"/>
          <w:szCs w:val="24"/>
        </w:rPr>
        <w:t xml:space="preserve">. Ce sont des taxons pour lesquels il ne fait aucun doute que les derniers individus potentiellement capables d’assurer la reproduction dans le pays a peu de chance d’assurer cette fonction puisque susceptible d’être abattu à tout moment. C’est le cas de </w:t>
      </w:r>
      <w:r w:rsidRPr="00744BD1">
        <w:rPr>
          <w:rFonts w:ascii="Times New Roman" w:hAnsi="Times New Roman" w:cs="Times New Roman"/>
          <w:i/>
          <w:color w:val="000000"/>
          <w:sz w:val="24"/>
          <w:szCs w:val="24"/>
        </w:rPr>
        <w:t>Diospyros ferrea</w:t>
      </w:r>
      <w:r w:rsidRPr="00744BD1">
        <w:rPr>
          <w:rFonts w:ascii="Times New Roman" w:hAnsi="Times New Roman" w:cs="Times New Roman"/>
          <w:color w:val="000000"/>
          <w:sz w:val="24"/>
          <w:szCs w:val="24"/>
        </w:rPr>
        <w:t xml:space="preserve"> dont le seul pied connu à ce jour n’est plus retrouvé. </w:t>
      </w:r>
    </w:p>
    <w:p w14:paraId="38EA17C7" w14:textId="77777777" w:rsidR="007475D1" w:rsidRPr="00744BD1" w:rsidRDefault="007475D1" w:rsidP="007475D1">
      <w:pPr>
        <w:autoSpaceDE w:val="0"/>
        <w:autoSpaceDN w:val="0"/>
        <w:adjustRightInd w:val="0"/>
        <w:spacing w:after="0" w:line="276" w:lineRule="auto"/>
        <w:jc w:val="both"/>
        <w:rPr>
          <w:rFonts w:ascii="Times New Roman" w:hAnsi="Times New Roman" w:cs="Times New Roman"/>
          <w:sz w:val="24"/>
          <w:szCs w:val="24"/>
        </w:rPr>
      </w:pPr>
    </w:p>
    <w:p w14:paraId="079EF24E" w14:textId="77777777" w:rsidR="007475D1" w:rsidRDefault="007475D1" w:rsidP="00A05444">
      <w:pPr>
        <w:keepNext/>
        <w:spacing w:after="0" w:line="240" w:lineRule="auto"/>
        <w:jc w:val="center"/>
        <w:rPr>
          <w:rFonts w:ascii="Times New Roman" w:hAnsi="Times New Roman" w:cs="Times New Roman"/>
          <w:noProof/>
          <w:lang w:eastAsia="fr-FR"/>
        </w:rPr>
      </w:pPr>
      <w:r w:rsidRPr="00E10787">
        <w:rPr>
          <w:rFonts w:ascii="Times New Roman" w:hAnsi="Times New Roman" w:cs="Times New Roman"/>
          <w:noProof/>
          <w:lang w:eastAsia="fr-FR"/>
        </w:rPr>
        <w:drawing>
          <wp:inline distT="0" distB="0" distL="0" distR="0" wp14:anchorId="54AF137F" wp14:editId="5B8BD1BE">
            <wp:extent cx="3848100" cy="2638425"/>
            <wp:effectExtent l="0" t="0" r="0" b="9525"/>
            <wp:docPr id="11" name="Graphique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77C258F9" w14:textId="77777777" w:rsidR="00542A1C" w:rsidRDefault="00542A1C" w:rsidP="00A05444">
      <w:pPr>
        <w:spacing w:after="0" w:line="240" w:lineRule="auto"/>
        <w:jc w:val="center"/>
        <w:rPr>
          <w:rFonts w:ascii="Times New Roman" w:hAnsi="Times New Roman" w:cs="Times New Roman"/>
          <w:b/>
          <w:sz w:val="20"/>
          <w:szCs w:val="20"/>
        </w:rPr>
      </w:pPr>
    </w:p>
    <w:p w14:paraId="75DC42F6" w14:textId="0408A990" w:rsidR="00542A1C" w:rsidRPr="00542A1C" w:rsidRDefault="00542A1C" w:rsidP="00A05444">
      <w:pPr>
        <w:pStyle w:val="Lgende"/>
        <w:jc w:val="center"/>
        <w:rPr>
          <w:rFonts w:ascii="Times New Roman" w:hAnsi="Times New Roman"/>
          <w:b w:val="0"/>
          <w:sz w:val="24"/>
          <w:szCs w:val="24"/>
        </w:rPr>
      </w:pPr>
      <w:bookmarkStart w:id="56" w:name="_Toc533413502"/>
      <w:r w:rsidRPr="00542A1C">
        <w:rPr>
          <w:rFonts w:ascii="Times New Roman" w:hAnsi="Times New Roman"/>
          <w:sz w:val="24"/>
          <w:szCs w:val="24"/>
        </w:rPr>
        <w:t xml:space="preserve">Figure </w:t>
      </w:r>
      <w:r w:rsidR="00620BEA" w:rsidRPr="00542A1C">
        <w:rPr>
          <w:rFonts w:ascii="Times New Roman" w:hAnsi="Times New Roman"/>
          <w:sz w:val="24"/>
          <w:szCs w:val="24"/>
        </w:rPr>
        <w:fldChar w:fldCharType="begin"/>
      </w:r>
      <w:r w:rsidRPr="00542A1C">
        <w:rPr>
          <w:rFonts w:ascii="Times New Roman" w:hAnsi="Times New Roman"/>
          <w:sz w:val="24"/>
          <w:szCs w:val="24"/>
        </w:rPr>
        <w:instrText xml:space="preserve"> SEQ Figure \* ARABIC </w:instrText>
      </w:r>
      <w:r w:rsidR="00620BEA" w:rsidRPr="00542A1C">
        <w:rPr>
          <w:rFonts w:ascii="Times New Roman" w:hAnsi="Times New Roman"/>
          <w:sz w:val="24"/>
          <w:szCs w:val="24"/>
        </w:rPr>
        <w:fldChar w:fldCharType="separate"/>
      </w:r>
      <w:r w:rsidR="00C47BFF">
        <w:rPr>
          <w:rFonts w:ascii="Times New Roman" w:hAnsi="Times New Roman"/>
          <w:noProof/>
          <w:sz w:val="24"/>
          <w:szCs w:val="24"/>
        </w:rPr>
        <w:t>14</w:t>
      </w:r>
      <w:r w:rsidR="00620BEA" w:rsidRPr="00542A1C">
        <w:rPr>
          <w:rFonts w:ascii="Times New Roman" w:hAnsi="Times New Roman"/>
          <w:sz w:val="24"/>
          <w:szCs w:val="24"/>
        </w:rPr>
        <w:fldChar w:fldCharType="end"/>
      </w:r>
      <w:r w:rsidRPr="00542A1C">
        <w:rPr>
          <w:rFonts w:ascii="Times New Roman" w:hAnsi="Times New Roman"/>
          <w:sz w:val="24"/>
          <w:szCs w:val="24"/>
        </w:rPr>
        <w:t>: Statut UICN des espèces de la flore togolaise</w:t>
      </w:r>
      <w:bookmarkEnd w:id="56"/>
    </w:p>
    <w:p w14:paraId="514D1CAE" w14:textId="205D04B3" w:rsidR="00D95B34" w:rsidRDefault="007475D1" w:rsidP="0074315E">
      <w:pPr>
        <w:spacing w:after="0" w:line="240" w:lineRule="auto"/>
        <w:jc w:val="both"/>
        <w:rPr>
          <w:rFonts w:ascii="Times New Roman" w:hAnsi="Times New Roman" w:cs="Times New Roman"/>
          <w:color w:val="000000"/>
          <w:sz w:val="24"/>
          <w:szCs w:val="24"/>
        </w:rPr>
      </w:pPr>
      <w:r w:rsidRPr="00FF5EF3">
        <w:rPr>
          <w:rFonts w:ascii="Times New Roman" w:hAnsi="Times New Roman" w:cs="Times New Roman"/>
          <w:b/>
          <w:sz w:val="20"/>
          <w:szCs w:val="20"/>
        </w:rPr>
        <w:t>NE</w:t>
      </w:r>
      <w:r w:rsidRPr="00FF5EF3">
        <w:rPr>
          <w:rFonts w:ascii="Times New Roman" w:hAnsi="Times New Roman" w:cs="Times New Roman"/>
          <w:sz w:val="20"/>
          <w:szCs w:val="20"/>
        </w:rPr>
        <w:t xml:space="preserve"> = Not evaluated (Non évalué); </w:t>
      </w:r>
      <w:r w:rsidRPr="00FF5EF3">
        <w:rPr>
          <w:rFonts w:ascii="Times New Roman" w:hAnsi="Times New Roman" w:cs="Times New Roman"/>
          <w:b/>
          <w:sz w:val="20"/>
          <w:szCs w:val="20"/>
        </w:rPr>
        <w:t>DD</w:t>
      </w:r>
      <w:r w:rsidRPr="00FF5EF3">
        <w:rPr>
          <w:rFonts w:ascii="Times New Roman" w:hAnsi="Times New Roman" w:cs="Times New Roman"/>
          <w:sz w:val="20"/>
          <w:szCs w:val="20"/>
        </w:rPr>
        <w:t xml:space="preserve"> = Data deficient (</w:t>
      </w:r>
      <w:r w:rsidRPr="00FF5EF3">
        <w:rPr>
          <w:rFonts w:ascii="Times New Roman" w:hAnsi="Times New Roman" w:cs="Times New Roman"/>
          <w:color w:val="000000"/>
          <w:sz w:val="20"/>
          <w:szCs w:val="20"/>
        </w:rPr>
        <w:t>Données insuffisantes)</w:t>
      </w:r>
      <w:r w:rsidRPr="00FF5EF3">
        <w:rPr>
          <w:rFonts w:ascii="Times New Roman" w:hAnsi="Times New Roman" w:cs="Times New Roman"/>
          <w:sz w:val="20"/>
          <w:szCs w:val="20"/>
        </w:rPr>
        <w:t xml:space="preserve">; </w:t>
      </w:r>
      <w:r w:rsidRPr="00FF5EF3">
        <w:rPr>
          <w:rFonts w:ascii="Times New Roman" w:hAnsi="Times New Roman" w:cs="Times New Roman"/>
          <w:b/>
          <w:sz w:val="20"/>
          <w:szCs w:val="20"/>
        </w:rPr>
        <w:t>LC</w:t>
      </w:r>
      <w:r w:rsidRPr="00FF5EF3">
        <w:rPr>
          <w:rFonts w:ascii="Times New Roman" w:hAnsi="Times New Roman" w:cs="Times New Roman"/>
          <w:sz w:val="20"/>
          <w:szCs w:val="20"/>
        </w:rPr>
        <w:t xml:space="preserve"> = Least Concern (</w:t>
      </w:r>
      <w:r w:rsidRPr="00FF5EF3">
        <w:rPr>
          <w:rFonts w:ascii="Times New Roman" w:hAnsi="Times New Roman" w:cs="Times New Roman"/>
          <w:color w:val="000000"/>
          <w:sz w:val="20"/>
          <w:szCs w:val="20"/>
        </w:rPr>
        <w:t>Moins concerné, espèce non menacée)</w:t>
      </w:r>
      <w:r w:rsidRPr="00FF5EF3">
        <w:rPr>
          <w:rFonts w:ascii="Times New Roman" w:hAnsi="Times New Roman" w:cs="Times New Roman"/>
          <w:sz w:val="20"/>
          <w:szCs w:val="20"/>
        </w:rPr>
        <w:t xml:space="preserve">; </w:t>
      </w:r>
      <w:r w:rsidRPr="00FF5EF3">
        <w:rPr>
          <w:rFonts w:ascii="Times New Roman" w:hAnsi="Times New Roman" w:cs="Times New Roman"/>
          <w:b/>
          <w:sz w:val="20"/>
          <w:szCs w:val="20"/>
        </w:rPr>
        <w:t>NT</w:t>
      </w:r>
      <w:r w:rsidRPr="00FF5EF3">
        <w:rPr>
          <w:rFonts w:ascii="Times New Roman" w:hAnsi="Times New Roman" w:cs="Times New Roman"/>
          <w:sz w:val="20"/>
          <w:szCs w:val="20"/>
        </w:rPr>
        <w:t xml:space="preserve"> = Near Threatened (</w:t>
      </w:r>
      <w:r w:rsidRPr="00FF5EF3">
        <w:rPr>
          <w:rFonts w:ascii="Times New Roman" w:hAnsi="Times New Roman" w:cs="Times New Roman"/>
          <w:color w:val="000000"/>
          <w:sz w:val="20"/>
          <w:szCs w:val="20"/>
        </w:rPr>
        <w:t>Presque menacé)</w:t>
      </w:r>
      <w:r w:rsidRPr="00FF5EF3">
        <w:rPr>
          <w:rFonts w:ascii="Times New Roman" w:hAnsi="Times New Roman" w:cs="Times New Roman"/>
          <w:sz w:val="20"/>
          <w:szCs w:val="20"/>
        </w:rPr>
        <w:t xml:space="preserve">; </w:t>
      </w:r>
      <w:r w:rsidRPr="00FF5EF3">
        <w:rPr>
          <w:rFonts w:ascii="Times New Roman" w:hAnsi="Times New Roman" w:cs="Times New Roman"/>
          <w:b/>
          <w:sz w:val="20"/>
          <w:szCs w:val="20"/>
        </w:rPr>
        <w:t>VU</w:t>
      </w:r>
      <w:r w:rsidRPr="00FF5EF3">
        <w:rPr>
          <w:rFonts w:ascii="Times New Roman" w:hAnsi="Times New Roman" w:cs="Times New Roman"/>
          <w:sz w:val="20"/>
          <w:szCs w:val="20"/>
        </w:rPr>
        <w:t xml:space="preserve"> = Vulnerable (</w:t>
      </w:r>
      <w:r w:rsidRPr="00FF5EF3">
        <w:rPr>
          <w:rFonts w:ascii="Times New Roman" w:hAnsi="Times New Roman" w:cs="Times New Roman"/>
          <w:color w:val="000000"/>
          <w:sz w:val="20"/>
          <w:szCs w:val="20"/>
        </w:rPr>
        <w:t xml:space="preserve">Vulnérable), </w:t>
      </w:r>
      <w:r w:rsidRPr="00FF5EF3">
        <w:rPr>
          <w:rFonts w:ascii="Times New Roman" w:hAnsi="Times New Roman" w:cs="Times New Roman"/>
          <w:b/>
          <w:color w:val="000000"/>
          <w:sz w:val="20"/>
          <w:szCs w:val="20"/>
        </w:rPr>
        <w:t>EN</w:t>
      </w:r>
      <w:r w:rsidRPr="00FF5EF3">
        <w:rPr>
          <w:rFonts w:ascii="Times New Roman" w:hAnsi="Times New Roman" w:cs="Times New Roman"/>
          <w:color w:val="000000"/>
          <w:sz w:val="20"/>
          <w:szCs w:val="20"/>
        </w:rPr>
        <w:t xml:space="preserve"> = </w:t>
      </w:r>
      <w:r w:rsidRPr="006309FA">
        <w:rPr>
          <w:rFonts w:ascii="Times New Roman" w:hAnsi="Times New Roman" w:cs="Times New Roman"/>
          <w:color w:val="000000"/>
          <w:sz w:val="24"/>
          <w:szCs w:val="24"/>
        </w:rPr>
        <w:t>Endangered (Menacé).</w:t>
      </w:r>
    </w:p>
    <w:p w14:paraId="34981682" w14:textId="77777777" w:rsidR="00017384" w:rsidRDefault="00017384" w:rsidP="0074315E">
      <w:pPr>
        <w:spacing w:after="0" w:line="240" w:lineRule="auto"/>
        <w:jc w:val="both"/>
        <w:rPr>
          <w:rFonts w:ascii="Times New Roman" w:hAnsi="Times New Roman" w:cs="Times New Roman"/>
          <w:color w:val="000000"/>
          <w:sz w:val="24"/>
          <w:szCs w:val="24"/>
        </w:rPr>
      </w:pPr>
    </w:p>
    <w:p w14:paraId="6517D969" w14:textId="77777777" w:rsidR="000B6635" w:rsidRPr="00A377FA" w:rsidRDefault="000B6635" w:rsidP="000B6635">
      <w:pPr>
        <w:pStyle w:val="Paragraphedeliste"/>
        <w:tabs>
          <w:tab w:val="left" w:pos="284"/>
        </w:tabs>
        <w:spacing w:after="0"/>
        <w:ind w:left="0"/>
        <w:jc w:val="both"/>
        <w:rPr>
          <w:rFonts w:ascii="Times New Roman" w:hAnsi="Times New Roman"/>
          <w:b/>
          <w:i/>
          <w:color w:val="0070C0"/>
          <w:sz w:val="24"/>
          <w:szCs w:val="24"/>
        </w:rPr>
      </w:pPr>
      <w:r w:rsidRPr="00A377FA">
        <w:rPr>
          <w:rFonts w:ascii="Times New Roman" w:hAnsi="Times New Roman"/>
          <w:b/>
          <w:i/>
          <w:color w:val="0070C0"/>
          <w:sz w:val="24"/>
          <w:szCs w:val="24"/>
        </w:rPr>
        <w:t>Objectif 14. Engager d’ici à 2018 des actions, en vue de la création d’une aire marine protégée (AMP) reliant le réseau régional d’aires marines protégées d’Afrique de l’Ouest</w:t>
      </w:r>
    </w:p>
    <w:p w14:paraId="5EFC7DB7" w14:textId="77777777" w:rsidR="000B6635" w:rsidRPr="00DC4D5C" w:rsidRDefault="000B6635" w:rsidP="000B6635">
      <w:pPr>
        <w:spacing w:after="0"/>
        <w:jc w:val="both"/>
        <w:rPr>
          <w:rFonts w:ascii="Times New Roman" w:hAnsi="Times New Roman"/>
          <w:sz w:val="24"/>
          <w:szCs w:val="24"/>
        </w:rPr>
      </w:pPr>
    </w:p>
    <w:p w14:paraId="176FB6E4" w14:textId="49A44DF8" w:rsidR="000B6635" w:rsidRDefault="000B6635" w:rsidP="000B6635">
      <w:pPr>
        <w:spacing w:after="0"/>
        <w:jc w:val="both"/>
        <w:rPr>
          <w:rFonts w:ascii="Times New Roman" w:hAnsi="Times New Roman"/>
          <w:sz w:val="24"/>
          <w:szCs w:val="24"/>
        </w:rPr>
      </w:pPr>
      <w:r w:rsidRPr="00DC4D5C">
        <w:rPr>
          <w:rFonts w:ascii="Times New Roman" w:hAnsi="Times New Roman"/>
          <w:sz w:val="24"/>
          <w:szCs w:val="24"/>
        </w:rPr>
        <w:t xml:space="preserve">Dans le cadre de la mise en œuvre du </w:t>
      </w:r>
      <w:r w:rsidRPr="00DC4D5C">
        <w:rPr>
          <w:rFonts w:ascii="Times New Roman" w:hAnsi="Times New Roman"/>
          <w:bCs/>
          <w:sz w:val="24"/>
          <w:szCs w:val="24"/>
        </w:rPr>
        <w:t>projet de création de la Réserve de Biosphère Transfrontalière du</w:t>
      </w:r>
      <w:r>
        <w:rPr>
          <w:rFonts w:ascii="Times New Roman" w:hAnsi="Times New Roman"/>
          <w:bCs/>
          <w:sz w:val="24"/>
          <w:szCs w:val="24"/>
        </w:rPr>
        <w:t xml:space="preserve"> Mono</w:t>
      </w:r>
      <w:r w:rsidRPr="00DC4D5C">
        <w:rPr>
          <w:rFonts w:ascii="Times New Roman" w:hAnsi="Times New Roman"/>
          <w:bCs/>
          <w:sz w:val="24"/>
          <w:szCs w:val="24"/>
        </w:rPr>
        <w:t>, une délimitation provisoi</w:t>
      </w:r>
      <w:r>
        <w:rPr>
          <w:rFonts w:ascii="Times New Roman" w:hAnsi="Times New Roman"/>
          <w:bCs/>
          <w:sz w:val="24"/>
          <w:szCs w:val="24"/>
        </w:rPr>
        <w:t>re d’une zone marine à protéger</w:t>
      </w:r>
      <w:r w:rsidRPr="00DC4D5C">
        <w:rPr>
          <w:rFonts w:ascii="Times New Roman" w:hAnsi="Times New Roman"/>
          <w:bCs/>
          <w:sz w:val="24"/>
          <w:szCs w:val="24"/>
        </w:rPr>
        <w:t xml:space="preserve"> intégrant le lac </w:t>
      </w:r>
      <w:r w:rsidRPr="00DC4D5C">
        <w:rPr>
          <w:rFonts w:ascii="Times New Roman" w:hAnsi="Times New Roman"/>
          <w:bCs/>
          <w:sz w:val="24"/>
          <w:szCs w:val="24"/>
          <w:lang w:val="fr-CA"/>
        </w:rPr>
        <w:t>Togo et le chenal de Gbaga a été faite.</w:t>
      </w:r>
      <w:r>
        <w:rPr>
          <w:rFonts w:ascii="Times New Roman" w:hAnsi="Times New Roman"/>
          <w:bCs/>
          <w:sz w:val="24"/>
          <w:szCs w:val="24"/>
          <w:lang w:val="fr-CA"/>
        </w:rPr>
        <w:t xml:space="preserve"> </w:t>
      </w:r>
      <w:r w:rsidRPr="00DC4D5C">
        <w:rPr>
          <w:rFonts w:ascii="Times New Roman" w:hAnsi="Times New Roman"/>
          <w:sz w:val="24"/>
          <w:szCs w:val="24"/>
        </w:rPr>
        <w:t>Par ailleurs, dans le cadre du projet de surveillance de l’environnement et de la sécurité en Afrique (MESA) en collaboration avec le Centre régional AGRHYMET, un groupe de travail national sur la pêche et l’océanographie et les produits et services de la thématique marine a été mis en place dans le but de surveiller certaines propriétés physiques des mers (vagues, courants, hauteurs de surface de la mer, etc.) et de gérer la pêche marine à partir des données satellitaires.</w:t>
      </w:r>
      <w:r>
        <w:rPr>
          <w:rFonts w:ascii="Times New Roman" w:hAnsi="Times New Roman"/>
          <w:sz w:val="24"/>
          <w:szCs w:val="24"/>
        </w:rPr>
        <w:t xml:space="preserve"> En outre, </w:t>
      </w:r>
      <w:r w:rsidRPr="00DC4D5C">
        <w:rPr>
          <w:rFonts w:ascii="Times New Roman" w:hAnsi="Times New Roman"/>
          <w:sz w:val="24"/>
          <w:szCs w:val="24"/>
        </w:rPr>
        <w:t>le Haut Conseil pour la Mer (H</w:t>
      </w:r>
      <w:r w:rsidRPr="00DC4D5C">
        <w:rPr>
          <w:rFonts w:ascii="Times New Roman" w:hAnsi="Times New Roman"/>
          <w:bCs/>
          <w:sz w:val="24"/>
          <w:szCs w:val="24"/>
        </w:rPr>
        <w:t>CM)</w:t>
      </w:r>
      <w:r w:rsidRPr="00DC4D5C">
        <w:rPr>
          <w:rFonts w:ascii="Times New Roman" w:hAnsi="Times New Roman"/>
          <w:sz w:val="24"/>
          <w:szCs w:val="24"/>
        </w:rPr>
        <w:t xml:space="preserve"> </w:t>
      </w:r>
      <w:r>
        <w:rPr>
          <w:rFonts w:ascii="Times New Roman" w:hAnsi="Times New Roman"/>
          <w:sz w:val="24"/>
          <w:szCs w:val="24"/>
        </w:rPr>
        <w:t xml:space="preserve">a été créé </w:t>
      </w:r>
      <w:r w:rsidRPr="00DC4D5C">
        <w:rPr>
          <w:rFonts w:ascii="Times New Roman" w:hAnsi="Times New Roman"/>
          <w:sz w:val="24"/>
          <w:szCs w:val="24"/>
        </w:rPr>
        <w:t xml:space="preserve">en 2015 </w:t>
      </w:r>
      <w:r>
        <w:rPr>
          <w:rFonts w:ascii="Times New Roman" w:hAnsi="Times New Roman"/>
          <w:sz w:val="24"/>
          <w:szCs w:val="24"/>
        </w:rPr>
        <w:t xml:space="preserve">et a pour prérogatives de </w:t>
      </w:r>
      <w:r w:rsidRPr="00DC4D5C">
        <w:rPr>
          <w:rFonts w:ascii="Times New Roman" w:hAnsi="Times New Roman"/>
          <w:sz w:val="24"/>
          <w:szCs w:val="24"/>
        </w:rPr>
        <w:t>veille</w:t>
      </w:r>
      <w:r>
        <w:rPr>
          <w:rFonts w:ascii="Times New Roman" w:hAnsi="Times New Roman"/>
          <w:sz w:val="24"/>
          <w:szCs w:val="24"/>
        </w:rPr>
        <w:t>r</w:t>
      </w:r>
      <w:r w:rsidRPr="00DC4D5C">
        <w:rPr>
          <w:rFonts w:ascii="Times New Roman" w:hAnsi="Times New Roman"/>
          <w:sz w:val="24"/>
          <w:szCs w:val="24"/>
        </w:rPr>
        <w:t xml:space="preserve"> à la prise en compte des enjeux liés à l’économie côtière et marine</w:t>
      </w:r>
      <w:r w:rsidR="00017384">
        <w:rPr>
          <w:rFonts w:ascii="Times New Roman" w:hAnsi="Times New Roman"/>
          <w:sz w:val="24"/>
          <w:szCs w:val="24"/>
        </w:rPr>
        <w:t>,</w:t>
      </w:r>
      <w:r w:rsidRPr="00DC4D5C">
        <w:rPr>
          <w:rFonts w:ascii="Times New Roman" w:hAnsi="Times New Roman"/>
          <w:sz w:val="24"/>
          <w:szCs w:val="24"/>
        </w:rPr>
        <w:t xml:space="preserve"> y compris ceux liés à la préservation de la biodiversité dans les programmes et projets.</w:t>
      </w:r>
    </w:p>
    <w:p w14:paraId="33C80166" w14:textId="77777777" w:rsidR="000B6635" w:rsidRDefault="000B6635" w:rsidP="000B6635">
      <w:pPr>
        <w:spacing w:after="0"/>
        <w:jc w:val="both"/>
        <w:rPr>
          <w:rFonts w:ascii="Times New Roman" w:hAnsi="Times New Roman"/>
          <w:sz w:val="24"/>
          <w:szCs w:val="24"/>
        </w:rPr>
      </w:pPr>
    </w:p>
    <w:p w14:paraId="1AEA8537" w14:textId="4FE87EF5" w:rsidR="000B6635" w:rsidRPr="00182D6E" w:rsidRDefault="000B6635" w:rsidP="000B6635">
      <w:pPr>
        <w:pStyle w:val="NormalWeb"/>
        <w:shd w:val="clear" w:color="auto" w:fill="FFFFFF"/>
        <w:spacing w:before="0" w:beforeAutospacing="0" w:after="0" w:afterAutospacing="0"/>
        <w:jc w:val="both"/>
      </w:pPr>
      <w:r>
        <w:t xml:space="preserve">Par ailleurs, dans </w:t>
      </w:r>
      <w:r w:rsidRPr="00182D6E">
        <w:t>sa volonté et ses efforts de promotion et de développement de l’économie bleue, le Togo envisage d’augmenter le rendement des ressources maritimes de 50 % par rapport aux niveaux de 2016 d’ici à 2030. Le pays a déjà identifié un éventail d’actions et d’interventions possibles pour développer les économies océaniques et côtières, à savoir l’amélioration des ports, la promotion des partenariats public-privé, l’investissement dans la gestion durable des ressources marines, la rationalisation des pêches côtières et marines du pays et la création d’une main d’œuvre fortement qualifiée grâce à une formation ciblée sur les secteurs « bleus ». Ainsi</w:t>
      </w:r>
      <w:r w:rsidR="0032015A">
        <w:t>,</w:t>
      </w:r>
      <w:r w:rsidRPr="00182D6E">
        <w:t xml:space="preserve"> pour le Togo, l’objectif global est de faire de l’économie bleue un axe majeur de sa politique de développement économique et de lutte contre la pauvreté, ce qui permettrait d’accélérer la transformation structurelle du pays sur les plans économique et social. De ce fait, la Stratégie Nationale pour la Mer et le Littoral (SNPLM) du Togo vise à renforcer la sûreté et la sécurité maritimes, promouvoir les opportunités d’emplois et le partenariat public-privé, moderniser le tourisme, développer l’économie bleue et gérer durablement l’environnement marin.</w:t>
      </w:r>
    </w:p>
    <w:p w14:paraId="47A0CED2" w14:textId="30B57496" w:rsidR="00D31C6C" w:rsidRDefault="00D31C6C" w:rsidP="0090672F">
      <w:pPr>
        <w:spacing w:after="0" w:line="240" w:lineRule="auto"/>
        <w:jc w:val="both"/>
        <w:rPr>
          <w:rFonts w:ascii="Times New Roman" w:hAnsi="Times New Roman" w:cs="Times New Roman"/>
          <w:sz w:val="24"/>
          <w:szCs w:val="24"/>
        </w:rPr>
      </w:pPr>
    </w:p>
    <w:p w14:paraId="3C466586" w14:textId="77777777" w:rsidR="000B6635" w:rsidRPr="0090672F" w:rsidRDefault="000B6635" w:rsidP="0090672F">
      <w:pPr>
        <w:spacing w:after="0" w:line="240" w:lineRule="auto"/>
        <w:jc w:val="both"/>
        <w:rPr>
          <w:rFonts w:ascii="Times New Roman" w:hAnsi="Times New Roman" w:cs="Times New Roman"/>
          <w:sz w:val="24"/>
          <w:szCs w:val="24"/>
        </w:rPr>
      </w:pPr>
    </w:p>
    <w:p w14:paraId="7F2B2940" w14:textId="77777777" w:rsidR="00D31C6C" w:rsidRPr="0090672F" w:rsidRDefault="00D31C6C" w:rsidP="0090672F">
      <w:pPr>
        <w:pStyle w:val="Paragraphedeliste"/>
        <w:tabs>
          <w:tab w:val="left" w:pos="426"/>
        </w:tabs>
        <w:spacing w:after="0" w:line="240" w:lineRule="auto"/>
        <w:ind w:left="0"/>
        <w:jc w:val="both"/>
        <w:rPr>
          <w:rFonts w:ascii="Times New Roman" w:hAnsi="Times New Roman" w:cs="Times New Roman"/>
          <w:b/>
          <w:i/>
          <w:color w:val="0070C0"/>
          <w:sz w:val="24"/>
          <w:szCs w:val="24"/>
        </w:rPr>
      </w:pPr>
      <w:r w:rsidRPr="0090672F">
        <w:rPr>
          <w:rFonts w:ascii="Times New Roman" w:hAnsi="Times New Roman" w:cs="Times New Roman"/>
          <w:b/>
          <w:i/>
          <w:color w:val="0070C0"/>
          <w:sz w:val="24"/>
          <w:szCs w:val="24"/>
        </w:rPr>
        <w:t>Objectif 15. Etablir d’ici à 2018, une cartographie de l’ensemble des écosystèmes terrestres, aquatiques et marins importantes pour la conservation de la diversité biologique afin de garantir la durabilité de l’utilisation des ressources biologiques</w:t>
      </w:r>
    </w:p>
    <w:p w14:paraId="35DA69B9" w14:textId="77777777" w:rsidR="00D31C6C" w:rsidRPr="0090672F" w:rsidRDefault="00D31C6C" w:rsidP="0090672F">
      <w:pPr>
        <w:spacing w:after="0" w:line="240" w:lineRule="auto"/>
        <w:jc w:val="both"/>
        <w:rPr>
          <w:rFonts w:ascii="Times New Roman" w:hAnsi="Times New Roman" w:cs="Times New Roman"/>
          <w:sz w:val="24"/>
          <w:szCs w:val="24"/>
        </w:rPr>
      </w:pPr>
    </w:p>
    <w:p w14:paraId="1716A039" w14:textId="77777777"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r w:rsidRPr="00A2729E">
        <w:rPr>
          <w:rFonts w:ascii="Times New Roman" w:hAnsi="Times New Roman" w:cs="Times New Roman"/>
          <w:sz w:val="24"/>
          <w:szCs w:val="24"/>
        </w:rPr>
        <w:t xml:space="preserve">Dans le cadre de l’inventaire forestier national exécuté </w:t>
      </w:r>
      <w:r w:rsidR="00961BBC" w:rsidRPr="00961BBC">
        <w:rPr>
          <w:rFonts w:ascii="Times New Roman" w:hAnsi="Times New Roman" w:cs="Times New Roman"/>
          <w:sz w:val="24"/>
          <w:szCs w:val="24"/>
        </w:rPr>
        <w:t xml:space="preserve">par le MERF avec l’appui de </w:t>
      </w:r>
      <w:r w:rsidRPr="00A2729E">
        <w:rPr>
          <w:rFonts w:ascii="Times New Roman" w:hAnsi="Times New Roman" w:cs="Times New Roman"/>
          <w:sz w:val="24"/>
          <w:szCs w:val="24"/>
        </w:rPr>
        <w:t>la GIZ à travers le Programme Appui à la REDD+ et Réhabilitation des forêts au Togo (ProREDD), la carte d’occupation des sols de 2014 a été élaborée sur la base de la classification des utilisations des terres et de la typologie des formations végétales (</w:t>
      </w:r>
      <w:r w:rsidR="00A2729E" w:rsidRPr="00A2729E">
        <w:rPr>
          <w:rFonts w:ascii="Times New Roman" w:hAnsi="Times New Roman" w:cs="Times New Roman"/>
          <w:sz w:val="24"/>
          <w:szCs w:val="24"/>
        </w:rPr>
        <w:t xml:space="preserve">Tableau </w:t>
      </w:r>
      <w:r w:rsidR="00525F7B">
        <w:rPr>
          <w:rFonts w:ascii="Times New Roman" w:hAnsi="Times New Roman" w:cs="Times New Roman"/>
          <w:sz w:val="24"/>
          <w:szCs w:val="24"/>
        </w:rPr>
        <w:t>9</w:t>
      </w:r>
      <w:r w:rsidRPr="00A2729E">
        <w:rPr>
          <w:rFonts w:ascii="Times New Roman" w:hAnsi="Times New Roman" w:cs="Times New Roman"/>
          <w:sz w:val="24"/>
          <w:szCs w:val="24"/>
        </w:rPr>
        <w:t>; Figure</w:t>
      </w:r>
      <w:r w:rsidR="00525F7B">
        <w:rPr>
          <w:rFonts w:ascii="Times New Roman" w:hAnsi="Times New Roman" w:cs="Times New Roman"/>
          <w:sz w:val="24"/>
          <w:szCs w:val="24"/>
        </w:rPr>
        <w:t xml:space="preserve"> 15</w:t>
      </w:r>
      <w:r w:rsidRPr="00A2729E">
        <w:rPr>
          <w:rFonts w:ascii="Times New Roman" w:hAnsi="Times New Roman" w:cs="Times New Roman"/>
          <w:sz w:val="24"/>
          <w:szCs w:val="24"/>
        </w:rPr>
        <w:t>). Il ressort de ce travail que le Togo dispose d’un taux de couverture forestière de 24,24 %. Les strates concernées par ce taux de couverture sont les forêts denses, les forêts riveraines (galeries forestières et forêts ripicoles), les forêts claires et les savanes boisées puis les Plantations.</w:t>
      </w:r>
    </w:p>
    <w:p w14:paraId="5A0D5F28" w14:textId="77777777"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p>
    <w:p w14:paraId="4E086110" w14:textId="5BB54FDD" w:rsidR="00D31C6C" w:rsidRPr="0090672F" w:rsidRDefault="00D31C6C" w:rsidP="0090672F">
      <w:pPr>
        <w:autoSpaceDE w:val="0"/>
        <w:autoSpaceDN w:val="0"/>
        <w:adjustRightInd w:val="0"/>
        <w:spacing w:after="0" w:line="240" w:lineRule="auto"/>
        <w:jc w:val="both"/>
        <w:rPr>
          <w:rFonts w:ascii="Times New Roman" w:hAnsi="Times New Roman" w:cs="Times New Roman"/>
          <w:sz w:val="24"/>
          <w:szCs w:val="24"/>
        </w:rPr>
      </w:pPr>
      <w:r w:rsidRPr="0090672F">
        <w:rPr>
          <w:rFonts w:ascii="Times New Roman" w:hAnsi="Times New Roman" w:cs="Times New Roman"/>
          <w:sz w:val="24"/>
          <w:szCs w:val="24"/>
        </w:rPr>
        <w:t xml:space="preserve">En considérant la superficie nationale de 5 698 778 ha (dont la </w:t>
      </w:r>
      <w:r w:rsidR="00017384">
        <w:rPr>
          <w:rFonts w:ascii="Times New Roman" w:hAnsi="Times New Roman" w:cs="Times New Roman"/>
          <w:sz w:val="24"/>
          <w:szCs w:val="24"/>
        </w:rPr>
        <w:t>f</w:t>
      </w:r>
      <w:r w:rsidRPr="0090672F">
        <w:rPr>
          <w:rFonts w:ascii="Times New Roman" w:hAnsi="Times New Roman" w:cs="Times New Roman"/>
          <w:sz w:val="24"/>
          <w:szCs w:val="24"/>
        </w:rPr>
        <w:t>orêt occ</w:t>
      </w:r>
      <w:r w:rsidR="00017384">
        <w:rPr>
          <w:rFonts w:ascii="Times New Roman" w:hAnsi="Times New Roman" w:cs="Times New Roman"/>
          <w:sz w:val="24"/>
          <w:szCs w:val="24"/>
        </w:rPr>
        <w:t>upe 1 381 538 ha soit (24,2%); la s</w:t>
      </w:r>
      <w:r w:rsidRPr="0090672F">
        <w:rPr>
          <w:rFonts w:ascii="Times New Roman" w:hAnsi="Times New Roman" w:cs="Times New Roman"/>
          <w:sz w:val="24"/>
          <w:szCs w:val="24"/>
        </w:rPr>
        <w:t xml:space="preserve">avane arborée et arbustive occupe </w:t>
      </w:r>
      <w:r w:rsidR="00017384">
        <w:rPr>
          <w:rFonts w:ascii="Times New Roman" w:hAnsi="Times New Roman" w:cs="Times New Roman"/>
          <w:sz w:val="24"/>
          <w:szCs w:val="24"/>
        </w:rPr>
        <w:t>1 986 523 ha soit (34,8%) et l’a</w:t>
      </w:r>
      <w:r w:rsidRPr="0090672F">
        <w:rPr>
          <w:rFonts w:ascii="Times New Roman" w:hAnsi="Times New Roman" w:cs="Times New Roman"/>
          <w:sz w:val="24"/>
          <w:szCs w:val="24"/>
        </w:rPr>
        <w:t>griculture et Infrastructure occupent 2 330 717 ha soit (40,9%), c’est la région des Plateaux qui a le plus fort taux de couverture forestière (565 143 ha soit 9,92%) suivie de la région Centrale (355 348 ha soit 6,24%). Les contributions des régions Maritime et de la Kara sont respectivement 3,19 et 3,45%. La région des Savanes reste la zone à plus faible couverture forestière du Togo (1,45%)</w:t>
      </w:r>
    </w:p>
    <w:p w14:paraId="3280935B" w14:textId="77777777" w:rsidR="00525F7B" w:rsidRDefault="00525F7B" w:rsidP="0090672F">
      <w:pPr>
        <w:spacing w:after="0" w:line="240" w:lineRule="auto"/>
        <w:jc w:val="both"/>
        <w:rPr>
          <w:rFonts w:ascii="Times New Roman" w:hAnsi="Times New Roman" w:cs="Times New Roman"/>
          <w:sz w:val="24"/>
          <w:szCs w:val="24"/>
        </w:rPr>
      </w:pPr>
    </w:p>
    <w:p w14:paraId="09A1DD28" w14:textId="5CECBB28" w:rsidR="005546FE" w:rsidRPr="005546FE" w:rsidRDefault="005546FE" w:rsidP="005546FE">
      <w:pPr>
        <w:pStyle w:val="Lgende"/>
        <w:rPr>
          <w:rFonts w:ascii="Times New Roman" w:hAnsi="Times New Roman"/>
          <w:sz w:val="24"/>
          <w:szCs w:val="24"/>
        </w:rPr>
      </w:pPr>
      <w:bookmarkStart w:id="57" w:name="_Toc533413478"/>
      <w:r w:rsidRPr="005546FE">
        <w:rPr>
          <w:rFonts w:ascii="Times New Roman" w:hAnsi="Times New Roman"/>
          <w:sz w:val="24"/>
          <w:szCs w:val="24"/>
        </w:rPr>
        <w:t xml:space="preserve">Tableau </w:t>
      </w:r>
      <w:r w:rsidR="00620BEA" w:rsidRPr="005546FE">
        <w:rPr>
          <w:rFonts w:ascii="Times New Roman" w:hAnsi="Times New Roman"/>
          <w:sz w:val="24"/>
          <w:szCs w:val="24"/>
        </w:rPr>
        <w:fldChar w:fldCharType="begin"/>
      </w:r>
      <w:r w:rsidRPr="005546FE">
        <w:rPr>
          <w:rFonts w:ascii="Times New Roman" w:hAnsi="Times New Roman"/>
          <w:sz w:val="24"/>
          <w:szCs w:val="24"/>
        </w:rPr>
        <w:instrText xml:space="preserve"> SEQ Tableau \* ARABIC </w:instrText>
      </w:r>
      <w:r w:rsidR="00620BEA" w:rsidRPr="005546FE">
        <w:rPr>
          <w:rFonts w:ascii="Times New Roman" w:hAnsi="Times New Roman"/>
          <w:sz w:val="24"/>
          <w:szCs w:val="24"/>
        </w:rPr>
        <w:fldChar w:fldCharType="separate"/>
      </w:r>
      <w:r w:rsidR="00C47BFF">
        <w:rPr>
          <w:rFonts w:ascii="Times New Roman" w:hAnsi="Times New Roman"/>
          <w:noProof/>
          <w:sz w:val="24"/>
          <w:szCs w:val="24"/>
        </w:rPr>
        <w:t>7</w:t>
      </w:r>
      <w:r w:rsidR="00620BEA" w:rsidRPr="005546FE">
        <w:rPr>
          <w:rFonts w:ascii="Times New Roman" w:hAnsi="Times New Roman"/>
          <w:sz w:val="24"/>
          <w:szCs w:val="24"/>
        </w:rPr>
        <w:fldChar w:fldCharType="end"/>
      </w:r>
      <w:r w:rsidRPr="005546FE">
        <w:rPr>
          <w:rFonts w:ascii="Times New Roman" w:hAnsi="Times New Roman"/>
          <w:sz w:val="24"/>
          <w:szCs w:val="24"/>
        </w:rPr>
        <w:t>: Taux de couverture forestière des régions administratives du Togo</w:t>
      </w:r>
      <w:bookmarkEnd w:id="57"/>
    </w:p>
    <w:tbl>
      <w:tblPr>
        <w:tblW w:w="8958" w:type="dxa"/>
        <w:tblInd w:w="66" w:type="dxa"/>
        <w:tblLayout w:type="fixed"/>
        <w:tblCellMar>
          <w:left w:w="70" w:type="dxa"/>
          <w:right w:w="70" w:type="dxa"/>
        </w:tblCellMar>
        <w:tblLook w:val="04A0" w:firstRow="1" w:lastRow="0" w:firstColumn="1" w:lastColumn="0" w:noHBand="0" w:noVBand="1"/>
      </w:tblPr>
      <w:tblGrid>
        <w:gridCol w:w="1860"/>
        <w:gridCol w:w="1420"/>
        <w:gridCol w:w="1277"/>
        <w:gridCol w:w="1135"/>
        <w:gridCol w:w="995"/>
        <w:gridCol w:w="1277"/>
        <w:gridCol w:w="994"/>
      </w:tblGrid>
      <w:tr w:rsidR="00D31C6C" w:rsidRPr="0090672F" w14:paraId="03F9536F" w14:textId="77777777" w:rsidTr="00297ED9">
        <w:trPr>
          <w:trHeight w:val="700"/>
        </w:trPr>
        <w:tc>
          <w:tcPr>
            <w:tcW w:w="1860" w:type="dxa"/>
            <w:tcBorders>
              <w:bottom w:val="single" w:sz="4" w:space="0" w:color="auto"/>
              <w:right w:val="single" w:sz="4" w:space="0" w:color="auto"/>
            </w:tcBorders>
            <w:shd w:val="clear" w:color="auto" w:fill="auto"/>
            <w:noWrap/>
            <w:vAlign w:val="center"/>
            <w:hideMark/>
          </w:tcPr>
          <w:p w14:paraId="21AE0BDE" w14:textId="77777777" w:rsidR="00D31C6C" w:rsidRPr="0090672F" w:rsidRDefault="00D31C6C" w:rsidP="0090672F">
            <w:pPr>
              <w:spacing w:after="0" w:line="240" w:lineRule="auto"/>
              <w:rPr>
                <w:rFonts w:ascii="Times New Roman" w:hAnsi="Times New Roman" w:cs="Times New Roman"/>
                <w:sz w:val="24"/>
                <w:szCs w:val="24"/>
                <w:lang w:eastAsia="fr-FR"/>
              </w:rPr>
            </w:pPr>
            <w:r w:rsidRPr="0090672F">
              <w:rPr>
                <w:rFonts w:ascii="Times New Roman" w:hAnsi="Times New Roman" w:cs="Times New Roman"/>
                <w:sz w:val="24"/>
                <w:szCs w:val="24"/>
                <w:lang w:eastAsia="fr-FR"/>
              </w:rPr>
              <w:t> </w:t>
            </w:r>
          </w:p>
        </w:tc>
        <w:tc>
          <w:tcPr>
            <w:tcW w:w="2697" w:type="dxa"/>
            <w:gridSpan w:val="2"/>
            <w:tcBorders>
              <w:top w:val="single" w:sz="4" w:space="0" w:color="auto"/>
              <w:left w:val="nil"/>
              <w:bottom w:val="single" w:sz="4" w:space="0" w:color="auto"/>
              <w:right w:val="single" w:sz="4" w:space="0" w:color="auto"/>
            </w:tcBorders>
            <w:shd w:val="clear" w:color="auto" w:fill="00B050"/>
            <w:noWrap/>
            <w:vAlign w:val="center"/>
            <w:hideMark/>
          </w:tcPr>
          <w:p w14:paraId="2D0A104D" w14:textId="77777777" w:rsidR="00D31C6C" w:rsidRPr="0090672F" w:rsidRDefault="00D31C6C" w:rsidP="0090672F">
            <w:pPr>
              <w:spacing w:after="0" w:line="240" w:lineRule="auto"/>
              <w:jc w:val="center"/>
              <w:rPr>
                <w:rFonts w:ascii="Times New Roman" w:hAnsi="Times New Roman" w:cs="Times New Roman"/>
                <w:sz w:val="24"/>
                <w:szCs w:val="24"/>
                <w:lang w:eastAsia="fr-FR"/>
              </w:rPr>
            </w:pPr>
            <w:r w:rsidRPr="0090672F">
              <w:rPr>
                <w:rFonts w:ascii="Times New Roman" w:hAnsi="Times New Roman" w:cs="Times New Roman"/>
                <w:b/>
                <w:sz w:val="24"/>
                <w:szCs w:val="24"/>
                <w:lang w:eastAsia="fr-FR"/>
              </w:rPr>
              <w:t xml:space="preserve">Forêts </w:t>
            </w:r>
            <w:r w:rsidRPr="0090672F">
              <w:rPr>
                <w:rFonts w:ascii="Times New Roman" w:hAnsi="Times New Roman" w:cs="Times New Roman"/>
                <w:sz w:val="24"/>
                <w:szCs w:val="24"/>
                <w:lang w:eastAsia="fr-FR"/>
              </w:rPr>
              <w:t xml:space="preserve">(forêt dense, forêt riveraine, </w:t>
            </w:r>
            <w:r w:rsidRPr="0090672F">
              <w:rPr>
                <w:rFonts w:ascii="Times New Roman" w:hAnsi="Times New Roman" w:cs="Times New Roman"/>
                <w:sz w:val="24"/>
                <w:szCs w:val="24"/>
                <w:lang w:val="de-DE"/>
              </w:rPr>
              <w:t>Forêt claires et savanes boisées, Plantation)</w:t>
            </w:r>
          </w:p>
        </w:tc>
        <w:tc>
          <w:tcPr>
            <w:tcW w:w="2130" w:type="dxa"/>
            <w:gridSpan w:val="2"/>
            <w:tcBorders>
              <w:top w:val="single" w:sz="4" w:space="0" w:color="auto"/>
              <w:left w:val="nil"/>
              <w:bottom w:val="single" w:sz="4" w:space="0" w:color="auto"/>
              <w:right w:val="single" w:sz="4" w:space="0" w:color="auto"/>
            </w:tcBorders>
            <w:shd w:val="clear" w:color="auto" w:fill="FFFF00"/>
            <w:vAlign w:val="center"/>
            <w:hideMark/>
          </w:tcPr>
          <w:p w14:paraId="76202CD7" w14:textId="77777777" w:rsidR="00D31C6C" w:rsidRPr="0090672F" w:rsidRDefault="00D31C6C" w:rsidP="0090672F">
            <w:pPr>
              <w:spacing w:after="0" w:line="240" w:lineRule="auto"/>
              <w:jc w:val="center"/>
              <w:rPr>
                <w:rFonts w:ascii="Times New Roman" w:hAnsi="Times New Roman" w:cs="Times New Roman"/>
                <w:sz w:val="24"/>
                <w:szCs w:val="24"/>
                <w:lang w:eastAsia="fr-FR"/>
              </w:rPr>
            </w:pPr>
            <w:r w:rsidRPr="0090672F">
              <w:rPr>
                <w:rFonts w:ascii="Times New Roman" w:hAnsi="Times New Roman" w:cs="Times New Roman"/>
                <w:b/>
                <w:sz w:val="24"/>
                <w:szCs w:val="24"/>
                <w:lang w:eastAsia="fr-FR"/>
              </w:rPr>
              <w:t>Savane arborée et arbustive</w:t>
            </w:r>
          </w:p>
        </w:tc>
        <w:tc>
          <w:tcPr>
            <w:tcW w:w="2271" w:type="dxa"/>
            <w:gridSpan w:val="2"/>
            <w:tcBorders>
              <w:top w:val="single" w:sz="4" w:space="0" w:color="auto"/>
              <w:left w:val="nil"/>
              <w:bottom w:val="single" w:sz="4" w:space="0" w:color="auto"/>
              <w:right w:val="single" w:sz="4" w:space="0" w:color="auto"/>
            </w:tcBorders>
            <w:shd w:val="clear" w:color="auto" w:fill="C00000"/>
            <w:vAlign w:val="center"/>
            <w:hideMark/>
          </w:tcPr>
          <w:p w14:paraId="4B653043" w14:textId="77777777" w:rsidR="00D31C6C" w:rsidRPr="0090672F" w:rsidRDefault="00D31C6C" w:rsidP="0090672F">
            <w:pPr>
              <w:spacing w:after="0" w:line="240" w:lineRule="auto"/>
              <w:jc w:val="center"/>
              <w:rPr>
                <w:rFonts w:ascii="Times New Roman" w:hAnsi="Times New Roman" w:cs="Times New Roman"/>
                <w:sz w:val="24"/>
                <w:szCs w:val="24"/>
                <w:lang w:eastAsia="fr-FR"/>
              </w:rPr>
            </w:pPr>
            <w:r w:rsidRPr="0090672F">
              <w:rPr>
                <w:rFonts w:ascii="Times New Roman" w:hAnsi="Times New Roman" w:cs="Times New Roman"/>
                <w:b/>
                <w:sz w:val="24"/>
                <w:szCs w:val="24"/>
                <w:lang w:eastAsia="fr-FR"/>
              </w:rPr>
              <w:t>Agriculture et Infrastructure</w:t>
            </w:r>
          </w:p>
        </w:tc>
      </w:tr>
      <w:tr w:rsidR="00D31C6C" w:rsidRPr="0090672F" w14:paraId="3C7E3A1D" w14:textId="77777777" w:rsidTr="00297ED9">
        <w:trPr>
          <w:trHeight w:val="201"/>
        </w:trPr>
        <w:tc>
          <w:tcPr>
            <w:tcW w:w="1860" w:type="dxa"/>
            <w:tcBorders>
              <w:top w:val="single" w:sz="4" w:space="0" w:color="auto"/>
              <w:left w:val="single" w:sz="4" w:space="0" w:color="auto"/>
              <w:bottom w:val="single" w:sz="4" w:space="0" w:color="auto"/>
              <w:right w:val="single" w:sz="4" w:space="0" w:color="auto"/>
            </w:tcBorders>
            <w:shd w:val="clear" w:color="auto" w:fill="BFBFBF"/>
            <w:noWrap/>
            <w:vAlign w:val="center"/>
            <w:hideMark/>
          </w:tcPr>
          <w:p w14:paraId="0F027BAE" w14:textId="77777777" w:rsidR="00D31C6C" w:rsidRPr="0090672F" w:rsidRDefault="00D31C6C" w:rsidP="0090672F">
            <w:pPr>
              <w:spacing w:after="0" w:line="240" w:lineRule="auto"/>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Régions</w:t>
            </w:r>
          </w:p>
        </w:tc>
        <w:tc>
          <w:tcPr>
            <w:tcW w:w="1420" w:type="dxa"/>
            <w:tcBorders>
              <w:top w:val="nil"/>
              <w:left w:val="nil"/>
              <w:bottom w:val="single" w:sz="4" w:space="0" w:color="auto"/>
              <w:right w:val="single" w:sz="4" w:space="0" w:color="auto"/>
            </w:tcBorders>
            <w:shd w:val="clear" w:color="auto" w:fill="BFBFBF"/>
            <w:noWrap/>
            <w:vAlign w:val="center"/>
            <w:hideMark/>
          </w:tcPr>
          <w:p w14:paraId="6D4F7815" w14:textId="77777777" w:rsidR="00D31C6C" w:rsidRPr="0090672F" w:rsidRDefault="00D31C6C" w:rsidP="0090672F">
            <w:pPr>
              <w:spacing w:after="0" w:line="240" w:lineRule="auto"/>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Ha</w:t>
            </w:r>
          </w:p>
        </w:tc>
        <w:tc>
          <w:tcPr>
            <w:tcW w:w="1277" w:type="dxa"/>
            <w:tcBorders>
              <w:top w:val="nil"/>
              <w:left w:val="nil"/>
              <w:bottom w:val="single" w:sz="4" w:space="0" w:color="auto"/>
              <w:right w:val="single" w:sz="4" w:space="0" w:color="auto"/>
            </w:tcBorders>
            <w:shd w:val="clear" w:color="auto" w:fill="BFBFBF"/>
            <w:noWrap/>
            <w:vAlign w:val="center"/>
            <w:hideMark/>
          </w:tcPr>
          <w:p w14:paraId="1CBEAE79" w14:textId="77777777" w:rsidR="00D31C6C" w:rsidRPr="0090672F" w:rsidRDefault="00D31C6C" w:rsidP="00784D93">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w:t>
            </w:r>
          </w:p>
        </w:tc>
        <w:tc>
          <w:tcPr>
            <w:tcW w:w="1135" w:type="dxa"/>
            <w:tcBorders>
              <w:top w:val="nil"/>
              <w:left w:val="nil"/>
              <w:bottom w:val="single" w:sz="4" w:space="0" w:color="auto"/>
              <w:right w:val="single" w:sz="4" w:space="0" w:color="auto"/>
            </w:tcBorders>
            <w:shd w:val="clear" w:color="auto" w:fill="BFBFBF"/>
            <w:noWrap/>
            <w:vAlign w:val="center"/>
            <w:hideMark/>
          </w:tcPr>
          <w:p w14:paraId="5A3820B6" w14:textId="77777777" w:rsidR="00D31C6C" w:rsidRPr="0090672F" w:rsidRDefault="00D31C6C" w:rsidP="0090672F">
            <w:pPr>
              <w:spacing w:after="0" w:line="240" w:lineRule="auto"/>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Ha</w:t>
            </w:r>
          </w:p>
        </w:tc>
        <w:tc>
          <w:tcPr>
            <w:tcW w:w="995" w:type="dxa"/>
            <w:tcBorders>
              <w:top w:val="nil"/>
              <w:left w:val="nil"/>
              <w:bottom w:val="single" w:sz="4" w:space="0" w:color="auto"/>
              <w:right w:val="single" w:sz="4" w:space="0" w:color="auto"/>
            </w:tcBorders>
            <w:shd w:val="clear" w:color="auto" w:fill="BFBFBF"/>
            <w:noWrap/>
            <w:vAlign w:val="center"/>
            <w:hideMark/>
          </w:tcPr>
          <w:p w14:paraId="364BCE45" w14:textId="77777777" w:rsidR="00D31C6C" w:rsidRPr="0090672F" w:rsidRDefault="00D31C6C" w:rsidP="00784D93">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w:t>
            </w:r>
          </w:p>
        </w:tc>
        <w:tc>
          <w:tcPr>
            <w:tcW w:w="1277" w:type="dxa"/>
            <w:tcBorders>
              <w:top w:val="nil"/>
              <w:left w:val="nil"/>
              <w:bottom w:val="single" w:sz="4" w:space="0" w:color="auto"/>
              <w:right w:val="single" w:sz="4" w:space="0" w:color="auto"/>
            </w:tcBorders>
            <w:shd w:val="clear" w:color="auto" w:fill="BFBFBF"/>
            <w:noWrap/>
            <w:vAlign w:val="center"/>
            <w:hideMark/>
          </w:tcPr>
          <w:p w14:paraId="1534F2FA" w14:textId="77777777" w:rsidR="00D31C6C" w:rsidRPr="0090672F" w:rsidRDefault="00D31C6C" w:rsidP="0090672F">
            <w:pPr>
              <w:spacing w:after="0" w:line="240" w:lineRule="auto"/>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Ha</w:t>
            </w:r>
          </w:p>
        </w:tc>
        <w:tc>
          <w:tcPr>
            <w:tcW w:w="994" w:type="dxa"/>
            <w:tcBorders>
              <w:top w:val="nil"/>
              <w:left w:val="nil"/>
              <w:bottom w:val="single" w:sz="4" w:space="0" w:color="auto"/>
              <w:right w:val="single" w:sz="4" w:space="0" w:color="auto"/>
            </w:tcBorders>
            <w:shd w:val="clear" w:color="auto" w:fill="BFBFBF"/>
            <w:noWrap/>
            <w:vAlign w:val="center"/>
            <w:hideMark/>
          </w:tcPr>
          <w:p w14:paraId="2B5A265B" w14:textId="77777777" w:rsidR="00D31C6C" w:rsidRPr="0090672F" w:rsidRDefault="00D31C6C" w:rsidP="00784D93">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w:t>
            </w:r>
          </w:p>
        </w:tc>
      </w:tr>
      <w:tr w:rsidR="00D31C6C" w:rsidRPr="0090672F" w14:paraId="1B56DC5D" w14:textId="77777777" w:rsidTr="00297ED9">
        <w:trPr>
          <w:trHeight w:val="204"/>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51884832" w14:textId="77777777" w:rsidR="00D31C6C" w:rsidRPr="0090672F" w:rsidRDefault="00D31C6C" w:rsidP="0090672F">
            <w:pPr>
              <w:spacing w:after="0" w:line="240" w:lineRule="auto"/>
              <w:rPr>
                <w:rFonts w:ascii="Times New Roman" w:hAnsi="Times New Roman" w:cs="Times New Roman"/>
                <w:sz w:val="24"/>
                <w:szCs w:val="24"/>
                <w:lang w:eastAsia="fr-FR"/>
              </w:rPr>
            </w:pPr>
            <w:r w:rsidRPr="0090672F">
              <w:rPr>
                <w:rFonts w:ascii="Times New Roman" w:hAnsi="Times New Roman" w:cs="Times New Roman"/>
                <w:sz w:val="24"/>
                <w:szCs w:val="24"/>
                <w:lang w:eastAsia="fr-FR"/>
              </w:rPr>
              <w:t>Savanes</w:t>
            </w:r>
          </w:p>
        </w:tc>
        <w:tc>
          <w:tcPr>
            <w:tcW w:w="1420" w:type="dxa"/>
            <w:tcBorders>
              <w:top w:val="nil"/>
              <w:left w:val="nil"/>
              <w:bottom w:val="single" w:sz="4" w:space="0" w:color="auto"/>
              <w:right w:val="single" w:sz="4" w:space="0" w:color="auto"/>
            </w:tcBorders>
            <w:shd w:val="clear" w:color="auto" w:fill="auto"/>
            <w:noWrap/>
            <w:vAlign w:val="center"/>
            <w:hideMark/>
          </w:tcPr>
          <w:p w14:paraId="744681F3"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 xml:space="preserve">82 528   </w:t>
            </w:r>
          </w:p>
        </w:tc>
        <w:tc>
          <w:tcPr>
            <w:tcW w:w="1277" w:type="dxa"/>
            <w:tcBorders>
              <w:top w:val="nil"/>
              <w:left w:val="nil"/>
              <w:bottom w:val="single" w:sz="4" w:space="0" w:color="auto"/>
              <w:right w:val="single" w:sz="4" w:space="0" w:color="auto"/>
            </w:tcBorders>
            <w:shd w:val="clear" w:color="auto" w:fill="auto"/>
            <w:noWrap/>
            <w:vAlign w:val="center"/>
            <w:hideMark/>
          </w:tcPr>
          <w:p w14:paraId="4FF434AC"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1,45</w:t>
            </w:r>
          </w:p>
        </w:tc>
        <w:tc>
          <w:tcPr>
            <w:tcW w:w="1135" w:type="dxa"/>
            <w:tcBorders>
              <w:top w:val="nil"/>
              <w:left w:val="nil"/>
              <w:bottom w:val="single" w:sz="4" w:space="0" w:color="auto"/>
              <w:right w:val="single" w:sz="4" w:space="0" w:color="auto"/>
            </w:tcBorders>
            <w:shd w:val="clear" w:color="auto" w:fill="auto"/>
            <w:noWrap/>
            <w:vAlign w:val="center"/>
            <w:hideMark/>
          </w:tcPr>
          <w:p w14:paraId="66958BD0"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 xml:space="preserve">218 077   </w:t>
            </w:r>
          </w:p>
        </w:tc>
        <w:tc>
          <w:tcPr>
            <w:tcW w:w="995" w:type="dxa"/>
            <w:tcBorders>
              <w:top w:val="nil"/>
              <w:left w:val="nil"/>
              <w:bottom w:val="single" w:sz="4" w:space="0" w:color="auto"/>
              <w:right w:val="single" w:sz="4" w:space="0" w:color="auto"/>
            </w:tcBorders>
            <w:shd w:val="clear" w:color="auto" w:fill="auto"/>
            <w:noWrap/>
            <w:vAlign w:val="center"/>
            <w:hideMark/>
          </w:tcPr>
          <w:p w14:paraId="1221A8E5"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3,83</w:t>
            </w:r>
          </w:p>
        </w:tc>
        <w:tc>
          <w:tcPr>
            <w:tcW w:w="1277" w:type="dxa"/>
            <w:tcBorders>
              <w:top w:val="nil"/>
              <w:left w:val="nil"/>
              <w:bottom w:val="single" w:sz="4" w:space="0" w:color="auto"/>
              <w:right w:val="single" w:sz="4" w:space="0" w:color="auto"/>
            </w:tcBorders>
            <w:shd w:val="clear" w:color="auto" w:fill="auto"/>
            <w:noWrap/>
            <w:vAlign w:val="center"/>
            <w:hideMark/>
          </w:tcPr>
          <w:p w14:paraId="3059161C"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571 839</w:t>
            </w:r>
          </w:p>
        </w:tc>
        <w:tc>
          <w:tcPr>
            <w:tcW w:w="994" w:type="dxa"/>
            <w:tcBorders>
              <w:top w:val="nil"/>
              <w:left w:val="nil"/>
              <w:bottom w:val="single" w:sz="4" w:space="0" w:color="auto"/>
              <w:right w:val="single" w:sz="4" w:space="0" w:color="auto"/>
            </w:tcBorders>
            <w:shd w:val="clear" w:color="auto" w:fill="auto"/>
            <w:noWrap/>
            <w:vAlign w:val="center"/>
            <w:hideMark/>
          </w:tcPr>
          <w:p w14:paraId="64B1FD7F"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10,03</w:t>
            </w:r>
          </w:p>
        </w:tc>
      </w:tr>
      <w:tr w:rsidR="00D31C6C" w:rsidRPr="0090672F" w14:paraId="0E63DFA8" w14:textId="77777777" w:rsidTr="00297ED9">
        <w:trPr>
          <w:trHeight w:val="233"/>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6E508C7C" w14:textId="77777777" w:rsidR="00D31C6C" w:rsidRPr="0090672F" w:rsidRDefault="00D31C6C" w:rsidP="0090672F">
            <w:pPr>
              <w:spacing w:after="0" w:line="240" w:lineRule="auto"/>
              <w:rPr>
                <w:rFonts w:ascii="Times New Roman" w:hAnsi="Times New Roman" w:cs="Times New Roman"/>
                <w:sz w:val="24"/>
                <w:szCs w:val="24"/>
                <w:lang w:eastAsia="fr-FR"/>
              </w:rPr>
            </w:pPr>
            <w:r w:rsidRPr="0090672F">
              <w:rPr>
                <w:rFonts w:ascii="Times New Roman" w:hAnsi="Times New Roman" w:cs="Times New Roman"/>
                <w:sz w:val="24"/>
                <w:szCs w:val="24"/>
                <w:lang w:eastAsia="fr-FR"/>
              </w:rPr>
              <w:t>Kara</w:t>
            </w:r>
          </w:p>
        </w:tc>
        <w:tc>
          <w:tcPr>
            <w:tcW w:w="1420" w:type="dxa"/>
            <w:tcBorders>
              <w:top w:val="nil"/>
              <w:left w:val="nil"/>
              <w:bottom w:val="single" w:sz="4" w:space="0" w:color="auto"/>
              <w:right w:val="single" w:sz="4" w:space="0" w:color="auto"/>
            </w:tcBorders>
            <w:shd w:val="clear" w:color="auto" w:fill="auto"/>
            <w:noWrap/>
            <w:vAlign w:val="center"/>
            <w:hideMark/>
          </w:tcPr>
          <w:p w14:paraId="232A73CD"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196 494</w:t>
            </w:r>
          </w:p>
        </w:tc>
        <w:tc>
          <w:tcPr>
            <w:tcW w:w="1277" w:type="dxa"/>
            <w:tcBorders>
              <w:top w:val="nil"/>
              <w:left w:val="nil"/>
              <w:bottom w:val="single" w:sz="4" w:space="0" w:color="auto"/>
              <w:right w:val="single" w:sz="4" w:space="0" w:color="auto"/>
            </w:tcBorders>
            <w:shd w:val="clear" w:color="auto" w:fill="auto"/>
            <w:noWrap/>
            <w:vAlign w:val="center"/>
            <w:hideMark/>
          </w:tcPr>
          <w:p w14:paraId="2EA9319A"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3,45</w:t>
            </w:r>
          </w:p>
        </w:tc>
        <w:tc>
          <w:tcPr>
            <w:tcW w:w="1135" w:type="dxa"/>
            <w:tcBorders>
              <w:top w:val="nil"/>
              <w:left w:val="nil"/>
              <w:bottom w:val="single" w:sz="4" w:space="0" w:color="auto"/>
              <w:right w:val="single" w:sz="4" w:space="0" w:color="auto"/>
            </w:tcBorders>
            <w:shd w:val="clear" w:color="auto" w:fill="auto"/>
            <w:noWrap/>
            <w:vAlign w:val="center"/>
            <w:hideMark/>
          </w:tcPr>
          <w:p w14:paraId="2BE0A847"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466 409</w:t>
            </w:r>
          </w:p>
        </w:tc>
        <w:tc>
          <w:tcPr>
            <w:tcW w:w="995" w:type="dxa"/>
            <w:tcBorders>
              <w:top w:val="nil"/>
              <w:left w:val="nil"/>
              <w:bottom w:val="single" w:sz="4" w:space="0" w:color="auto"/>
              <w:right w:val="single" w:sz="4" w:space="0" w:color="auto"/>
            </w:tcBorders>
            <w:shd w:val="clear" w:color="auto" w:fill="auto"/>
            <w:noWrap/>
            <w:vAlign w:val="center"/>
            <w:hideMark/>
          </w:tcPr>
          <w:p w14:paraId="64A482A2"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8,18</w:t>
            </w:r>
          </w:p>
        </w:tc>
        <w:tc>
          <w:tcPr>
            <w:tcW w:w="1277" w:type="dxa"/>
            <w:tcBorders>
              <w:top w:val="nil"/>
              <w:left w:val="nil"/>
              <w:bottom w:val="single" w:sz="4" w:space="0" w:color="auto"/>
              <w:right w:val="single" w:sz="4" w:space="0" w:color="auto"/>
            </w:tcBorders>
            <w:shd w:val="clear" w:color="auto" w:fill="auto"/>
            <w:noWrap/>
            <w:vAlign w:val="center"/>
            <w:hideMark/>
          </w:tcPr>
          <w:p w14:paraId="16346EB3"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489 972</w:t>
            </w:r>
          </w:p>
        </w:tc>
        <w:tc>
          <w:tcPr>
            <w:tcW w:w="994" w:type="dxa"/>
            <w:tcBorders>
              <w:top w:val="nil"/>
              <w:left w:val="nil"/>
              <w:bottom w:val="single" w:sz="4" w:space="0" w:color="auto"/>
              <w:right w:val="single" w:sz="4" w:space="0" w:color="auto"/>
            </w:tcBorders>
            <w:shd w:val="clear" w:color="auto" w:fill="auto"/>
            <w:noWrap/>
            <w:vAlign w:val="center"/>
            <w:hideMark/>
          </w:tcPr>
          <w:p w14:paraId="74878771"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8,60</w:t>
            </w:r>
          </w:p>
        </w:tc>
      </w:tr>
      <w:tr w:rsidR="00D31C6C" w:rsidRPr="0090672F" w14:paraId="64A8D399" w14:textId="77777777" w:rsidTr="00297ED9">
        <w:trPr>
          <w:trHeight w:val="250"/>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2887EF33" w14:textId="77777777" w:rsidR="00D31C6C" w:rsidRPr="0090672F" w:rsidRDefault="00D31C6C" w:rsidP="0090672F">
            <w:pPr>
              <w:spacing w:after="0" w:line="240" w:lineRule="auto"/>
              <w:rPr>
                <w:rFonts w:ascii="Times New Roman" w:hAnsi="Times New Roman" w:cs="Times New Roman"/>
                <w:sz w:val="24"/>
                <w:szCs w:val="24"/>
                <w:lang w:eastAsia="fr-FR"/>
              </w:rPr>
            </w:pPr>
            <w:r w:rsidRPr="0090672F">
              <w:rPr>
                <w:rFonts w:ascii="Times New Roman" w:hAnsi="Times New Roman" w:cs="Times New Roman"/>
                <w:sz w:val="24"/>
                <w:szCs w:val="24"/>
                <w:lang w:eastAsia="fr-FR"/>
              </w:rPr>
              <w:t>Centrale</w:t>
            </w:r>
          </w:p>
        </w:tc>
        <w:tc>
          <w:tcPr>
            <w:tcW w:w="1420" w:type="dxa"/>
            <w:tcBorders>
              <w:top w:val="nil"/>
              <w:left w:val="nil"/>
              <w:bottom w:val="single" w:sz="4" w:space="0" w:color="auto"/>
              <w:right w:val="single" w:sz="4" w:space="0" w:color="auto"/>
            </w:tcBorders>
            <w:shd w:val="clear" w:color="auto" w:fill="auto"/>
            <w:noWrap/>
            <w:vAlign w:val="center"/>
            <w:hideMark/>
          </w:tcPr>
          <w:p w14:paraId="01F02FBA"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355 348</w:t>
            </w:r>
          </w:p>
        </w:tc>
        <w:tc>
          <w:tcPr>
            <w:tcW w:w="1277" w:type="dxa"/>
            <w:tcBorders>
              <w:top w:val="nil"/>
              <w:left w:val="nil"/>
              <w:bottom w:val="single" w:sz="4" w:space="0" w:color="auto"/>
              <w:right w:val="single" w:sz="4" w:space="0" w:color="auto"/>
            </w:tcBorders>
            <w:shd w:val="clear" w:color="auto" w:fill="auto"/>
            <w:noWrap/>
            <w:vAlign w:val="center"/>
            <w:hideMark/>
          </w:tcPr>
          <w:p w14:paraId="7663AEE2"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6,24</w:t>
            </w:r>
          </w:p>
        </w:tc>
        <w:tc>
          <w:tcPr>
            <w:tcW w:w="1135" w:type="dxa"/>
            <w:tcBorders>
              <w:top w:val="nil"/>
              <w:left w:val="nil"/>
              <w:bottom w:val="single" w:sz="4" w:space="0" w:color="auto"/>
              <w:right w:val="single" w:sz="4" w:space="0" w:color="auto"/>
            </w:tcBorders>
            <w:shd w:val="clear" w:color="auto" w:fill="auto"/>
            <w:noWrap/>
            <w:vAlign w:val="center"/>
            <w:hideMark/>
          </w:tcPr>
          <w:p w14:paraId="69391CC5"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600 497</w:t>
            </w:r>
          </w:p>
        </w:tc>
        <w:tc>
          <w:tcPr>
            <w:tcW w:w="995" w:type="dxa"/>
            <w:tcBorders>
              <w:top w:val="nil"/>
              <w:left w:val="nil"/>
              <w:bottom w:val="single" w:sz="4" w:space="0" w:color="auto"/>
              <w:right w:val="single" w:sz="4" w:space="0" w:color="auto"/>
            </w:tcBorders>
            <w:shd w:val="clear" w:color="auto" w:fill="auto"/>
            <w:noWrap/>
            <w:vAlign w:val="center"/>
            <w:hideMark/>
          </w:tcPr>
          <w:p w14:paraId="4F11AE79"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10,54</w:t>
            </w:r>
          </w:p>
        </w:tc>
        <w:tc>
          <w:tcPr>
            <w:tcW w:w="1277" w:type="dxa"/>
            <w:tcBorders>
              <w:top w:val="nil"/>
              <w:left w:val="nil"/>
              <w:bottom w:val="single" w:sz="4" w:space="0" w:color="auto"/>
              <w:right w:val="single" w:sz="4" w:space="0" w:color="auto"/>
            </w:tcBorders>
            <w:shd w:val="clear" w:color="auto" w:fill="auto"/>
            <w:noWrap/>
            <w:vAlign w:val="center"/>
            <w:hideMark/>
          </w:tcPr>
          <w:p w14:paraId="745F29ED"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368 652</w:t>
            </w:r>
          </w:p>
        </w:tc>
        <w:tc>
          <w:tcPr>
            <w:tcW w:w="994" w:type="dxa"/>
            <w:tcBorders>
              <w:top w:val="nil"/>
              <w:left w:val="nil"/>
              <w:bottom w:val="single" w:sz="4" w:space="0" w:color="auto"/>
              <w:right w:val="single" w:sz="4" w:space="0" w:color="auto"/>
            </w:tcBorders>
            <w:shd w:val="clear" w:color="auto" w:fill="auto"/>
            <w:noWrap/>
            <w:vAlign w:val="center"/>
            <w:hideMark/>
          </w:tcPr>
          <w:p w14:paraId="01D85E5D"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6,47</w:t>
            </w:r>
          </w:p>
        </w:tc>
      </w:tr>
      <w:tr w:rsidR="00D31C6C" w:rsidRPr="0090672F" w14:paraId="77432F14" w14:textId="77777777" w:rsidTr="00297ED9">
        <w:trPr>
          <w:trHeight w:val="241"/>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3BCA8F2B" w14:textId="77777777" w:rsidR="00D31C6C" w:rsidRPr="0090672F" w:rsidRDefault="00D31C6C" w:rsidP="0090672F">
            <w:pPr>
              <w:spacing w:after="0" w:line="240" w:lineRule="auto"/>
              <w:rPr>
                <w:rFonts w:ascii="Times New Roman" w:hAnsi="Times New Roman" w:cs="Times New Roman"/>
                <w:sz w:val="24"/>
                <w:szCs w:val="24"/>
                <w:lang w:eastAsia="fr-FR"/>
              </w:rPr>
            </w:pPr>
            <w:r w:rsidRPr="0090672F">
              <w:rPr>
                <w:rFonts w:ascii="Times New Roman" w:hAnsi="Times New Roman" w:cs="Times New Roman"/>
                <w:sz w:val="24"/>
                <w:szCs w:val="24"/>
                <w:lang w:eastAsia="fr-FR"/>
              </w:rPr>
              <w:t>Plateaux</w:t>
            </w:r>
          </w:p>
        </w:tc>
        <w:tc>
          <w:tcPr>
            <w:tcW w:w="1420" w:type="dxa"/>
            <w:tcBorders>
              <w:top w:val="nil"/>
              <w:left w:val="nil"/>
              <w:bottom w:val="single" w:sz="4" w:space="0" w:color="auto"/>
              <w:right w:val="single" w:sz="4" w:space="0" w:color="auto"/>
            </w:tcBorders>
            <w:shd w:val="clear" w:color="auto" w:fill="auto"/>
            <w:noWrap/>
            <w:vAlign w:val="center"/>
            <w:hideMark/>
          </w:tcPr>
          <w:p w14:paraId="64E33564"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565 143</w:t>
            </w:r>
          </w:p>
        </w:tc>
        <w:tc>
          <w:tcPr>
            <w:tcW w:w="1277" w:type="dxa"/>
            <w:tcBorders>
              <w:top w:val="nil"/>
              <w:left w:val="nil"/>
              <w:bottom w:val="single" w:sz="4" w:space="0" w:color="auto"/>
              <w:right w:val="single" w:sz="4" w:space="0" w:color="auto"/>
            </w:tcBorders>
            <w:shd w:val="clear" w:color="auto" w:fill="auto"/>
            <w:noWrap/>
            <w:vAlign w:val="center"/>
            <w:hideMark/>
          </w:tcPr>
          <w:p w14:paraId="7B84362F"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9,92</w:t>
            </w:r>
          </w:p>
        </w:tc>
        <w:tc>
          <w:tcPr>
            <w:tcW w:w="1135" w:type="dxa"/>
            <w:tcBorders>
              <w:top w:val="nil"/>
              <w:left w:val="nil"/>
              <w:bottom w:val="single" w:sz="4" w:space="0" w:color="auto"/>
              <w:right w:val="single" w:sz="4" w:space="0" w:color="auto"/>
            </w:tcBorders>
            <w:shd w:val="clear" w:color="auto" w:fill="auto"/>
            <w:noWrap/>
            <w:vAlign w:val="center"/>
            <w:hideMark/>
          </w:tcPr>
          <w:p w14:paraId="1A1FA8C1"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578 722</w:t>
            </w:r>
          </w:p>
        </w:tc>
        <w:tc>
          <w:tcPr>
            <w:tcW w:w="995" w:type="dxa"/>
            <w:tcBorders>
              <w:top w:val="nil"/>
              <w:left w:val="nil"/>
              <w:bottom w:val="single" w:sz="4" w:space="0" w:color="auto"/>
              <w:right w:val="single" w:sz="4" w:space="0" w:color="auto"/>
            </w:tcBorders>
            <w:shd w:val="clear" w:color="auto" w:fill="auto"/>
            <w:noWrap/>
            <w:vAlign w:val="center"/>
            <w:hideMark/>
          </w:tcPr>
          <w:p w14:paraId="4B99BB5F"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10,16</w:t>
            </w:r>
          </w:p>
        </w:tc>
        <w:tc>
          <w:tcPr>
            <w:tcW w:w="1277" w:type="dxa"/>
            <w:tcBorders>
              <w:top w:val="nil"/>
              <w:left w:val="nil"/>
              <w:bottom w:val="single" w:sz="4" w:space="0" w:color="auto"/>
              <w:right w:val="single" w:sz="4" w:space="0" w:color="auto"/>
            </w:tcBorders>
            <w:shd w:val="clear" w:color="auto" w:fill="auto"/>
            <w:noWrap/>
            <w:vAlign w:val="center"/>
            <w:hideMark/>
          </w:tcPr>
          <w:p w14:paraId="63B5FB62"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578 823</w:t>
            </w:r>
          </w:p>
        </w:tc>
        <w:tc>
          <w:tcPr>
            <w:tcW w:w="994" w:type="dxa"/>
            <w:tcBorders>
              <w:top w:val="nil"/>
              <w:left w:val="nil"/>
              <w:bottom w:val="single" w:sz="4" w:space="0" w:color="auto"/>
              <w:right w:val="single" w:sz="4" w:space="0" w:color="auto"/>
            </w:tcBorders>
            <w:shd w:val="clear" w:color="auto" w:fill="auto"/>
            <w:noWrap/>
            <w:vAlign w:val="center"/>
            <w:hideMark/>
          </w:tcPr>
          <w:p w14:paraId="5779D091"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10,16</w:t>
            </w:r>
          </w:p>
        </w:tc>
      </w:tr>
      <w:tr w:rsidR="00D31C6C" w:rsidRPr="0090672F" w14:paraId="2A376D17" w14:textId="77777777" w:rsidTr="00297ED9">
        <w:trPr>
          <w:trHeight w:val="257"/>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6771FB63" w14:textId="77777777" w:rsidR="00D31C6C" w:rsidRPr="0090672F" w:rsidRDefault="00D31C6C" w:rsidP="0090672F">
            <w:pPr>
              <w:spacing w:after="0" w:line="240" w:lineRule="auto"/>
              <w:rPr>
                <w:rFonts w:ascii="Times New Roman" w:hAnsi="Times New Roman" w:cs="Times New Roman"/>
                <w:sz w:val="24"/>
                <w:szCs w:val="24"/>
                <w:lang w:eastAsia="fr-FR"/>
              </w:rPr>
            </w:pPr>
            <w:r w:rsidRPr="0090672F">
              <w:rPr>
                <w:rFonts w:ascii="Times New Roman" w:hAnsi="Times New Roman" w:cs="Times New Roman"/>
                <w:sz w:val="24"/>
                <w:szCs w:val="24"/>
                <w:lang w:eastAsia="fr-FR"/>
              </w:rPr>
              <w:t>Maritime</w:t>
            </w:r>
          </w:p>
        </w:tc>
        <w:tc>
          <w:tcPr>
            <w:tcW w:w="1420" w:type="dxa"/>
            <w:tcBorders>
              <w:top w:val="nil"/>
              <w:left w:val="nil"/>
              <w:bottom w:val="single" w:sz="4" w:space="0" w:color="auto"/>
              <w:right w:val="single" w:sz="4" w:space="0" w:color="auto"/>
            </w:tcBorders>
            <w:shd w:val="clear" w:color="auto" w:fill="auto"/>
            <w:noWrap/>
            <w:vAlign w:val="center"/>
            <w:hideMark/>
          </w:tcPr>
          <w:p w14:paraId="1AC5FF2D"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182 025</w:t>
            </w:r>
          </w:p>
        </w:tc>
        <w:tc>
          <w:tcPr>
            <w:tcW w:w="1277" w:type="dxa"/>
            <w:tcBorders>
              <w:top w:val="nil"/>
              <w:left w:val="nil"/>
              <w:bottom w:val="single" w:sz="4" w:space="0" w:color="auto"/>
              <w:right w:val="single" w:sz="4" w:space="0" w:color="auto"/>
            </w:tcBorders>
            <w:shd w:val="clear" w:color="auto" w:fill="auto"/>
            <w:noWrap/>
            <w:vAlign w:val="center"/>
            <w:hideMark/>
          </w:tcPr>
          <w:p w14:paraId="38DB1EA4"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3,19</w:t>
            </w:r>
          </w:p>
        </w:tc>
        <w:tc>
          <w:tcPr>
            <w:tcW w:w="1135" w:type="dxa"/>
            <w:tcBorders>
              <w:top w:val="nil"/>
              <w:left w:val="nil"/>
              <w:bottom w:val="single" w:sz="4" w:space="0" w:color="auto"/>
              <w:right w:val="single" w:sz="4" w:space="0" w:color="auto"/>
            </w:tcBorders>
            <w:shd w:val="clear" w:color="auto" w:fill="auto"/>
            <w:noWrap/>
            <w:vAlign w:val="center"/>
            <w:hideMark/>
          </w:tcPr>
          <w:p w14:paraId="49334362"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122 818</w:t>
            </w:r>
          </w:p>
        </w:tc>
        <w:tc>
          <w:tcPr>
            <w:tcW w:w="995" w:type="dxa"/>
            <w:tcBorders>
              <w:top w:val="nil"/>
              <w:left w:val="nil"/>
              <w:bottom w:val="single" w:sz="4" w:space="0" w:color="auto"/>
              <w:right w:val="single" w:sz="4" w:space="0" w:color="auto"/>
            </w:tcBorders>
            <w:shd w:val="clear" w:color="auto" w:fill="auto"/>
            <w:noWrap/>
            <w:vAlign w:val="center"/>
            <w:hideMark/>
          </w:tcPr>
          <w:p w14:paraId="4EACDD38"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2,16</w:t>
            </w:r>
          </w:p>
        </w:tc>
        <w:tc>
          <w:tcPr>
            <w:tcW w:w="1277" w:type="dxa"/>
            <w:tcBorders>
              <w:top w:val="nil"/>
              <w:left w:val="nil"/>
              <w:bottom w:val="single" w:sz="4" w:space="0" w:color="auto"/>
              <w:right w:val="single" w:sz="4" w:space="0" w:color="auto"/>
            </w:tcBorders>
            <w:shd w:val="clear" w:color="auto" w:fill="auto"/>
            <w:noWrap/>
            <w:vAlign w:val="center"/>
            <w:hideMark/>
          </w:tcPr>
          <w:p w14:paraId="58AF8648" w14:textId="77777777" w:rsidR="00D31C6C" w:rsidRPr="0090672F" w:rsidRDefault="00D31C6C" w:rsidP="0090672F">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321 431</w:t>
            </w:r>
          </w:p>
        </w:tc>
        <w:tc>
          <w:tcPr>
            <w:tcW w:w="994" w:type="dxa"/>
            <w:tcBorders>
              <w:top w:val="nil"/>
              <w:left w:val="nil"/>
              <w:bottom w:val="single" w:sz="4" w:space="0" w:color="auto"/>
              <w:right w:val="single" w:sz="4" w:space="0" w:color="auto"/>
            </w:tcBorders>
            <w:shd w:val="clear" w:color="auto" w:fill="auto"/>
            <w:noWrap/>
            <w:vAlign w:val="center"/>
            <w:hideMark/>
          </w:tcPr>
          <w:p w14:paraId="60BF694C" w14:textId="77777777" w:rsidR="00D31C6C" w:rsidRPr="0090672F" w:rsidRDefault="00D31C6C" w:rsidP="00784D93">
            <w:pPr>
              <w:spacing w:after="0" w:line="240" w:lineRule="auto"/>
              <w:jc w:val="right"/>
              <w:rPr>
                <w:rFonts w:ascii="Times New Roman" w:hAnsi="Times New Roman" w:cs="Times New Roman"/>
                <w:sz w:val="24"/>
                <w:szCs w:val="24"/>
                <w:lang w:eastAsia="fr-FR"/>
              </w:rPr>
            </w:pPr>
            <w:r w:rsidRPr="0090672F">
              <w:rPr>
                <w:rFonts w:ascii="Times New Roman" w:hAnsi="Times New Roman" w:cs="Times New Roman"/>
                <w:sz w:val="24"/>
                <w:szCs w:val="24"/>
                <w:lang w:eastAsia="fr-FR"/>
              </w:rPr>
              <w:t>5,64</w:t>
            </w:r>
          </w:p>
        </w:tc>
      </w:tr>
      <w:tr w:rsidR="00D31C6C" w:rsidRPr="0090672F" w14:paraId="60732E0A" w14:textId="77777777" w:rsidTr="00297ED9">
        <w:trPr>
          <w:trHeight w:val="363"/>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2B60D516" w14:textId="77777777" w:rsidR="00D31C6C" w:rsidRPr="0090672F" w:rsidRDefault="00D31C6C" w:rsidP="0090672F">
            <w:pPr>
              <w:spacing w:after="0" w:line="240" w:lineRule="auto"/>
              <w:jc w:val="center"/>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Togo (National)</w:t>
            </w:r>
          </w:p>
        </w:tc>
        <w:tc>
          <w:tcPr>
            <w:tcW w:w="1420" w:type="dxa"/>
            <w:tcBorders>
              <w:top w:val="nil"/>
              <w:left w:val="nil"/>
              <w:bottom w:val="single" w:sz="4" w:space="0" w:color="auto"/>
              <w:right w:val="single" w:sz="4" w:space="0" w:color="auto"/>
            </w:tcBorders>
            <w:shd w:val="clear" w:color="auto" w:fill="auto"/>
            <w:noWrap/>
            <w:vAlign w:val="center"/>
            <w:hideMark/>
          </w:tcPr>
          <w:p w14:paraId="3CDB7CA4" w14:textId="77777777" w:rsidR="00D31C6C" w:rsidRPr="0090672F" w:rsidRDefault="00D31C6C" w:rsidP="0090672F">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1 381 538</w:t>
            </w:r>
          </w:p>
        </w:tc>
        <w:tc>
          <w:tcPr>
            <w:tcW w:w="1277" w:type="dxa"/>
            <w:tcBorders>
              <w:top w:val="nil"/>
              <w:left w:val="nil"/>
              <w:bottom w:val="single" w:sz="4" w:space="0" w:color="auto"/>
              <w:right w:val="single" w:sz="4" w:space="0" w:color="auto"/>
            </w:tcBorders>
            <w:shd w:val="clear" w:color="auto" w:fill="auto"/>
            <w:noWrap/>
            <w:vAlign w:val="center"/>
            <w:hideMark/>
          </w:tcPr>
          <w:p w14:paraId="4B497CA4" w14:textId="77777777" w:rsidR="00D31C6C" w:rsidRPr="0090672F" w:rsidRDefault="00D31C6C" w:rsidP="00784D93">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24,24</w:t>
            </w:r>
          </w:p>
        </w:tc>
        <w:tc>
          <w:tcPr>
            <w:tcW w:w="1135" w:type="dxa"/>
            <w:tcBorders>
              <w:top w:val="nil"/>
              <w:left w:val="nil"/>
              <w:bottom w:val="single" w:sz="4" w:space="0" w:color="auto"/>
              <w:right w:val="single" w:sz="4" w:space="0" w:color="auto"/>
            </w:tcBorders>
            <w:shd w:val="clear" w:color="auto" w:fill="auto"/>
            <w:noWrap/>
            <w:vAlign w:val="center"/>
            <w:hideMark/>
          </w:tcPr>
          <w:p w14:paraId="5D3F69FB" w14:textId="77777777" w:rsidR="00D31C6C" w:rsidRPr="0090672F" w:rsidRDefault="00D31C6C" w:rsidP="0090672F">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1 986 523</w:t>
            </w:r>
          </w:p>
        </w:tc>
        <w:tc>
          <w:tcPr>
            <w:tcW w:w="995" w:type="dxa"/>
            <w:tcBorders>
              <w:top w:val="nil"/>
              <w:left w:val="nil"/>
              <w:bottom w:val="single" w:sz="4" w:space="0" w:color="auto"/>
              <w:right w:val="single" w:sz="4" w:space="0" w:color="auto"/>
            </w:tcBorders>
            <w:shd w:val="clear" w:color="auto" w:fill="auto"/>
            <w:noWrap/>
            <w:vAlign w:val="center"/>
            <w:hideMark/>
          </w:tcPr>
          <w:p w14:paraId="64D1AA2F" w14:textId="77777777" w:rsidR="00D31C6C" w:rsidRPr="0090672F" w:rsidRDefault="00D31C6C" w:rsidP="00784D93">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34,86</w:t>
            </w:r>
          </w:p>
        </w:tc>
        <w:tc>
          <w:tcPr>
            <w:tcW w:w="1277" w:type="dxa"/>
            <w:tcBorders>
              <w:top w:val="nil"/>
              <w:left w:val="nil"/>
              <w:bottom w:val="single" w:sz="4" w:space="0" w:color="auto"/>
              <w:right w:val="single" w:sz="4" w:space="0" w:color="auto"/>
            </w:tcBorders>
            <w:shd w:val="clear" w:color="auto" w:fill="auto"/>
            <w:noWrap/>
            <w:vAlign w:val="center"/>
            <w:hideMark/>
          </w:tcPr>
          <w:p w14:paraId="5A7AAB68" w14:textId="77777777" w:rsidR="00D31C6C" w:rsidRPr="0090672F" w:rsidRDefault="00D31C6C" w:rsidP="0090672F">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2 330 717</w:t>
            </w:r>
          </w:p>
        </w:tc>
        <w:tc>
          <w:tcPr>
            <w:tcW w:w="994" w:type="dxa"/>
            <w:tcBorders>
              <w:top w:val="nil"/>
              <w:left w:val="nil"/>
              <w:bottom w:val="single" w:sz="4" w:space="0" w:color="auto"/>
              <w:right w:val="single" w:sz="4" w:space="0" w:color="auto"/>
            </w:tcBorders>
            <w:shd w:val="clear" w:color="auto" w:fill="auto"/>
            <w:noWrap/>
            <w:vAlign w:val="center"/>
            <w:hideMark/>
          </w:tcPr>
          <w:p w14:paraId="2F0EA8EC" w14:textId="77777777" w:rsidR="00D31C6C" w:rsidRPr="0090672F" w:rsidRDefault="00D31C6C" w:rsidP="00784D93">
            <w:pPr>
              <w:spacing w:after="0" w:line="240" w:lineRule="auto"/>
              <w:jc w:val="right"/>
              <w:rPr>
                <w:rFonts w:ascii="Times New Roman" w:hAnsi="Times New Roman" w:cs="Times New Roman"/>
                <w:b/>
                <w:sz w:val="24"/>
                <w:szCs w:val="24"/>
                <w:lang w:eastAsia="fr-FR"/>
              </w:rPr>
            </w:pPr>
            <w:r w:rsidRPr="0090672F">
              <w:rPr>
                <w:rFonts w:ascii="Times New Roman" w:hAnsi="Times New Roman" w:cs="Times New Roman"/>
                <w:b/>
                <w:sz w:val="24"/>
                <w:szCs w:val="24"/>
                <w:lang w:eastAsia="fr-FR"/>
              </w:rPr>
              <w:t>40,90</w:t>
            </w:r>
          </w:p>
        </w:tc>
      </w:tr>
    </w:tbl>
    <w:p w14:paraId="3DBA1A56" w14:textId="77777777" w:rsidR="00D31C6C" w:rsidRPr="0090672F" w:rsidRDefault="00D31C6C" w:rsidP="0090672F">
      <w:pPr>
        <w:spacing w:after="0" w:line="240" w:lineRule="auto"/>
        <w:jc w:val="both"/>
        <w:rPr>
          <w:rFonts w:ascii="Times New Roman" w:hAnsi="Times New Roman" w:cs="Times New Roman"/>
          <w:sz w:val="24"/>
          <w:szCs w:val="24"/>
        </w:rPr>
      </w:pPr>
    </w:p>
    <w:p w14:paraId="31DA7E5E" w14:textId="3BE6ABF5" w:rsidR="00D31C6C" w:rsidRDefault="00D31C6C" w:rsidP="0015597D">
      <w:pPr>
        <w:spacing w:after="0" w:line="240" w:lineRule="auto"/>
        <w:jc w:val="both"/>
        <w:rPr>
          <w:rFonts w:ascii="Times New Roman" w:hAnsi="Times New Roman" w:cs="Times New Roman"/>
          <w:bCs/>
          <w:color w:val="000000"/>
          <w:sz w:val="24"/>
          <w:szCs w:val="24"/>
        </w:rPr>
      </w:pPr>
      <w:r w:rsidRPr="00A2729E">
        <w:rPr>
          <w:rFonts w:ascii="Times New Roman" w:hAnsi="Times New Roman" w:cs="Times New Roman"/>
          <w:sz w:val="24"/>
          <w:szCs w:val="24"/>
        </w:rPr>
        <w:t>En outre, il a été élaboré en 2013 la carte des zones humides du Togo (Figure</w:t>
      </w:r>
      <w:r w:rsidR="00525F7B">
        <w:rPr>
          <w:rFonts w:ascii="Times New Roman" w:hAnsi="Times New Roman" w:cs="Times New Roman"/>
          <w:sz w:val="24"/>
          <w:szCs w:val="24"/>
        </w:rPr>
        <w:t xml:space="preserve"> 15</w:t>
      </w:r>
      <w:r w:rsidRPr="00A2729E">
        <w:rPr>
          <w:rFonts w:ascii="Times New Roman" w:hAnsi="Times New Roman" w:cs="Times New Roman"/>
          <w:sz w:val="24"/>
          <w:szCs w:val="24"/>
        </w:rPr>
        <w:t>). L’analyse</w:t>
      </w:r>
      <w:r w:rsidRPr="0090672F">
        <w:rPr>
          <w:rFonts w:ascii="Times New Roman" w:hAnsi="Times New Roman" w:cs="Times New Roman"/>
          <w:sz w:val="24"/>
          <w:szCs w:val="24"/>
        </w:rPr>
        <w:t xml:space="preserve"> de cette cartographie indique que le Togo </w:t>
      </w:r>
      <w:r w:rsidRPr="0090672F">
        <w:rPr>
          <w:rFonts w:ascii="Times New Roman" w:hAnsi="Times New Roman" w:cs="Times New Roman"/>
          <w:color w:val="000000"/>
          <w:sz w:val="24"/>
          <w:szCs w:val="24"/>
        </w:rPr>
        <w:t xml:space="preserve">dispose d’environ 2210 km² de zones humides, soit environ 4 % de la superficie du pays </w:t>
      </w:r>
      <w:r w:rsidRPr="0090672F">
        <w:rPr>
          <w:rFonts w:ascii="Times New Roman" w:hAnsi="Times New Roman" w:cs="Times New Roman"/>
          <w:bCs/>
          <w:color w:val="000000"/>
          <w:sz w:val="24"/>
          <w:szCs w:val="24"/>
        </w:rPr>
        <w:t xml:space="preserve">(Kombaté et </w:t>
      </w:r>
      <w:r w:rsidRPr="0090672F">
        <w:rPr>
          <w:rFonts w:ascii="Times New Roman" w:hAnsi="Times New Roman" w:cs="Times New Roman"/>
          <w:bCs/>
          <w:i/>
          <w:color w:val="000000"/>
          <w:sz w:val="24"/>
          <w:szCs w:val="24"/>
        </w:rPr>
        <w:t>al.</w:t>
      </w:r>
      <w:r w:rsidR="0015597D">
        <w:rPr>
          <w:rFonts w:ascii="Times New Roman" w:hAnsi="Times New Roman" w:cs="Times New Roman"/>
          <w:bCs/>
          <w:color w:val="000000"/>
          <w:sz w:val="24"/>
          <w:szCs w:val="24"/>
        </w:rPr>
        <w:t>, 2013).</w:t>
      </w:r>
    </w:p>
    <w:p w14:paraId="7105E74A" w14:textId="77777777" w:rsidR="00D53160" w:rsidRDefault="00D53160" w:rsidP="0015597D">
      <w:pPr>
        <w:spacing w:after="0" w:line="240" w:lineRule="auto"/>
        <w:jc w:val="both"/>
        <w:rPr>
          <w:rFonts w:ascii="Times New Roman" w:hAnsi="Times New Roman" w:cs="Times New Roman"/>
          <w:bCs/>
          <w:color w:val="000000"/>
          <w:sz w:val="24"/>
          <w:szCs w:val="24"/>
        </w:rPr>
      </w:pPr>
    </w:p>
    <w:p w14:paraId="1B5FAC06" w14:textId="77777777" w:rsidR="0015597D" w:rsidRPr="0015597D" w:rsidRDefault="0015597D" w:rsidP="0015597D">
      <w:pPr>
        <w:spacing w:after="0" w:line="240" w:lineRule="auto"/>
        <w:jc w:val="both"/>
        <w:rPr>
          <w:rFonts w:ascii="Times New Roman" w:hAnsi="Times New Roman" w:cs="Times New Roman"/>
          <w:bCs/>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44"/>
        <w:gridCol w:w="5586"/>
      </w:tblGrid>
      <w:tr w:rsidR="0015597D" w14:paraId="1791E69E" w14:textId="77777777" w:rsidTr="00F738D9">
        <w:tc>
          <w:tcPr>
            <w:tcW w:w="4606" w:type="dxa"/>
            <w:shd w:val="clear" w:color="auto" w:fill="auto"/>
          </w:tcPr>
          <w:p w14:paraId="1FF8D823" w14:textId="5B250976" w:rsidR="0015597D" w:rsidRDefault="0015597D" w:rsidP="00F738D9">
            <w:r>
              <w:rPr>
                <w:rFonts w:ascii="Arial" w:hAnsi="Arial" w:cs="Arial"/>
                <w:noProof/>
                <w:lang w:eastAsia="fr-FR"/>
              </w:rPr>
              <mc:AlternateContent>
                <mc:Choice Requires="wps">
                  <w:drawing>
                    <wp:anchor distT="0" distB="0" distL="114300" distR="114300" simplePos="0" relativeHeight="251661312" behindDoc="0" locked="0" layoutInCell="1" allowOverlap="1" wp14:anchorId="369BD53A" wp14:editId="0F0F3E08">
                      <wp:simplePos x="0" y="0"/>
                      <wp:positionH relativeFrom="column">
                        <wp:posOffset>369598</wp:posOffset>
                      </wp:positionH>
                      <wp:positionV relativeFrom="paragraph">
                        <wp:posOffset>1915934</wp:posOffset>
                      </wp:positionV>
                      <wp:extent cx="257810" cy="1003852"/>
                      <wp:effectExtent l="0" t="0" r="27940" b="25400"/>
                      <wp:wrapNone/>
                      <wp:docPr id="448" name="Zone de texte 448"/>
                      <wp:cNvGraphicFramePr/>
                      <a:graphic xmlns:a="http://schemas.openxmlformats.org/drawingml/2006/main">
                        <a:graphicData uri="http://schemas.microsoft.com/office/word/2010/wordprocessingShape">
                          <wps:wsp>
                            <wps:cNvSpPr txBox="1"/>
                            <wps:spPr>
                              <a:xfrm>
                                <a:off x="0" y="0"/>
                                <a:ext cx="257810" cy="100385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434E2FD" w14:textId="1EF33596" w:rsidR="005E603D" w:rsidRPr="0015597D" w:rsidRDefault="005E603D">
                                  <w:pPr>
                                    <w:rPr>
                                      <w:b/>
                                    </w:rPr>
                                  </w:pPr>
                                  <w:r w:rsidRPr="0015597D">
                                    <w:rPr>
                                      <w:b/>
                                    </w:rPr>
                                    <w:t>GHANA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w:pict>
                    <v:shapetype w14:anchorId="369BD53A" id="_x0000_t202" coordsize="21600,21600" o:spt="202" path="m,l,21600r21600,l21600,xe">
                      <v:stroke joinstyle="miter"/>
                      <v:path gradientshapeok="t" o:connecttype="rect"/>
                    </v:shapetype>
                    <v:shape id="Zone de texte 448" o:spid="_x0000_s1026" type="#_x0000_t202" style="position:absolute;margin-left:29.1pt;margin-top:150.85pt;width:20.3pt;height:79.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" fillcolor="white [3201]" strokecolor="white [3212]" strokeweight=".5pt">
                      <v:textbox>
                        <w:txbxContent>
                          <w:p w14:paraId="3434E2FD" w14:textId="1EF33596" w:rsidR="005E603D" w:rsidRPr="0015597D" w:rsidRDefault="005E603D">
                            <w:pPr>
                              <w:rPr>
                                <w:b/>
                              </w:rPr>
                            </w:pPr>
                            <w:r w:rsidRPr="0015597D">
                              <w:rPr>
                                <w:b/>
                              </w:rPr>
                              <w:t>GHANA</w:t>
                            </w:r>
                          </w:p>
                        </w:txbxContent>
                      </v:textbox>
                    </v:shape>
                  </w:pict>
                </mc:Fallback>
              </mc:AlternateContent>
            </w:r>
            <w:r>
              <w:rPr>
                <w:rFonts w:ascii="Arial" w:hAnsi="Arial" w:cs="Arial"/>
                <w:noProof/>
                <w:lang w:eastAsia="fr-FR"/>
              </w:rPr>
              <mc:AlternateContent>
                <mc:Choice Requires="wps">
                  <w:drawing>
                    <wp:anchor distT="0" distB="0" distL="114300" distR="114300" simplePos="0" relativeHeight="251662336" behindDoc="0" locked="0" layoutInCell="1" allowOverlap="1" wp14:anchorId="0CBEA292" wp14:editId="36E8CD08">
                      <wp:simplePos x="0" y="0"/>
                      <wp:positionH relativeFrom="column">
                        <wp:posOffset>1880344</wp:posOffset>
                      </wp:positionH>
                      <wp:positionV relativeFrom="paragraph">
                        <wp:posOffset>1418977</wp:posOffset>
                      </wp:positionV>
                      <wp:extent cx="218275" cy="1033669"/>
                      <wp:effectExtent l="0" t="0" r="10795" b="14605"/>
                      <wp:wrapNone/>
                      <wp:docPr id="450" name="Zone de texte 450"/>
                      <wp:cNvGraphicFramePr/>
                      <a:graphic xmlns:a="http://schemas.openxmlformats.org/drawingml/2006/main">
                        <a:graphicData uri="http://schemas.microsoft.com/office/word/2010/wordprocessingShape">
                          <wps:wsp>
                            <wps:cNvSpPr txBox="1"/>
                            <wps:spPr>
                              <a:xfrm>
                                <a:off x="0" y="0"/>
                                <a:ext cx="218275" cy="103366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5ECAFC1" w14:textId="27FF52FC" w:rsidR="005E603D" w:rsidRPr="0015597D" w:rsidRDefault="005E603D">
                                  <w:pPr>
                                    <w:rPr>
                                      <w:b/>
                                    </w:rPr>
                                  </w:pPr>
                                  <w:r w:rsidRPr="0015597D">
                                    <w:rPr>
                                      <w:b/>
                                    </w:rPr>
                                    <w:t>BENIN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0CBEA292" id="Zone de texte 450" o:spid="_x0000_s1027" type="#_x0000_t202" style="position:absolute;margin-left:148.05pt;margin-top:111.75pt;width:17.2pt;height:8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" fillcolor="white [3201]" strokecolor="white [3212]" strokeweight=".5pt">
                      <v:textbox>
                        <w:txbxContent>
                          <w:p w14:paraId="35ECAFC1" w14:textId="27FF52FC" w:rsidR="005E603D" w:rsidRPr="0015597D" w:rsidRDefault="005E603D">
                            <w:pPr>
                              <w:rPr>
                                <w:b/>
                              </w:rPr>
                            </w:pPr>
                            <w:r w:rsidRPr="0015597D">
                              <w:rPr>
                                <w:b/>
                              </w:rPr>
                              <w:t>BENIN</w:t>
                            </w:r>
                          </w:p>
                        </w:txbxContent>
                      </v:textbox>
                    </v:shape>
                  </w:pict>
                </mc:Fallback>
              </mc:AlternateContent>
            </w:r>
            <w:r w:rsidRPr="0006066C">
              <w:rPr>
                <w:rFonts w:ascii="Arial" w:hAnsi="Arial" w:cs="Arial"/>
                <w:noProof/>
                <w:lang w:eastAsia="fr-FR"/>
              </w:rPr>
              <w:drawing>
                <wp:inline distT="0" distB="0" distL="0" distR="0" wp14:anchorId="5E578D69" wp14:editId="5D7C6EF7">
                  <wp:extent cx="2186305" cy="4760595"/>
                  <wp:effectExtent l="19050" t="19050" r="23495" b="2095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86305" cy="4760595"/>
                          </a:xfrm>
                          <a:prstGeom prst="rect">
                            <a:avLst/>
                          </a:prstGeom>
                          <a:noFill/>
                          <a:ln w="9525" cmpd="sng">
                            <a:solidFill>
                              <a:srgbClr val="000000"/>
                            </a:solidFill>
                            <a:miter lim="800000"/>
                            <a:headEnd/>
                            <a:tailEnd/>
                          </a:ln>
                          <a:effectLst/>
                        </pic:spPr>
                      </pic:pic>
                    </a:graphicData>
                  </a:graphic>
                </wp:inline>
              </w:drawing>
            </w:r>
          </w:p>
        </w:tc>
        <w:tc>
          <w:tcPr>
            <w:tcW w:w="4606" w:type="dxa"/>
            <w:shd w:val="clear" w:color="auto" w:fill="auto"/>
          </w:tcPr>
          <w:p w14:paraId="28887F8C" w14:textId="7B93C9C2" w:rsidR="0015597D" w:rsidRDefault="0015597D" w:rsidP="00F738D9">
            <w:r w:rsidRPr="00242CCD">
              <w:rPr>
                <w:noProof/>
                <w:lang w:eastAsia="fr-FR"/>
              </w:rPr>
              <w:drawing>
                <wp:inline distT="0" distB="0" distL="0" distR="0" wp14:anchorId="5FD8EC94" wp14:editId="38464A0E">
                  <wp:extent cx="3409315" cy="4810760"/>
                  <wp:effectExtent l="0" t="0" r="635" b="8890"/>
                  <wp:docPr id="22" name="Image 22" descr="C:\Users\HP3400\Desktop\Carte_Zones-Humides_VF modifé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HP3400\Desktop\Carte_Zones-Humides_VF modifé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09315" cy="4810760"/>
                          </a:xfrm>
                          <a:prstGeom prst="rect">
                            <a:avLst/>
                          </a:prstGeom>
                          <a:noFill/>
                          <a:ln>
                            <a:noFill/>
                          </a:ln>
                        </pic:spPr>
                      </pic:pic>
                    </a:graphicData>
                  </a:graphic>
                </wp:inline>
              </w:drawing>
            </w:r>
          </w:p>
        </w:tc>
      </w:tr>
      <w:tr w:rsidR="0015597D" w:rsidRPr="0006066C" w14:paraId="34FC2320" w14:textId="77777777" w:rsidTr="00D53160">
        <w:trPr>
          <w:trHeight w:val="551"/>
        </w:trPr>
        <w:tc>
          <w:tcPr>
            <w:tcW w:w="4606" w:type="dxa"/>
            <w:shd w:val="clear" w:color="auto" w:fill="auto"/>
          </w:tcPr>
          <w:p w14:paraId="74210838" w14:textId="22C059EB" w:rsidR="00D53160" w:rsidRPr="000D12D7" w:rsidRDefault="00D53160" w:rsidP="00F738D9">
            <w:pPr>
              <w:spacing w:after="0" w:line="240" w:lineRule="auto"/>
              <w:rPr>
                <w:rFonts w:ascii="Times New Roman" w:hAnsi="Times New Roman" w:cs="Times New Roman"/>
                <w:b/>
                <w:sz w:val="24"/>
                <w:szCs w:val="24"/>
              </w:rPr>
            </w:pPr>
            <w:bookmarkStart w:id="58" w:name="_Toc533413503"/>
            <w:r w:rsidRPr="000D12D7">
              <w:rPr>
                <w:rFonts w:ascii="Times New Roman" w:hAnsi="Times New Roman" w:cs="Times New Roman"/>
                <w:b/>
                <w:sz w:val="24"/>
                <w:szCs w:val="24"/>
              </w:rPr>
              <w:t xml:space="preserve">Figure </w:t>
            </w:r>
            <w:r w:rsidRPr="000D12D7">
              <w:rPr>
                <w:rFonts w:ascii="Times New Roman" w:hAnsi="Times New Roman" w:cs="Times New Roman"/>
                <w:b/>
                <w:sz w:val="24"/>
                <w:szCs w:val="24"/>
              </w:rPr>
              <w:fldChar w:fldCharType="begin"/>
            </w:r>
            <w:r w:rsidRPr="000D12D7">
              <w:rPr>
                <w:rFonts w:ascii="Times New Roman" w:hAnsi="Times New Roman" w:cs="Times New Roman"/>
                <w:b/>
                <w:sz w:val="24"/>
                <w:szCs w:val="24"/>
              </w:rPr>
              <w:instrText xml:space="preserve"> SEQ Figure \* ARABIC </w:instrText>
            </w:r>
            <w:r w:rsidRPr="000D12D7">
              <w:rPr>
                <w:rFonts w:ascii="Times New Roman" w:hAnsi="Times New Roman" w:cs="Times New Roman"/>
                <w:b/>
                <w:sz w:val="24"/>
                <w:szCs w:val="24"/>
              </w:rPr>
              <w:fldChar w:fldCharType="separate"/>
            </w:r>
            <w:r w:rsidR="00C47BFF">
              <w:rPr>
                <w:rFonts w:ascii="Times New Roman" w:hAnsi="Times New Roman" w:cs="Times New Roman"/>
                <w:b/>
                <w:noProof/>
                <w:sz w:val="24"/>
                <w:szCs w:val="24"/>
              </w:rPr>
              <w:t>15</w:t>
            </w:r>
            <w:r w:rsidRPr="000D12D7">
              <w:rPr>
                <w:rFonts w:ascii="Times New Roman" w:hAnsi="Times New Roman" w:cs="Times New Roman"/>
                <w:b/>
                <w:sz w:val="24"/>
                <w:szCs w:val="24"/>
              </w:rPr>
              <w:fldChar w:fldCharType="end"/>
            </w:r>
            <w:r w:rsidRPr="000D12D7">
              <w:rPr>
                <w:rFonts w:ascii="Times New Roman" w:hAnsi="Times New Roman" w:cs="Times New Roman"/>
                <w:b/>
                <w:sz w:val="24"/>
                <w:szCs w:val="24"/>
              </w:rPr>
              <w:t xml:space="preserve">: </w:t>
            </w:r>
            <w:r w:rsidRPr="00CA2529">
              <w:rPr>
                <w:rFonts w:ascii="Times New Roman" w:hAnsi="Times New Roman"/>
                <w:b/>
                <w:sz w:val="24"/>
                <w:szCs w:val="24"/>
              </w:rPr>
              <w:t xml:space="preserve">carte de la couverture végétale </w:t>
            </w:r>
            <w:r w:rsidR="000D12D7" w:rsidRPr="00CA2529">
              <w:rPr>
                <w:rFonts w:ascii="Times New Roman" w:hAnsi="Times New Roman"/>
                <w:b/>
                <w:sz w:val="24"/>
                <w:szCs w:val="24"/>
              </w:rPr>
              <w:t>du Togo</w:t>
            </w:r>
            <w:bookmarkEnd w:id="58"/>
          </w:p>
          <w:p w14:paraId="3225E059" w14:textId="3CDA6FA2" w:rsidR="0015597D" w:rsidRPr="000D12D7" w:rsidRDefault="0015597D" w:rsidP="00F738D9">
            <w:pPr>
              <w:spacing w:after="0" w:line="240" w:lineRule="auto"/>
              <w:rPr>
                <w:rFonts w:ascii="Times New Roman" w:hAnsi="Times New Roman" w:cs="Times New Roman"/>
                <w:sz w:val="24"/>
                <w:szCs w:val="24"/>
              </w:rPr>
            </w:pPr>
            <w:r w:rsidRPr="000D12D7">
              <w:rPr>
                <w:rFonts w:ascii="Times New Roman" w:hAnsi="Times New Roman" w:cs="Times New Roman"/>
                <w:sz w:val="20"/>
                <w:szCs w:val="24"/>
              </w:rPr>
              <w:t xml:space="preserve">Source : </w:t>
            </w:r>
            <w:r w:rsidR="000D12D7">
              <w:rPr>
                <w:rFonts w:ascii="Times New Roman" w:hAnsi="Times New Roman" w:cs="Times New Roman"/>
                <w:sz w:val="20"/>
                <w:szCs w:val="24"/>
              </w:rPr>
              <w:t>r</w:t>
            </w:r>
            <w:r w:rsidRPr="000D12D7">
              <w:rPr>
                <w:rFonts w:ascii="Times New Roman" w:hAnsi="Times New Roman" w:cs="Times New Roman"/>
                <w:sz w:val="20"/>
                <w:szCs w:val="24"/>
              </w:rPr>
              <w:t>apport d’inventaire forestier national du Togo, MERF (2016)</w:t>
            </w:r>
          </w:p>
        </w:tc>
        <w:tc>
          <w:tcPr>
            <w:tcW w:w="4606" w:type="dxa"/>
            <w:shd w:val="clear" w:color="auto" w:fill="auto"/>
          </w:tcPr>
          <w:p w14:paraId="61DBEA27" w14:textId="5E24213D" w:rsidR="000D12D7" w:rsidRPr="000D12D7" w:rsidRDefault="000D12D7" w:rsidP="000D12D7">
            <w:pPr>
              <w:pStyle w:val="Lgende"/>
              <w:spacing w:after="0"/>
              <w:rPr>
                <w:rFonts w:ascii="Times New Roman" w:hAnsi="Times New Roman"/>
                <w:sz w:val="24"/>
                <w:szCs w:val="24"/>
              </w:rPr>
            </w:pPr>
            <w:bookmarkStart w:id="59" w:name="_Toc533413504"/>
            <w:bookmarkStart w:id="60" w:name="_Toc397876018"/>
            <w:r w:rsidRPr="000D12D7">
              <w:rPr>
                <w:rFonts w:ascii="Times New Roman" w:hAnsi="Times New Roman"/>
                <w:sz w:val="24"/>
                <w:szCs w:val="24"/>
              </w:rPr>
              <w:t xml:space="preserve">Figure </w:t>
            </w:r>
            <w:r w:rsidRPr="000D12D7">
              <w:rPr>
                <w:rFonts w:ascii="Times New Roman" w:hAnsi="Times New Roman"/>
                <w:sz w:val="24"/>
                <w:szCs w:val="24"/>
              </w:rPr>
              <w:fldChar w:fldCharType="begin"/>
            </w:r>
            <w:r w:rsidRPr="000D12D7">
              <w:rPr>
                <w:rFonts w:ascii="Times New Roman" w:hAnsi="Times New Roman"/>
                <w:sz w:val="24"/>
                <w:szCs w:val="24"/>
              </w:rPr>
              <w:instrText xml:space="preserve"> SEQ Figure \* ARABIC </w:instrText>
            </w:r>
            <w:r w:rsidRPr="000D12D7">
              <w:rPr>
                <w:rFonts w:ascii="Times New Roman" w:hAnsi="Times New Roman"/>
                <w:sz w:val="24"/>
                <w:szCs w:val="24"/>
              </w:rPr>
              <w:fldChar w:fldCharType="separate"/>
            </w:r>
            <w:r w:rsidR="00C47BFF">
              <w:rPr>
                <w:rFonts w:ascii="Times New Roman" w:hAnsi="Times New Roman"/>
                <w:noProof/>
                <w:sz w:val="24"/>
                <w:szCs w:val="24"/>
              </w:rPr>
              <w:t>16</w:t>
            </w:r>
            <w:r w:rsidRPr="000D12D7">
              <w:rPr>
                <w:rFonts w:ascii="Times New Roman" w:hAnsi="Times New Roman"/>
                <w:sz w:val="24"/>
                <w:szCs w:val="24"/>
              </w:rPr>
              <w:fldChar w:fldCharType="end"/>
            </w:r>
            <w:r w:rsidRPr="000D12D7">
              <w:rPr>
                <w:rFonts w:ascii="Times New Roman" w:hAnsi="Times New Roman"/>
                <w:sz w:val="24"/>
                <w:szCs w:val="24"/>
              </w:rPr>
              <w:t> :</w:t>
            </w:r>
            <w:r w:rsidRPr="000D12D7">
              <w:rPr>
                <w:rFonts w:ascii="Times New Roman" w:eastAsiaTheme="minorHAnsi" w:hAnsi="Times New Roman"/>
                <w:bCs w:val="0"/>
                <w:sz w:val="24"/>
                <w:szCs w:val="24"/>
              </w:rPr>
              <w:t xml:space="preserve"> carte</w:t>
            </w:r>
            <w:r w:rsidRPr="000D12D7">
              <w:rPr>
                <w:rFonts w:ascii="Times New Roman" w:hAnsi="Times New Roman"/>
                <w:sz w:val="24"/>
                <w:szCs w:val="24"/>
              </w:rPr>
              <w:t xml:space="preserve"> des des principales zones humides du Togo</w:t>
            </w:r>
            <w:bookmarkEnd w:id="59"/>
          </w:p>
          <w:p w14:paraId="49C8BCB4" w14:textId="77777777" w:rsidR="0015597D" w:rsidRPr="0006066C" w:rsidRDefault="0015597D" w:rsidP="000D12D7">
            <w:pPr>
              <w:keepNext/>
            </w:pPr>
            <w:bookmarkStart w:id="61" w:name="_Toc376681015"/>
            <w:r w:rsidRPr="000D12D7">
              <w:rPr>
                <w:rFonts w:ascii="Times New Roman" w:hAnsi="Times New Roman" w:cs="Times New Roman"/>
                <w:sz w:val="20"/>
                <w:szCs w:val="20"/>
              </w:rPr>
              <w:t>Source: Kombate (2013</w:t>
            </w:r>
            <w:r w:rsidRPr="0006066C">
              <w:t>)</w:t>
            </w:r>
            <w:bookmarkStart w:id="62" w:name="_Toc376681604"/>
            <w:bookmarkEnd w:id="60"/>
            <w:bookmarkEnd w:id="61"/>
            <w:r w:rsidRPr="0006066C">
              <w:br w:type="page"/>
            </w:r>
            <w:bookmarkEnd w:id="62"/>
          </w:p>
        </w:tc>
      </w:tr>
    </w:tbl>
    <w:p w14:paraId="765ABB2E" w14:textId="77777777" w:rsidR="007475D1"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11CBC036" w14:textId="77777777" w:rsidR="007475D1"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r w:rsidRPr="00121CB0">
        <w:rPr>
          <w:rFonts w:ascii="Times New Roman" w:hAnsi="Times New Roman"/>
          <w:b/>
          <w:i/>
          <w:color w:val="0070C0"/>
          <w:sz w:val="24"/>
          <w:szCs w:val="24"/>
        </w:rPr>
        <w:t>Objectif 16. Mettre en place d’ici à 2018 un système de référence MRV (Mesure, Rapportage et Vérification) afin de renforcer la résilience des écosystèmes et de la biodiversité contre les changements climatiques</w:t>
      </w:r>
    </w:p>
    <w:p w14:paraId="50998BB1" w14:textId="77777777" w:rsidR="007475D1"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2D90E85C" w14:textId="7D6B1BE7" w:rsidR="007475D1" w:rsidRDefault="007475D1" w:rsidP="007475D1">
      <w:pPr>
        <w:autoSpaceDE w:val="0"/>
        <w:autoSpaceDN w:val="0"/>
        <w:adjustRightInd w:val="0"/>
        <w:spacing w:after="0" w:line="276" w:lineRule="auto"/>
        <w:jc w:val="both"/>
        <w:rPr>
          <w:rFonts w:ascii="Times New Roman" w:hAnsi="Times New Roman" w:cs="Times New Roman"/>
          <w:bCs/>
          <w:sz w:val="24"/>
          <w:szCs w:val="24"/>
        </w:rPr>
      </w:pPr>
      <w:r>
        <w:rPr>
          <w:rFonts w:ascii="Times New Roman" w:hAnsi="Times New Roman"/>
          <w:sz w:val="24"/>
          <w:szCs w:val="24"/>
        </w:rPr>
        <w:t>Dans le contexte de la mise en œuvre du programme</w:t>
      </w:r>
      <w:r w:rsidRPr="00DC4D5C">
        <w:rPr>
          <w:rFonts w:ascii="Times New Roman" w:hAnsi="Times New Roman"/>
          <w:sz w:val="24"/>
          <w:szCs w:val="24"/>
        </w:rPr>
        <w:t xml:space="preserve">  REDD+, le Togo a exécuté son premier inventaire forestier national. Cet inventaire</w:t>
      </w:r>
      <w:r>
        <w:rPr>
          <w:rFonts w:ascii="Times New Roman" w:hAnsi="Times New Roman"/>
          <w:sz w:val="24"/>
          <w:szCs w:val="24"/>
        </w:rPr>
        <w:t xml:space="preserve"> a permis de disposer</w:t>
      </w:r>
      <w:r w:rsidRPr="00DC4D5C">
        <w:rPr>
          <w:rFonts w:ascii="Times New Roman" w:hAnsi="Times New Roman"/>
          <w:sz w:val="24"/>
          <w:szCs w:val="24"/>
        </w:rPr>
        <w:t xml:space="preserve"> des données </w:t>
      </w:r>
      <w:r w:rsidRPr="00DC4D5C">
        <w:rPr>
          <w:rFonts w:ascii="Times New Roman" w:hAnsi="Times New Roman"/>
          <w:bCs/>
          <w:sz w:val="24"/>
          <w:szCs w:val="24"/>
        </w:rPr>
        <w:t xml:space="preserve">quantitatives et qualitatives sur les ressources forestières. Par ailleurs, la coordination nationale de la REDD+ est constituée, entre autres, d’une Cellule MRV </w:t>
      </w:r>
      <w:r w:rsidRPr="00DC4D5C">
        <w:rPr>
          <w:rFonts w:ascii="Times New Roman" w:hAnsi="Times New Roman"/>
          <w:sz w:val="24"/>
          <w:szCs w:val="24"/>
        </w:rPr>
        <w:t>(Mesure, Rapportage et Vérification) qui est chargée de mettre en place le système MRV national. Cette cellule travaille en collaboration avec l’équipe nationale de suivi des forêts mise en place par l’arrêté N°094/MERF du 14 avril 2014 et les autres structures jugées nécessaires</w:t>
      </w:r>
      <w:r>
        <w:rPr>
          <w:rFonts w:ascii="Times New Roman" w:hAnsi="Times New Roman"/>
          <w:sz w:val="24"/>
          <w:szCs w:val="24"/>
        </w:rPr>
        <w:t xml:space="preserve"> pour mettre en place des systèmes de MRV spécifiques notamment le </w:t>
      </w:r>
      <w:r>
        <w:rPr>
          <w:rFonts w:ascii="Times New Roman" w:hAnsi="Times New Roman"/>
          <w:bCs/>
          <w:sz w:val="24"/>
          <w:szCs w:val="24"/>
        </w:rPr>
        <w:t xml:space="preserve">MRV pour la biodiversité et le MRV pour le changement climatique. </w:t>
      </w:r>
      <w:r>
        <w:rPr>
          <w:rFonts w:ascii="Times New Roman" w:hAnsi="Times New Roman" w:cs="Times New Roman"/>
          <w:bCs/>
          <w:sz w:val="24"/>
          <w:szCs w:val="24"/>
        </w:rPr>
        <w:t>L</w:t>
      </w:r>
      <w:r w:rsidRPr="009D0960">
        <w:rPr>
          <w:rFonts w:ascii="Times New Roman" w:hAnsi="Times New Roman" w:cs="Times New Roman"/>
          <w:bCs/>
          <w:sz w:val="24"/>
          <w:szCs w:val="24"/>
        </w:rPr>
        <w:t xml:space="preserve">e système MNV du Togo sur les CC </w:t>
      </w:r>
      <w:r>
        <w:rPr>
          <w:rFonts w:ascii="Times New Roman" w:hAnsi="Times New Roman" w:cs="Times New Roman"/>
          <w:bCs/>
          <w:sz w:val="24"/>
          <w:szCs w:val="24"/>
        </w:rPr>
        <w:t>prévoit</w:t>
      </w:r>
      <w:r w:rsidRPr="009D0960">
        <w:rPr>
          <w:rFonts w:ascii="Times New Roman" w:hAnsi="Times New Roman" w:cs="Times New Roman"/>
          <w:bCs/>
          <w:sz w:val="24"/>
          <w:szCs w:val="24"/>
        </w:rPr>
        <w:t xml:space="preserve"> la mise en place d’une base de données sur les actions de lutte contre les CC en prenant en compte les expériences passées et en cours qu’il convient de capitaliser et de renforcer.</w:t>
      </w:r>
    </w:p>
    <w:p w14:paraId="2B2EC9D8" w14:textId="77777777" w:rsidR="007475D1" w:rsidRDefault="007475D1" w:rsidP="007475D1">
      <w:pPr>
        <w:autoSpaceDE w:val="0"/>
        <w:autoSpaceDN w:val="0"/>
        <w:adjustRightInd w:val="0"/>
        <w:spacing w:after="0" w:line="276" w:lineRule="auto"/>
        <w:jc w:val="both"/>
        <w:rPr>
          <w:rFonts w:ascii="Times New Roman" w:hAnsi="Times New Roman" w:cs="Times New Roman"/>
          <w:bCs/>
          <w:sz w:val="24"/>
          <w:szCs w:val="24"/>
        </w:rPr>
      </w:pPr>
    </w:p>
    <w:p w14:paraId="3D0234B1" w14:textId="77777777" w:rsidR="007475D1" w:rsidRPr="009D0960" w:rsidRDefault="007475D1" w:rsidP="007475D1">
      <w:pPr>
        <w:autoSpaceDE w:val="0"/>
        <w:autoSpaceDN w:val="0"/>
        <w:adjustRightInd w:val="0"/>
        <w:spacing w:after="0" w:line="276" w:lineRule="auto"/>
        <w:jc w:val="both"/>
        <w:rPr>
          <w:rFonts w:ascii="Times New Roman" w:hAnsi="Times New Roman" w:cs="Times New Roman"/>
          <w:sz w:val="24"/>
          <w:szCs w:val="24"/>
        </w:rPr>
      </w:pPr>
      <w:r w:rsidRPr="009D0960">
        <w:rPr>
          <w:rFonts w:ascii="Times New Roman" w:hAnsi="Times New Roman" w:cs="Times New Roman"/>
          <w:sz w:val="24"/>
          <w:szCs w:val="24"/>
        </w:rPr>
        <w:t>Au t</w:t>
      </w:r>
      <w:r>
        <w:rPr>
          <w:rFonts w:ascii="Times New Roman" w:hAnsi="Times New Roman" w:cs="Times New Roman"/>
          <w:sz w:val="24"/>
          <w:szCs w:val="24"/>
        </w:rPr>
        <w:t>erme de l’exécution du programme REDD+</w:t>
      </w:r>
      <w:r w:rsidRPr="009D0960">
        <w:rPr>
          <w:rFonts w:ascii="Times New Roman" w:hAnsi="Times New Roman" w:cs="Times New Roman"/>
          <w:sz w:val="24"/>
          <w:szCs w:val="24"/>
        </w:rPr>
        <w:t xml:space="preserve">, </w:t>
      </w:r>
      <w:r>
        <w:rPr>
          <w:rFonts w:ascii="Times New Roman" w:hAnsi="Times New Roman" w:cs="Times New Roman"/>
          <w:sz w:val="24"/>
          <w:szCs w:val="24"/>
        </w:rPr>
        <w:t>le</w:t>
      </w:r>
      <w:r w:rsidRPr="009D0960">
        <w:rPr>
          <w:rFonts w:ascii="Times New Roman" w:hAnsi="Times New Roman" w:cs="Times New Roman"/>
          <w:sz w:val="24"/>
          <w:szCs w:val="24"/>
        </w:rPr>
        <w:t xml:space="preserve"> système de MNV </w:t>
      </w:r>
      <w:r>
        <w:rPr>
          <w:rFonts w:ascii="Times New Roman" w:hAnsi="Times New Roman" w:cs="Times New Roman"/>
          <w:sz w:val="24"/>
          <w:szCs w:val="24"/>
        </w:rPr>
        <w:t xml:space="preserve">qui sera mis en place </w:t>
      </w:r>
      <w:r w:rsidRPr="009D0960">
        <w:rPr>
          <w:rFonts w:ascii="Times New Roman" w:hAnsi="Times New Roman" w:cs="Times New Roman"/>
          <w:sz w:val="24"/>
          <w:szCs w:val="24"/>
        </w:rPr>
        <w:t>permettra de quantifier régulièrement les émissions/absorptions de GES associées au déboisement et à la dégradation des forêts, au renforcement des stocks de carbone forestier, à la conservation et à la gestion durable des forêts et aux aspects liés à la gouvernance, aux bénéfices et à leur distribution. Dans sa conception, ce système de suivi comprendra trois (03) niveaux à savoir le niveau national, le niveau régional et le niveau local, et prendra en compte trois dimensions. Il s’agit de :</w:t>
      </w:r>
    </w:p>
    <w:p w14:paraId="18AC403F" w14:textId="1B59BB44" w:rsidR="007475D1" w:rsidRPr="009D0960" w:rsidRDefault="00017384" w:rsidP="00E50666">
      <w:pPr>
        <w:pStyle w:val="Paragraphedeliste"/>
        <w:numPr>
          <w:ilvl w:val="0"/>
          <w:numId w:val="34"/>
        </w:numPr>
        <w:spacing w:after="0"/>
        <w:jc w:val="both"/>
        <w:rPr>
          <w:rFonts w:ascii="Times New Roman" w:hAnsi="Times New Roman"/>
          <w:sz w:val="24"/>
          <w:szCs w:val="24"/>
          <w:lang w:eastAsia="fr-FR"/>
        </w:rPr>
      </w:pPr>
      <w:r>
        <w:rPr>
          <w:rFonts w:ascii="Times New Roman" w:hAnsi="Times New Roman"/>
          <w:sz w:val="24"/>
          <w:szCs w:val="24"/>
          <w:lang w:eastAsia="fr-FR"/>
        </w:rPr>
        <w:t>s</w:t>
      </w:r>
      <w:r w:rsidR="007475D1" w:rsidRPr="009D0960">
        <w:rPr>
          <w:rFonts w:ascii="Times New Roman" w:hAnsi="Times New Roman"/>
          <w:sz w:val="24"/>
          <w:szCs w:val="24"/>
          <w:lang w:eastAsia="fr-FR"/>
        </w:rPr>
        <w:t>uivi des éléments carbones avec obligation de notification et de vérification ;</w:t>
      </w:r>
    </w:p>
    <w:p w14:paraId="2329717A" w14:textId="167D14DA" w:rsidR="007475D1" w:rsidRPr="009D0960" w:rsidRDefault="00017384" w:rsidP="00E50666">
      <w:pPr>
        <w:pStyle w:val="Paragraphedeliste"/>
        <w:numPr>
          <w:ilvl w:val="0"/>
          <w:numId w:val="34"/>
        </w:numPr>
        <w:spacing w:after="0"/>
        <w:jc w:val="both"/>
        <w:rPr>
          <w:rFonts w:ascii="Times New Roman" w:hAnsi="Times New Roman"/>
          <w:sz w:val="24"/>
          <w:szCs w:val="24"/>
          <w:lang w:eastAsia="fr-FR"/>
        </w:rPr>
      </w:pPr>
      <w:r>
        <w:rPr>
          <w:rFonts w:ascii="Times New Roman" w:hAnsi="Times New Roman"/>
          <w:sz w:val="24"/>
          <w:szCs w:val="24"/>
          <w:lang w:eastAsia="fr-FR"/>
        </w:rPr>
        <w:t>s</w:t>
      </w:r>
      <w:r w:rsidR="007475D1" w:rsidRPr="009D0960">
        <w:rPr>
          <w:rFonts w:ascii="Times New Roman" w:hAnsi="Times New Roman"/>
          <w:sz w:val="24"/>
          <w:szCs w:val="24"/>
          <w:lang w:eastAsia="fr-FR"/>
        </w:rPr>
        <w:t>uivi des facteurs de déforestation / dégradation, pour l’orientation de la politique REDD+</w:t>
      </w:r>
      <w:r w:rsidR="007475D1">
        <w:rPr>
          <w:rFonts w:ascii="Times New Roman" w:hAnsi="Times New Roman"/>
          <w:sz w:val="24"/>
          <w:szCs w:val="24"/>
          <w:lang w:eastAsia="fr-FR"/>
        </w:rPr>
        <w:t> ;</w:t>
      </w:r>
    </w:p>
    <w:p w14:paraId="07F31ED4" w14:textId="21F8F8E2" w:rsidR="007475D1" w:rsidRDefault="00017384" w:rsidP="00E50666">
      <w:pPr>
        <w:pStyle w:val="Paragraphedeliste"/>
        <w:numPr>
          <w:ilvl w:val="0"/>
          <w:numId w:val="34"/>
        </w:numPr>
        <w:spacing w:after="0"/>
        <w:jc w:val="both"/>
        <w:rPr>
          <w:rFonts w:ascii="Times New Roman" w:hAnsi="Times New Roman"/>
          <w:sz w:val="24"/>
          <w:szCs w:val="24"/>
          <w:lang w:eastAsia="fr-FR"/>
        </w:rPr>
      </w:pPr>
      <w:r>
        <w:rPr>
          <w:rFonts w:ascii="Times New Roman" w:hAnsi="Times New Roman"/>
          <w:sz w:val="24"/>
          <w:szCs w:val="24"/>
          <w:lang w:eastAsia="fr-FR"/>
        </w:rPr>
        <w:t>s</w:t>
      </w:r>
      <w:r w:rsidR="007475D1" w:rsidRPr="009D0960">
        <w:rPr>
          <w:rFonts w:ascii="Times New Roman" w:hAnsi="Times New Roman"/>
          <w:sz w:val="24"/>
          <w:szCs w:val="24"/>
          <w:lang w:eastAsia="fr-FR"/>
        </w:rPr>
        <w:t>ystème d’Information de Sauvegardes, incluant les aspects liés à la gouvernance et à la distribution des bénéfices.</w:t>
      </w:r>
    </w:p>
    <w:p w14:paraId="14F265C3" w14:textId="77777777" w:rsidR="007475D1" w:rsidRDefault="007475D1" w:rsidP="007475D1">
      <w:pPr>
        <w:spacing w:after="0" w:line="276" w:lineRule="auto"/>
        <w:jc w:val="both"/>
        <w:rPr>
          <w:rFonts w:ascii="Times New Roman" w:hAnsi="Times New Roman" w:cs="Times New Roman"/>
          <w:color w:val="000000"/>
          <w:sz w:val="24"/>
          <w:szCs w:val="24"/>
        </w:rPr>
      </w:pPr>
    </w:p>
    <w:p w14:paraId="3236ACE7" w14:textId="255B4E01" w:rsidR="007475D1" w:rsidRDefault="007475D1" w:rsidP="007475D1">
      <w:pPr>
        <w:pStyle w:val="Paragraphedeliste"/>
        <w:tabs>
          <w:tab w:val="left" w:pos="6096"/>
        </w:tabs>
        <w:autoSpaceDE w:val="0"/>
        <w:autoSpaceDN w:val="0"/>
        <w:adjustRightInd w:val="0"/>
        <w:spacing w:after="0"/>
        <w:ind w:left="0"/>
        <w:jc w:val="both"/>
        <w:rPr>
          <w:rFonts w:ascii="Times New Roman" w:hAnsi="Times New Roman" w:cs="Times New Roman"/>
          <w:color w:val="000000"/>
          <w:sz w:val="24"/>
          <w:szCs w:val="24"/>
        </w:rPr>
      </w:pPr>
      <w:r>
        <w:rPr>
          <w:rFonts w:ascii="Times New Roman" w:hAnsi="Times New Roman"/>
          <w:bCs/>
          <w:sz w:val="24"/>
          <w:szCs w:val="24"/>
          <w:lang w:eastAsia="fr-FR"/>
        </w:rPr>
        <w:t>I</w:t>
      </w:r>
      <w:r w:rsidRPr="009D0960">
        <w:rPr>
          <w:rFonts w:ascii="Times New Roman" w:hAnsi="Times New Roman"/>
          <w:bCs/>
          <w:sz w:val="24"/>
          <w:szCs w:val="24"/>
          <w:lang w:eastAsia="fr-FR"/>
        </w:rPr>
        <w:t>l faut noter que les systèmes de notification/rapport qui existent dans les différents secteurs concernés par les IGES sont très embryonnaires et pour la plupart ne sont pas très opérationnels. Seul le secteur de l’Energie dispose d’un Système d’Information Energétique (SIE) mis en place depuis 2005 grâce au projet d’Appui au développement de systèmes d’information énergétique nationaux (SIE- Afrique) et de l’appui financier de l’Organisation Internationale de la Francophonie (OIF), de la Commission Européenne et de la contribution du Gouvernement togolais. Le SIE du Togo est chargé de la collecte et de la publication des informations sur la situation énergétique du Togo pour la prise de décision et l’élaboration d’une politique énergétique cohérente du pays. Malheureusement, le SIE du Togo aussi éprouve depuis ces dernières années d’énormes difficultés pour son fonctionnement.</w:t>
      </w:r>
    </w:p>
    <w:p w14:paraId="7693E332" w14:textId="77777777" w:rsidR="007475D1"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227FE7BB" w14:textId="6B737E6A" w:rsidR="007475D1" w:rsidRDefault="007475D1" w:rsidP="007475D1">
      <w:pPr>
        <w:autoSpaceDE w:val="0"/>
        <w:autoSpaceDN w:val="0"/>
        <w:adjustRightInd w:val="0"/>
        <w:spacing w:after="0" w:line="276" w:lineRule="auto"/>
        <w:jc w:val="both"/>
        <w:rPr>
          <w:rFonts w:ascii="Times New Roman" w:hAnsi="Times New Roman" w:cs="Times New Roman"/>
          <w:iCs/>
          <w:color w:val="000000"/>
          <w:sz w:val="24"/>
          <w:szCs w:val="24"/>
        </w:rPr>
      </w:pPr>
      <w:r w:rsidRPr="00D31C6C">
        <w:rPr>
          <w:rFonts w:ascii="Times New Roman" w:hAnsi="Times New Roman" w:cs="Times New Roman"/>
          <w:iCs/>
          <w:color w:val="000000"/>
          <w:sz w:val="24"/>
          <w:szCs w:val="24"/>
          <w:lang w:val="fr-CA"/>
        </w:rPr>
        <w:t xml:space="preserve">Par ailleurs, le Togo à travers l’appui du PNUD a mis en place en 2017 un système de mesure, notification et vérification (MNV) des actions sur les changements climatiques (PNUD/GEF, 2017). Ce qui lui a permis </w:t>
      </w:r>
      <w:r w:rsidRPr="00D31C6C">
        <w:rPr>
          <w:rFonts w:ascii="Times New Roman" w:hAnsi="Times New Roman" w:cs="Times New Roman"/>
          <w:iCs/>
          <w:color w:val="000000"/>
          <w:sz w:val="24"/>
          <w:szCs w:val="24"/>
        </w:rPr>
        <w:t>sur le plan national et pour le processus REDD+, d’opter pour le renforcement des capacités des structures existantes et des réorganisations internes pour le système national de surveillance des forêts. Deux structures de gestion des données d’activités et des facteurs d’émission ont à cet effet été créées en mars 2017 au sein du MERF pour constituer la base du système de mesure, notification et vérification (MNV). Il s’agit de : (i) la cellule de gestion de la base de données des ressources forestières et des résultats de l’inventaire forestier national (CBDR/IFN) créé</w:t>
      </w:r>
      <w:r w:rsidR="0032015A">
        <w:rPr>
          <w:rFonts w:ascii="Times New Roman" w:hAnsi="Times New Roman" w:cs="Times New Roman"/>
          <w:iCs/>
          <w:color w:val="000000"/>
          <w:sz w:val="24"/>
          <w:szCs w:val="24"/>
        </w:rPr>
        <w:t>e</w:t>
      </w:r>
      <w:r w:rsidRPr="00D31C6C">
        <w:rPr>
          <w:rFonts w:ascii="Times New Roman" w:hAnsi="Times New Roman" w:cs="Times New Roman"/>
          <w:iCs/>
          <w:color w:val="000000"/>
          <w:sz w:val="24"/>
          <w:szCs w:val="24"/>
        </w:rPr>
        <w:t xml:space="preserve"> par arrêté n° 181/MERF/SG du 28 juillet 2016 au niveau de la </w:t>
      </w:r>
      <w:r w:rsidR="00017384">
        <w:rPr>
          <w:rFonts w:ascii="Times New Roman" w:hAnsi="Times New Roman" w:cs="Times New Roman"/>
          <w:iCs/>
          <w:color w:val="000000"/>
          <w:sz w:val="24"/>
          <w:szCs w:val="24"/>
        </w:rPr>
        <w:t>d</w:t>
      </w:r>
      <w:r w:rsidRPr="00D31C6C">
        <w:rPr>
          <w:rFonts w:ascii="Times New Roman" w:hAnsi="Times New Roman" w:cs="Times New Roman"/>
          <w:iCs/>
          <w:color w:val="000000"/>
          <w:sz w:val="24"/>
          <w:szCs w:val="24"/>
        </w:rPr>
        <w:t>irection des ressources forestières (DRF) ; et (ii) de l’unité de gestion de base de données cartographiques (UGBDC) créée par arrêté n°071/MERF/SG du 1er juillet 2016 à la Direction des Etudes et de la Planification. Ces structures ont des sous-cellules dans toutes les directions régionales de l’environnement et des ressources forestières (DRERF) pour la collecte des données d’activités et des facteurs d’émission aux niveaux local et national. La Direction de l’Environnement (DE), point focal de CCNUCC se chargera d’inventorier les GES à partir des données sur les activités et les estimations des émissions issues des différentes unités pour produire les commun</w:t>
      </w:r>
      <w:r>
        <w:rPr>
          <w:rFonts w:ascii="Times New Roman" w:hAnsi="Times New Roman" w:cs="Times New Roman"/>
          <w:iCs/>
          <w:color w:val="000000"/>
          <w:sz w:val="24"/>
          <w:szCs w:val="24"/>
        </w:rPr>
        <w:t>ications nationale à la CCNUCC.</w:t>
      </w:r>
    </w:p>
    <w:p w14:paraId="1FE9C06F" w14:textId="77777777" w:rsidR="007475D1"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65883172" w14:textId="77777777" w:rsidR="007475D1" w:rsidRPr="001A706B" w:rsidRDefault="007475D1" w:rsidP="007475D1">
      <w:pPr>
        <w:spacing w:after="0"/>
        <w:jc w:val="both"/>
        <w:rPr>
          <w:rFonts w:ascii="Times New Roman" w:hAnsi="Times New Roman"/>
          <w:b/>
          <w:i/>
          <w:iCs/>
          <w:color w:val="0070C0"/>
          <w:sz w:val="24"/>
          <w:szCs w:val="24"/>
        </w:rPr>
      </w:pPr>
      <w:r w:rsidRPr="001A706B">
        <w:rPr>
          <w:rFonts w:ascii="Times New Roman" w:hAnsi="Times New Roman"/>
          <w:b/>
          <w:i/>
          <w:color w:val="0070C0"/>
          <w:sz w:val="24"/>
          <w:szCs w:val="24"/>
        </w:rPr>
        <w:t xml:space="preserve">Objectif 17. Initier des mécanismes de partage équitable des avantages issus de l’utilisation de la biodiversité à toutes les échelles après la ratification </w:t>
      </w:r>
      <w:r w:rsidRPr="001A706B">
        <w:rPr>
          <w:rFonts w:ascii="Times New Roman" w:hAnsi="Times New Roman"/>
          <w:b/>
          <w:i/>
          <w:iCs/>
          <w:color w:val="0070C0"/>
          <w:sz w:val="24"/>
          <w:szCs w:val="24"/>
        </w:rPr>
        <w:t>d’ici à 2015 du Protocole de Nagoya</w:t>
      </w:r>
    </w:p>
    <w:p w14:paraId="34DDDB6D" w14:textId="77777777" w:rsidR="007475D1" w:rsidRPr="004D2DFD"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3E37A57C" w14:textId="48C591EF" w:rsidR="007475D1" w:rsidRPr="001A706B" w:rsidRDefault="00A21CA7" w:rsidP="007475D1">
      <w:pPr>
        <w:spacing w:after="0" w:line="276" w:lineRule="auto"/>
        <w:jc w:val="both"/>
        <w:rPr>
          <w:rFonts w:ascii="Times New Roman" w:hAnsi="Times New Roman"/>
          <w:sz w:val="24"/>
          <w:szCs w:val="24"/>
        </w:rPr>
      </w:pPr>
      <w:r>
        <w:rPr>
          <w:rFonts w:ascii="Times New Roman" w:hAnsi="Times New Roman"/>
          <w:sz w:val="24"/>
          <w:szCs w:val="24"/>
        </w:rPr>
        <w:t xml:space="preserve">Des </w:t>
      </w:r>
      <w:r w:rsidR="007475D1">
        <w:rPr>
          <w:rFonts w:ascii="Times New Roman" w:hAnsi="Times New Roman"/>
          <w:sz w:val="24"/>
          <w:szCs w:val="24"/>
        </w:rPr>
        <w:t>activités on</w:t>
      </w:r>
      <w:r w:rsidR="007475D1" w:rsidRPr="001A706B">
        <w:rPr>
          <w:rFonts w:ascii="Times New Roman" w:hAnsi="Times New Roman"/>
          <w:sz w:val="24"/>
          <w:szCs w:val="24"/>
        </w:rPr>
        <w:t xml:space="preserve">t été réalisées </w:t>
      </w:r>
      <w:r w:rsidR="007475D1">
        <w:rPr>
          <w:rFonts w:ascii="Times New Roman" w:hAnsi="Times New Roman"/>
          <w:sz w:val="24"/>
          <w:szCs w:val="24"/>
        </w:rPr>
        <w:t>notamment au cours de la période 2013-2018. Il s’agit notamment de</w:t>
      </w:r>
      <w:r w:rsidR="00017384">
        <w:rPr>
          <w:rFonts w:ascii="Times New Roman" w:hAnsi="Times New Roman"/>
          <w:sz w:val="24"/>
          <w:szCs w:val="24"/>
        </w:rPr>
        <w:t xml:space="preserve"> </w:t>
      </w:r>
      <w:r w:rsidR="007475D1" w:rsidRPr="001A706B">
        <w:rPr>
          <w:rFonts w:ascii="Times New Roman" w:hAnsi="Times New Roman"/>
          <w:sz w:val="24"/>
          <w:szCs w:val="24"/>
        </w:rPr>
        <w:t>:</w:t>
      </w:r>
    </w:p>
    <w:p w14:paraId="77D46B6C" w14:textId="4780E368" w:rsidR="007475D1" w:rsidRPr="001A706B" w:rsidRDefault="007475D1" w:rsidP="00E50666">
      <w:pPr>
        <w:pStyle w:val="Paragraphedeliste"/>
        <w:numPr>
          <w:ilvl w:val="0"/>
          <w:numId w:val="32"/>
        </w:numPr>
        <w:spacing w:after="0"/>
        <w:jc w:val="both"/>
        <w:rPr>
          <w:rFonts w:ascii="Times New Roman" w:hAnsi="Times New Roman"/>
          <w:bCs/>
          <w:sz w:val="24"/>
          <w:szCs w:val="24"/>
        </w:rPr>
      </w:pPr>
      <w:r w:rsidRPr="001A706B">
        <w:rPr>
          <w:rFonts w:ascii="Times New Roman" w:hAnsi="Times New Roman"/>
          <w:bCs/>
          <w:sz w:val="24"/>
          <w:szCs w:val="24"/>
        </w:rPr>
        <w:t xml:space="preserve">l’exécution du projet </w:t>
      </w:r>
      <w:r>
        <w:rPr>
          <w:rFonts w:ascii="Times New Roman" w:hAnsi="Times New Roman"/>
          <w:sz w:val="24"/>
          <w:szCs w:val="24"/>
        </w:rPr>
        <w:t>«</w:t>
      </w:r>
      <w:r w:rsidRPr="001A706B">
        <w:rPr>
          <w:rFonts w:ascii="Times New Roman" w:hAnsi="Times New Roman"/>
          <w:sz w:val="24"/>
          <w:szCs w:val="24"/>
        </w:rPr>
        <w:t>appui à la ratification et l’entrée en vigueur</w:t>
      </w:r>
      <w:r>
        <w:rPr>
          <w:rFonts w:ascii="Times New Roman" w:hAnsi="Times New Roman"/>
          <w:sz w:val="24"/>
          <w:szCs w:val="24"/>
        </w:rPr>
        <w:t xml:space="preserve"> du Protocole de Nagoya sur APA</w:t>
      </w:r>
      <w:r w:rsidRPr="001A706B">
        <w:rPr>
          <w:rFonts w:ascii="Times New Roman" w:hAnsi="Times New Roman"/>
          <w:sz w:val="24"/>
          <w:szCs w:val="24"/>
        </w:rPr>
        <w:t>» de 2013-2014, qui a permis d’engager une série de consultations et sensibilisations des parties prenantes, de faire l’état des lieux des dispositifs juridiques, politiques et institutionnels existants en lien avec le protocole de Nagoya sur APA</w:t>
      </w:r>
      <w:r w:rsidR="00017384">
        <w:rPr>
          <w:rFonts w:ascii="Times New Roman" w:hAnsi="Times New Roman"/>
          <w:sz w:val="24"/>
          <w:szCs w:val="24"/>
        </w:rPr>
        <w:t xml:space="preserve"> </w:t>
      </w:r>
      <w:r w:rsidRPr="001A706B">
        <w:rPr>
          <w:rFonts w:ascii="Times New Roman" w:hAnsi="Times New Roman"/>
          <w:sz w:val="24"/>
          <w:szCs w:val="24"/>
        </w:rPr>
        <w:t>;</w:t>
      </w:r>
    </w:p>
    <w:p w14:paraId="2B2A0539" w14:textId="60C382E1" w:rsidR="007475D1" w:rsidRPr="001A706B" w:rsidRDefault="007475D1" w:rsidP="00E50666">
      <w:pPr>
        <w:pStyle w:val="Paragraphedeliste"/>
        <w:numPr>
          <w:ilvl w:val="0"/>
          <w:numId w:val="32"/>
        </w:numPr>
        <w:spacing w:after="0"/>
        <w:jc w:val="both"/>
        <w:textAlignment w:val="baseline"/>
        <w:rPr>
          <w:rFonts w:ascii="Times New Roman" w:eastAsia="Times New Roman" w:hAnsi="Times New Roman"/>
          <w:bCs/>
          <w:kern w:val="24"/>
          <w:sz w:val="24"/>
          <w:szCs w:val="24"/>
        </w:rPr>
      </w:pPr>
      <w:r>
        <w:rPr>
          <w:rFonts w:ascii="Times New Roman" w:hAnsi="Times New Roman"/>
          <w:sz w:val="24"/>
          <w:szCs w:val="24"/>
        </w:rPr>
        <w:t xml:space="preserve">la </w:t>
      </w:r>
      <w:r w:rsidRPr="001A706B">
        <w:rPr>
          <w:rFonts w:ascii="Times New Roman" w:hAnsi="Times New Roman"/>
          <w:sz w:val="24"/>
          <w:szCs w:val="24"/>
        </w:rPr>
        <w:t xml:space="preserve">communication, </w:t>
      </w:r>
      <w:r>
        <w:rPr>
          <w:rFonts w:ascii="Times New Roman" w:hAnsi="Times New Roman"/>
          <w:sz w:val="24"/>
          <w:szCs w:val="24"/>
        </w:rPr>
        <w:t>l’</w:t>
      </w:r>
      <w:r w:rsidRPr="001A706B">
        <w:rPr>
          <w:rFonts w:ascii="Times New Roman" w:hAnsi="Times New Roman"/>
          <w:sz w:val="24"/>
          <w:szCs w:val="24"/>
        </w:rPr>
        <w:t xml:space="preserve">éducation et </w:t>
      </w:r>
      <w:r>
        <w:rPr>
          <w:rFonts w:ascii="Times New Roman" w:hAnsi="Times New Roman"/>
          <w:sz w:val="24"/>
          <w:szCs w:val="24"/>
        </w:rPr>
        <w:t xml:space="preserve">la </w:t>
      </w:r>
      <w:r w:rsidRPr="001A706B">
        <w:rPr>
          <w:rFonts w:ascii="Times New Roman" w:hAnsi="Times New Roman"/>
          <w:sz w:val="24"/>
          <w:szCs w:val="24"/>
        </w:rPr>
        <w:t>sensibilisation du public (</w:t>
      </w:r>
      <w:r>
        <w:rPr>
          <w:rFonts w:ascii="Times New Roman" w:hAnsi="Times New Roman"/>
          <w:sz w:val="24"/>
          <w:szCs w:val="24"/>
        </w:rPr>
        <w:t>collectivit</w:t>
      </w:r>
      <w:r w:rsidRPr="001A706B">
        <w:rPr>
          <w:rFonts w:ascii="Times New Roman" w:eastAsia="Times New Roman" w:hAnsi="Times New Roman"/>
          <w:bCs/>
          <w:kern w:val="24"/>
          <w:sz w:val="24"/>
          <w:szCs w:val="24"/>
        </w:rPr>
        <w:t>és territoriales, se</w:t>
      </w:r>
      <w:r>
        <w:rPr>
          <w:rFonts w:ascii="Times New Roman" w:eastAsia="Times New Roman" w:hAnsi="Times New Roman"/>
          <w:bCs/>
          <w:kern w:val="24"/>
          <w:sz w:val="24"/>
          <w:szCs w:val="24"/>
        </w:rPr>
        <w:t xml:space="preserve">rvices techniques étatiques, </w:t>
      </w:r>
      <w:r w:rsidRPr="001A706B">
        <w:rPr>
          <w:rFonts w:ascii="Times New Roman" w:eastAsia="Times New Roman" w:hAnsi="Times New Roman"/>
          <w:bCs/>
          <w:kern w:val="24"/>
          <w:sz w:val="24"/>
          <w:szCs w:val="24"/>
        </w:rPr>
        <w:t>secteur privé, société civile et médias) sur les enjeux du mécanisme APA pour le pays</w:t>
      </w:r>
      <w:r w:rsidR="00017384">
        <w:rPr>
          <w:rFonts w:ascii="Times New Roman" w:eastAsia="Times New Roman" w:hAnsi="Times New Roman"/>
          <w:bCs/>
          <w:kern w:val="24"/>
          <w:sz w:val="24"/>
          <w:szCs w:val="24"/>
        </w:rPr>
        <w:t xml:space="preserve"> </w:t>
      </w:r>
      <w:r w:rsidRPr="001A706B">
        <w:rPr>
          <w:rFonts w:ascii="Times New Roman" w:eastAsia="Times New Roman" w:hAnsi="Times New Roman"/>
          <w:bCs/>
          <w:kern w:val="24"/>
          <w:sz w:val="24"/>
          <w:szCs w:val="24"/>
        </w:rPr>
        <w:t>;</w:t>
      </w:r>
    </w:p>
    <w:p w14:paraId="06172045" w14:textId="5E7C472D" w:rsidR="007475D1" w:rsidRPr="001A706B" w:rsidRDefault="007475D1" w:rsidP="00E50666">
      <w:pPr>
        <w:pStyle w:val="Paragraphedeliste"/>
        <w:numPr>
          <w:ilvl w:val="0"/>
          <w:numId w:val="32"/>
        </w:numPr>
        <w:spacing w:after="0"/>
        <w:jc w:val="both"/>
        <w:rPr>
          <w:rFonts w:ascii="Times New Roman" w:hAnsi="Times New Roman"/>
          <w:sz w:val="24"/>
          <w:szCs w:val="24"/>
        </w:rPr>
      </w:pPr>
      <w:r>
        <w:rPr>
          <w:rFonts w:ascii="Times New Roman" w:hAnsi="Times New Roman"/>
          <w:sz w:val="24"/>
          <w:szCs w:val="24"/>
        </w:rPr>
        <w:t>les</w:t>
      </w:r>
      <w:r w:rsidRPr="001A706B">
        <w:rPr>
          <w:rFonts w:ascii="Times New Roman" w:hAnsi="Times New Roman"/>
          <w:sz w:val="24"/>
          <w:szCs w:val="24"/>
        </w:rPr>
        <w:t xml:space="preserve"> rencontres d’échanges avec les parlementaires sur l’importance du P</w:t>
      </w:r>
      <w:r>
        <w:rPr>
          <w:rFonts w:ascii="Times New Roman" w:hAnsi="Times New Roman"/>
          <w:sz w:val="24"/>
          <w:szCs w:val="24"/>
        </w:rPr>
        <w:t>rotocole de Nagoya pour le pays</w:t>
      </w:r>
      <w:r w:rsidR="00017384">
        <w:rPr>
          <w:rFonts w:ascii="Times New Roman" w:hAnsi="Times New Roman"/>
          <w:sz w:val="24"/>
          <w:szCs w:val="24"/>
        </w:rPr>
        <w:t xml:space="preserve"> </w:t>
      </w:r>
      <w:r w:rsidRPr="001A706B">
        <w:rPr>
          <w:rFonts w:ascii="Times New Roman" w:hAnsi="Times New Roman"/>
          <w:sz w:val="24"/>
          <w:szCs w:val="24"/>
        </w:rPr>
        <w:t>;</w:t>
      </w:r>
    </w:p>
    <w:p w14:paraId="403DB243" w14:textId="36A0D550" w:rsidR="007475D1" w:rsidRPr="001A706B" w:rsidRDefault="007475D1" w:rsidP="00E50666">
      <w:pPr>
        <w:pStyle w:val="Paragraphedeliste"/>
        <w:numPr>
          <w:ilvl w:val="0"/>
          <w:numId w:val="32"/>
        </w:numPr>
        <w:spacing w:after="0"/>
        <w:jc w:val="both"/>
        <w:rPr>
          <w:rFonts w:ascii="Times New Roman" w:hAnsi="Times New Roman"/>
          <w:sz w:val="24"/>
          <w:szCs w:val="24"/>
        </w:rPr>
      </w:pPr>
      <w:r>
        <w:rPr>
          <w:rFonts w:ascii="Times New Roman" w:eastAsia="Times New Roman" w:hAnsi="Times New Roman"/>
          <w:kern w:val="24"/>
          <w:sz w:val="24"/>
          <w:szCs w:val="24"/>
        </w:rPr>
        <w:t>l’</w:t>
      </w:r>
      <w:r w:rsidRPr="001A706B">
        <w:rPr>
          <w:rFonts w:ascii="Times New Roman" w:eastAsia="Times New Roman" w:hAnsi="Times New Roman"/>
          <w:kern w:val="24"/>
          <w:sz w:val="24"/>
          <w:szCs w:val="24"/>
        </w:rPr>
        <w:t>organisation des ateliers entre les parties prenantes afin de leur permettre de prendre conscience de leurs inté</w:t>
      </w:r>
      <w:r>
        <w:rPr>
          <w:rFonts w:ascii="Times New Roman" w:eastAsia="Times New Roman" w:hAnsi="Times New Roman"/>
          <w:kern w:val="24"/>
          <w:sz w:val="24"/>
          <w:szCs w:val="24"/>
        </w:rPr>
        <w:t>rêts vis-à-vis du mécanisme APA</w:t>
      </w:r>
      <w:r w:rsidR="00017384">
        <w:rPr>
          <w:rFonts w:ascii="Times New Roman" w:eastAsia="Times New Roman" w:hAnsi="Times New Roman"/>
          <w:kern w:val="24"/>
          <w:sz w:val="24"/>
          <w:szCs w:val="24"/>
        </w:rPr>
        <w:t xml:space="preserve"> </w:t>
      </w:r>
      <w:r w:rsidRPr="001A706B">
        <w:rPr>
          <w:rFonts w:ascii="Times New Roman" w:eastAsia="Times New Roman" w:hAnsi="Times New Roman"/>
          <w:kern w:val="24"/>
          <w:sz w:val="24"/>
          <w:szCs w:val="24"/>
        </w:rPr>
        <w:t>;</w:t>
      </w:r>
    </w:p>
    <w:p w14:paraId="19EC7ADA" w14:textId="77777777" w:rsidR="007475D1" w:rsidRPr="001A706B" w:rsidRDefault="007475D1" w:rsidP="00E50666">
      <w:pPr>
        <w:pStyle w:val="Paragraphedeliste"/>
        <w:numPr>
          <w:ilvl w:val="0"/>
          <w:numId w:val="32"/>
        </w:numPr>
        <w:spacing w:after="0"/>
        <w:jc w:val="both"/>
        <w:rPr>
          <w:rFonts w:ascii="Times New Roman" w:hAnsi="Times New Roman"/>
          <w:sz w:val="24"/>
          <w:szCs w:val="24"/>
        </w:rPr>
      </w:pPr>
      <w:r w:rsidRPr="001A706B">
        <w:rPr>
          <w:rFonts w:ascii="Times New Roman" w:eastAsia="Times New Roman" w:hAnsi="Times New Roman"/>
          <w:kern w:val="24"/>
          <w:sz w:val="24"/>
          <w:szCs w:val="24"/>
        </w:rPr>
        <w:t>l’élaboration d’une stratégie nationale APA ;</w:t>
      </w:r>
    </w:p>
    <w:p w14:paraId="2031ADC0" w14:textId="77777777" w:rsidR="007475D1" w:rsidRPr="001A706B" w:rsidRDefault="007475D1" w:rsidP="00E50666">
      <w:pPr>
        <w:pStyle w:val="Paragraphedeliste"/>
        <w:numPr>
          <w:ilvl w:val="0"/>
          <w:numId w:val="32"/>
        </w:numPr>
        <w:spacing w:after="0"/>
        <w:jc w:val="both"/>
        <w:rPr>
          <w:rFonts w:ascii="Times New Roman" w:hAnsi="Times New Roman"/>
          <w:sz w:val="24"/>
          <w:szCs w:val="24"/>
        </w:rPr>
      </w:pPr>
      <w:r w:rsidRPr="001A706B">
        <w:rPr>
          <w:rFonts w:ascii="Times New Roman" w:eastAsia="Times New Roman" w:hAnsi="Times New Roman"/>
          <w:kern w:val="24"/>
          <w:sz w:val="24"/>
          <w:szCs w:val="24"/>
        </w:rPr>
        <w:t>l’adoption de la loi de ratification du P</w:t>
      </w:r>
      <w:r>
        <w:rPr>
          <w:rFonts w:ascii="Times New Roman" w:eastAsia="Times New Roman" w:hAnsi="Times New Roman"/>
          <w:kern w:val="24"/>
          <w:sz w:val="24"/>
          <w:szCs w:val="24"/>
        </w:rPr>
        <w:t xml:space="preserve">rotocole de </w:t>
      </w:r>
      <w:r w:rsidRPr="001A706B">
        <w:rPr>
          <w:rFonts w:ascii="Times New Roman" w:eastAsia="Times New Roman" w:hAnsi="Times New Roman"/>
          <w:kern w:val="24"/>
          <w:sz w:val="24"/>
          <w:szCs w:val="24"/>
        </w:rPr>
        <w:t>N</w:t>
      </w:r>
      <w:r>
        <w:rPr>
          <w:rFonts w:ascii="Times New Roman" w:eastAsia="Times New Roman" w:hAnsi="Times New Roman"/>
          <w:kern w:val="24"/>
          <w:sz w:val="24"/>
          <w:szCs w:val="24"/>
        </w:rPr>
        <w:t>agoya</w:t>
      </w:r>
      <w:r w:rsidRPr="001A706B">
        <w:rPr>
          <w:rFonts w:ascii="Times New Roman" w:eastAsia="Times New Roman" w:hAnsi="Times New Roman"/>
          <w:kern w:val="24"/>
          <w:sz w:val="24"/>
          <w:szCs w:val="24"/>
        </w:rPr>
        <w:t xml:space="preserve"> sur l’APA par l’Assemblée Nationale le 30 novembre 2015 ayant donné lieu à la ratification officielle le 09 février 2016</w:t>
      </w:r>
      <w:r>
        <w:rPr>
          <w:rFonts w:ascii="Times New Roman" w:eastAsia="Times New Roman" w:hAnsi="Times New Roman"/>
          <w:kern w:val="24"/>
          <w:sz w:val="24"/>
          <w:szCs w:val="24"/>
        </w:rPr>
        <w:t> ;</w:t>
      </w:r>
    </w:p>
    <w:p w14:paraId="2CE36D34" w14:textId="77777777" w:rsidR="00A21CA7" w:rsidRPr="00C83C01" w:rsidRDefault="007475D1" w:rsidP="00E50666">
      <w:pPr>
        <w:pStyle w:val="Paragraphedeliste"/>
        <w:numPr>
          <w:ilvl w:val="0"/>
          <w:numId w:val="32"/>
        </w:numPr>
        <w:spacing w:after="0"/>
        <w:jc w:val="both"/>
        <w:rPr>
          <w:rFonts w:ascii="Times New Roman" w:hAnsi="Times New Roman"/>
          <w:b/>
          <w:sz w:val="24"/>
          <w:szCs w:val="24"/>
        </w:rPr>
      </w:pPr>
      <w:r>
        <w:rPr>
          <w:rFonts w:ascii="Times New Roman" w:hAnsi="Times New Roman"/>
          <w:sz w:val="24"/>
          <w:szCs w:val="24"/>
        </w:rPr>
        <w:t xml:space="preserve">la </w:t>
      </w:r>
      <w:r w:rsidRPr="001A706B">
        <w:rPr>
          <w:rFonts w:ascii="Times New Roman" w:hAnsi="Times New Roman"/>
          <w:sz w:val="24"/>
          <w:szCs w:val="24"/>
        </w:rPr>
        <w:t>nomination d’un correspond national (point focal) APA en Avril 2015</w:t>
      </w:r>
      <w:r w:rsidR="00A21CA7">
        <w:rPr>
          <w:rFonts w:ascii="Times New Roman" w:hAnsi="Times New Roman"/>
          <w:sz w:val="24"/>
          <w:szCs w:val="24"/>
        </w:rPr>
        <w:t> ;</w:t>
      </w:r>
    </w:p>
    <w:p w14:paraId="2BE11E30" w14:textId="77777777" w:rsidR="00A21CA7" w:rsidRPr="00A21CA7" w:rsidRDefault="00A21CA7" w:rsidP="00E50666">
      <w:pPr>
        <w:pStyle w:val="Paragraphedeliste"/>
        <w:numPr>
          <w:ilvl w:val="0"/>
          <w:numId w:val="32"/>
        </w:numPr>
        <w:spacing w:after="0"/>
        <w:jc w:val="both"/>
        <w:rPr>
          <w:rFonts w:ascii="Times New Roman" w:hAnsi="Times New Roman"/>
          <w:sz w:val="24"/>
          <w:szCs w:val="24"/>
        </w:rPr>
      </w:pPr>
      <w:r w:rsidRPr="00A21CA7">
        <w:rPr>
          <w:rFonts w:ascii="Times New Roman" w:hAnsi="Times New Roman"/>
          <w:sz w:val="24"/>
          <w:szCs w:val="24"/>
        </w:rPr>
        <w:t>la désignation de l’autorité nationale de publication sur le centre d’échanges APA en 2017 ;</w:t>
      </w:r>
    </w:p>
    <w:p w14:paraId="764FD70C" w14:textId="77777777" w:rsidR="00A21CA7" w:rsidRPr="00A21CA7" w:rsidRDefault="00A21CA7" w:rsidP="00E50666">
      <w:pPr>
        <w:pStyle w:val="Paragraphedeliste"/>
        <w:numPr>
          <w:ilvl w:val="0"/>
          <w:numId w:val="32"/>
        </w:numPr>
        <w:spacing w:after="0"/>
        <w:jc w:val="both"/>
        <w:rPr>
          <w:rFonts w:ascii="Times New Roman" w:hAnsi="Times New Roman"/>
          <w:sz w:val="24"/>
          <w:szCs w:val="24"/>
        </w:rPr>
      </w:pPr>
      <w:r w:rsidRPr="00A21CA7">
        <w:rPr>
          <w:rFonts w:ascii="Times New Roman" w:hAnsi="Times New Roman"/>
          <w:sz w:val="24"/>
          <w:szCs w:val="24"/>
        </w:rPr>
        <w:t>l’élaboration en 2017 du rapport intérimaire de mise en œuvre du protocole de Nagoya au Togo.</w:t>
      </w:r>
    </w:p>
    <w:p w14:paraId="6FF9EFBA" w14:textId="77777777" w:rsidR="007475D1" w:rsidRPr="00E10787" w:rsidRDefault="007475D1" w:rsidP="007475D1">
      <w:pPr>
        <w:spacing w:after="0" w:line="276" w:lineRule="auto"/>
        <w:jc w:val="both"/>
        <w:rPr>
          <w:rFonts w:ascii="Times New Roman" w:hAnsi="Times New Roman" w:cs="Times New Roman"/>
          <w:sz w:val="24"/>
          <w:szCs w:val="24"/>
        </w:rPr>
      </w:pPr>
    </w:p>
    <w:p w14:paraId="626EA2E3" w14:textId="77777777" w:rsidR="007475D1" w:rsidRPr="001A706B" w:rsidRDefault="007475D1" w:rsidP="007475D1">
      <w:pPr>
        <w:spacing w:after="0" w:line="276" w:lineRule="auto"/>
        <w:jc w:val="both"/>
        <w:rPr>
          <w:rFonts w:ascii="Times New Roman" w:hAnsi="Times New Roman"/>
          <w:b/>
          <w:i/>
          <w:color w:val="0070C0"/>
          <w:sz w:val="24"/>
          <w:szCs w:val="24"/>
        </w:rPr>
      </w:pPr>
      <w:r w:rsidRPr="001A706B">
        <w:rPr>
          <w:rFonts w:ascii="Times New Roman" w:hAnsi="Times New Roman"/>
          <w:b/>
          <w:i/>
          <w:color w:val="0070C0"/>
          <w:sz w:val="24"/>
          <w:szCs w:val="24"/>
        </w:rPr>
        <w:t>Objectif 18</w:t>
      </w:r>
      <w:r>
        <w:rPr>
          <w:rFonts w:ascii="Times New Roman" w:hAnsi="Times New Roman"/>
          <w:b/>
          <w:i/>
          <w:color w:val="0070C0"/>
          <w:sz w:val="24"/>
          <w:szCs w:val="24"/>
        </w:rPr>
        <w:t>.</w:t>
      </w:r>
      <w:r w:rsidRPr="001A706B">
        <w:rPr>
          <w:rFonts w:ascii="Times New Roman" w:hAnsi="Times New Roman"/>
          <w:b/>
          <w:i/>
          <w:color w:val="0070C0"/>
          <w:sz w:val="24"/>
          <w:szCs w:val="24"/>
        </w:rPr>
        <w:t xml:space="preserve"> Accroitre l’expertise nationale d’ici 2020, y compris la prise en compte des pratiques traditionnelles</w:t>
      </w:r>
    </w:p>
    <w:p w14:paraId="496BC318" w14:textId="77777777" w:rsidR="007475D1" w:rsidRPr="00E10787"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46284763" w14:textId="77777777" w:rsidR="007475D1" w:rsidRPr="004D2DFD" w:rsidRDefault="007475D1" w:rsidP="007475D1">
      <w:pPr>
        <w:spacing w:after="0" w:line="276" w:lineRule="auto"/>
        <w:jc w:val="both"/>
        <w:rPr>
          <w:rFonts w:ascii="Times New Roman" w:hAnsi="Times New Roman" w:cs="Times New Roman"/>
          <w:sz w:val="24"/>
          <w:szCs w:val="24"/>
        </w:rPr>
      </w:pPr>
      <w:r>
        <w:rPr>
          <w:rFonts w:ascii="Times New Roman" w:hAnsi="Times New Roman" w:cs="Times New Roman"/>
          <w:bCs/>
          <w:color w:val="000000"/>
          <w:sz w:val="24"/>
          <w:szCs w:val="24"/>
        </w:rPr>
        <w:t xml:space="preserve">Pour les progrès accomplis dans le cadre de </w:t>
      </w:r>
      <w:r w:rsidRPr="004D2DFD">
        <w:rPr>
          <w:rFonts w:ascii="Times New Roman" w:hAnsi="Times New Roman" w:cs="Times New Roman"/>
          <w:bCs/>
          <w:color w:val="000000"/>
          <w:sz w:val="24"/>
          <w:szCs w:val="24"/>
        </w:rPr>
        <w:t>l’</w:t>
      </w:r>
      <w:r w:rsidRPr="004D2DFD">
        <w:rPr>
          <w:rFonts w:ascii="Times New Roman" w:hAnsi="Times New Roman" w:cs="Times New Roman"/>
          <w:b/>
          <w:bCs/>
          <w:color w:val="000000"/>
          <w:sz w:val="24"/>
          <w:szCs w:val="24"/>
        </w:rPr>
        <w:t xml:space="preserve">Objectif 18 </w:t>
      </w:r>
      <w:r w:rsidRPr="004D2DFD">
        <w:rPr>
          <w:rFonts w:ascii="Times New Roman" w:hAnsi="Times New Roman" w:cs="Times New Roman"/>
          <w:bCs/>
          <w:color w:val="000000"/>
          <w:sz w:val="24"/>
          <w:szCs w:val="24"/>
        </w:rPr>
        <w:t xml:space="preserve">qui concerne </w:t>
      </w:r>
      <w:r w:rsidRPr="007775EC">
        <w:rPr>
          <w:rFonts w:ascii="Times New Roman" w:hAnsi="Times New Roman" w:cs="Times New Roman"/>
          <w:color w:val="000000"/>
          <w:sz w:val="24"/>
          <w:szCs w:val="24"/>
        </w:rPr>
        <w:t xml:space="preserve">les connaissances, innovations et pratiques traditionnelles des communautés </w:t>
      </w:r>
      <w:r w:rsidRPr="004D2DFD">
        <w:rPr>
          <w:rFonts w:ascii="Times New Roman" w:hAnsi="Times New Roman" w:cs="Times New Roman"/>
          <w:color w:val="000000"/>
          <w:sz w:val="24"/>
          <w:szCs w:val="24"/>
        </w:rPr>
        <w:t xml:space="preserve">locales, le Togo regorge d’initiatives dans ce domaine, notamment </w:t>
      </w:r>
      <w:r w:rsidRPr="004D2DFD">
        <w:rPr>
          <w:rFonts w:ascii="Times New Roman" w:hAnsi="Times New Roman" w:cs="Times New Roman"/>
          <w:sz w:val="24"/>
          <w:szCs w:val="24"/>
        </w:rPr>
        <w:t>les forêts sacrées. Toutefois, rien n’est dit à propos de ces forêts dans l’actuel code forestier et aucune mesure n’est prise par l’Etat, que ce soit au niveau juridique ou institutionnel, pour reconnaître leur rôle dans la conservation de la biodiversité du pays (Kokou, 2011). Les arrêtés pris en 2015 par le MERF donnent la possibilité d’ériger des forêts sacrées de surface conséquentes en forêts communautaires. Il s’agit de :</w:t>
      </w:r>
    </w:p>
    <w:p w14:paraId="12476860" w14:textId="2E8475F9" w:rsidR="007475D1" w:rsidRPr="004D2DFD" w:rsidRDefault="00017384" w:rsidP="00E50666">
      <w:pPr>
        <w:pStyle w:val="Paragraphedeliste"/>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a</w:t>
      </w:r>
      <w:r w:rsidR="007475D1" w:rsidRPr="004D2DFD">
        <w:rPr>
          <w:rFonts w:ascii="Times New Roman" w:hAnsi="Times New Roman" w:cs="Times New Roman"/>
          <w:sz w:val="24"/>
          <w:szCs w:val="24"/>
        </w:rPr>
        <w:t xml:space="preserve">rrêté N°060/MERF/SG/DRF </w:t>
      </w:r>
      <w:r w:rsidR="000B6635">
        <w:rPr>
          <w:rFonts w:ascii="Times New Roman" w:hAnsi="Times New Roman" w:cs="Times New Roman"/>
          <w:sz w:val="24"/>
          <w:szCs w:val="24"/>
        </w:rPr>
        <w:t xml:space="preserve">du 13 juin 2016 </w:t>
      </w:r>
      <w:r w:rsidR="007475D1" w:rsidRPr="004D2DFD">
        <w:rPr>
          <w:rFonts w:ascii="Times New Roman" w:hAnsi="Times New Roman" w:cs="Times New Roman"/>
          <w:sz w:val="24"/>
          <w:szCs w:val="24"/>
        </w:rPr>
        <w:t>définissant la procédure de création, attribution et de gestion des forêts communautaires au Togo (FCT) ;</w:t>
      </w:r>
    </w:p>
    <w:p w14:paraId="587BE252" w14:textId="06B83946" w:rsidR="007475D1" w:rsidRPr="004D2DFD" w:rsidRDefault="00017384" w:rsidP="00E50666">
      <w:pPr>
        <w:pStyle w:val="Paragraphedeliste"/>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a</w:t>
      </w:r>
      <w:r w:rsidR="007475D1" w:rsidRPr="004D2DFD">
        <w:rPr>
          <w:rFonts w:ascii="Times New Roman" w:hAnsi="Times New Roman" w:cs="Times New Roman"/>
          <w:sz w:val="24"/>
          <w:szCs w:val="24"/>
        </w:rPr>
        <w:t xml:space="preserve">rrêté N°058/MERF/SG/DRF </w:t>
      </w:r>
      <w:r w:rsidR="000B6635">
        <w:rPr>
          <w:rFonts w:ascii="Times New Roman" w:hAnsi="Times New Roman" w:cs="Times New Roman"/>
          <w:sz w:val="24"/>
          <w:szCs w:val="24"/>
        </w:rPr>
        <w:t xml:space="preserve">du 13 juin 2016 </w:t>
      </w:r>
      <w:r w:rsidR="0032015A" w:rsidRPr="0032015A">
        <w:rPr>
          <w:rFonts w:ascii="Times New Roman" w:hAnsi="Times New Roman" w:cs="Times New Roman"/>
          <w:sz w:val="24"/>
          <w:szCs w:val="24"/>
        </w:rPr>
        <w:t xml:space="preserve">fixant </w:t>
      </w:r>
      <w:r w:rsidR="007475D1" w:rsidRPr="004D2DFD">
        <w:rPr>
          <w:rFonts w:ascii="Times New Roman" w:hAnsi="Times New Roman" w:cs="Times New Roman"/>
          <w:sz w:val="24"/>
          <w:szCs w:val="24"/>
        </w:rPr>
        <w:t>le canevas/modèle de convention de gestion provisoire et définitive des forêts communautaires au Togo (FCT)</w:t>
      </w:r>
      <w:r w:rsidR="0032015A">
        <w:rPr>
          <w:rFonts w:ascii="Times New Roman" w:hAnsi="Times New Roman" w:cs="Times New Roman"/>
          <w:sz w:val="24"/>
          <w:szCs w:val="24"/>
        </w:rPr>
        <w:t> ;</w:t>
      </w:r>
    </w:p>
    <w:p w14:paraId="23A64D84" w14:textId="31CC5A18" w:rsidR="007475D1" w:rsidRPr="004D2DFD" w:rsidRDefault="00017384" w:rsidP="00E50666">
      <w:pPr>
        <w:pStyle w:val="Paragraphedeliste"/>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a</w:t>
      </w:r>
      <w:r w:rsidR="007475D1" w:rsidRPr="004D2DFD">
        <w:rPr>
          <w:rFonts w:ascii="Times New Roman" w:hAnsi="Times New Roman" w:cs="Times New Roman"/>
          <w:sz w:val="24"/>
          <w:szCs w:val="24"/>
        </w:rPr>
        <w:t xml:space="preserve">rrêté N°059/MERF/SG/DRF </w:t>
      </w:r>
      <w:r w:rsidR="000B6635">
        <w:rPr>
          <w:rFonts w:ascii="Times New Roman" w:hAnsi="Times New Roman" w:cs="Times New Roman"/>
          <w:sz w:val="24"/>
          <w:szCs w:val="24"/>
        </w:rPr>
        <w:t xml:space="preserve">du 13 juin 2016 </w:t>
      </w:r>
      <w:r w:rsidR="007475D1" w:rsidRPr="004D2DFD">
        <w:rPr>
          <w:rFonts w:ascii="Times New Roman" w:hAnsi="Times New Roman" w:cs="Times New Roman"/>
          <w:sz w:val="24"/>
          <w:szCs w:val="24"/>
        </w:rPr>
        <w:t>fixant le canevas/modèle de charte de gestion provisoire et définitive des forêts communautaires au Togo (FCT) ;</w:t>
      </w:r>
    </w:p>
    <w:p w14:paraId="3DF87FBE" w14:textId="7E459B1E" w:rsidR="007475D1" w:rsidRPr="004D2DFD" w:rsidRDefault="00017384" w:rsidP="00E50666">
      <w:pPr>
        <w:pStyle w:val="Paragraphedeliste"/>
        <w:numPr>
          <w:ilvl w:val="0"/>
          <w:numId w:val="2"/>
        </w:numPr>
        <w:spacing w:after="0"/>
        <w:jc w:val="both"/>
        <w:rPr>
          <w:rFonts w:ascii="Times New Roman" w:hAnsi="Times New Roman" w:cs="Times New Roman"/>
          <w:sz w:val="24"/>
          <w:szCs w:val="24"/>
        </w:rPr>
      </w:pPr>
      <w:r>
        <w:rPr>
          <w:rFonts w:ascii="Times New Roman" w:hAnsi="Times New Roman" w:cs="Times New Roman"/>
          <w:sz w:val="24"/>
          <w:szCs w:val="24"/>
        </w:rPr>
        <w:t>a</w:t>
      </w:r>
      <w:r w:rsidR="007475D1" w:rsidRPr="004D2DFD">
        <w:rPr>
          <w:rFonts w:ascii="Times New Roman" w:hAnsi="Times New Roman" w:cs="Times New Roman"/>
          <w:sz w:val="24"/>
          <w:szCs w:val="24"/>
        </w:rPr>
        <w:t xml:space="preserve">rrêté N°057/MERF/SG/DRF </w:t>
      </w:r>
      <w:r w:rsidR="000B6635">
        <w:rPr>
          <w:rFonts w:ascii="Times New Roman" w:hAnsi="Times New Roman" w:cs="Times New Roman"/>
          <w:sz w:val="24"/>
          <w:szCs w:val="24"/>
        </w:rPr>
        <w:t xml:space="preserve">du 13 juin 2016 </w:t>
      </w:r>
      <w:r w:rsidR="007475D1" w:rsidRPr="004D2DFD">
        <w:rPr>
          <w:rFonts w:ascii="Times New Roman" w:hAnsi="Times New Roman" w:cs="Times New Roman"/>
          <w:sz w:val="24"/>
          <w:szCs w:val="24"/>
        </w:rPr>
        <w:t>définissant le canevas/modèle de Plan Simple de Gestion des forêts communautaires au Togo (PSG/FCT) ;</w:t>
      </w:r>
    </w:p>
    <w:p w14:paraId="01497E1C" w14:textId="77777777" w:rsidR="007475D1" w:rsidRPr="00E10787" w:rsidRDefault="007475D1" w:rsidP="007475D1">
      <w:pPr>
        <w:autoSpaceDE w:val="0"/>
        <w:autoSpaceDN w:val="0"/>
        <w:adjustRightInd w:val="0"/>
        <w:spacing w:after="0" w:line="276" w:lineRule="auto"/>
        <w:jc w:val="both"/>
        <w:rPr>
          <w:rFonts w:ascii="Times New Roman" w:hAnsi="Times New Roman" w:cs="Times New Roman"/>
          <w:color w:val="000000"/>
          <w:sz w:val="24"/>
          <w:szCs w:val="24"/>
        </w:rPr>
      </w:pPr>
    </w:p>
    <w:p w14:paraId="7B77A2BA" w14:textId="738B2CA0" w:rsidR="007475D1" w:rsidRPr="001A706B" w:rsidRDefault="007475D1" w:rsidP="007475D1">
      <w:pPr>
        <w:spacing w:after="0" w:line="276" w:lineRule="auto"/>
        <w:jc w:val="both"/>
        <w:rPr>
          <w:rFonts w:ascii="Times New Roman" w:hAnsi="Times New Roman"/>
          <w:sz w:val="24"/>
          <w:szCs w:val="24"/>
        </w:rPr>
      </w:pPr>
      <w:r>
        <w:rPr>
          <w:rFonts w:ascii="Times New Roman" w:hAnsi="Times New Roman"/>
          <w:sz w:val="24"/>
          <w:szCs w:val="24"/>
        </w:rPr>
        <w:t>D’</w:t>
      </w:r>
      <w:r w:rsidR="00C20794">
        <w:rPr>
          <w:rFonts w:ascii="Times New Roman" w:hAnsi="Times New Roman"/>
          <w:sz w:val="24"/>
          <w:szCs w:val="24"/>
        </w:rPr>
        <w:t>a</w:t>
      </w:r>
      <w:r>
        <w:rPr>
          <w:rFonts w:ascii="Times New Roman" w:hAnsi="Times New Roman"/>
          <w:sz w:val="24"/>
          <w:szCs w:val="24"/>
        </w:rPr>
        <w:t>utres initiatives ont été réalisées pour le compte de cet objectif 18. Il s’agit de:</w:t>
      </w:r>
    </w:p>
    <w:p w14:paraId="37AAC05E" w14:textId="5B1912B5" w:rsidR="007475D1" w:rsidRPr="001A706B" w:rsidRDefault="007475D1" w:rsidP="00E50666">
      <w:pPr>
        <w:pStyle w:val="Paragraphedeliste"/>
        <w:numPr>
          <w:ilvl w:val="0"/>
          <w:numId w:val="33"/>
        </w:numPr>
        <w:spacing w:after="0"/>
        <w:jc w:val="both"/>
        <w:rPr>
          <w:rFonts w:ascii="Times New Roman" w:hAnsi="Times New Roman"/>
          <w:sz w:val="24"/>
          <w:szCs w:val="24"/>
        </w:rPr>
      </w:pPr>
      <w:r>
        <w:rPr>
          <w:rFonts w:ascii="Times New Roman" w:hAnsi="Times New Roman"/>
          <w:sz w:val="24"/>
          <w:szCs w:val="24"/>
        </w:rPr>
        <w:t>l’</w:t>
      </w:r>
      <w:r w:rsidRPr="001A706B">
        <w:rPr>
          <w:rFonts w:ascii="Times New Roman" w:hAnsi="Times New Roman"/>
          <w:sz w:val="24"/>
          <w:szCs w:val="24"/>
        </w:rPr>
        <w:t>identifi</w:t>
      </w:r>
      <w:r>
        <w:rPr>
          <w:rFonts w:ascii="Times New Roman" w:hAnsi="Times New Roman"/>
          <w:sz w:val="24"/>
          <w:szCs w:val="24"/>
        </w:rPr>
        <w:t xml:space="preserve">cation </w:t>
      </w:r>
      <w:r w:rsidRPr="001A706B">
        <w:rPr>
          <w:rFonts w:ascii="Times New Roman" w:hAnsi="Times New Roman"/>
          <w:sz w:val="24"/>
          <w:szCs w:val="24"/>
        </w:rPr>
        <w:t>des bonnes pratiques concernant le système de cogestion des forêts</w:t>
      </w:r>
      <w:r w:rsidR="00017384">
        <w:rPr>
          <w:rFonts w:ascii="Times New Roman" w:hAnsi="Times New Roman"/>
          <w:sz w:val="24"/>
          <w:szCs w:val="24"/>
        </w:rPr>
        <w:t xml:space="preserve"> </w:t>
      </w:r>
      <w:r w:rsidRPr="001A706B">
        <w:rPr>
          <w:rFonts w:ascii="Times New Roman" w:hAnsi="Times New Roman"/>
          <w:sz w:val="24"/>
          <w:szCs w:val="24"/>
        </w:rPr>
        <w:t>(chartes de cogestion, convention locales de gestion, manuel de création et de gestion des forêts communautaires, etc.);</w:t>
      </w:r>
    </w:p>
    <w:p w14:paraId="2CA2B2D6" w14:textId="3012C4EA" w:rsidR="007475D1" w:rsidRPr="001A706B" w:rsidRDefault="007475D1" w:rsidP="00E50666">
      <w:pPr>
        <w:pStyle w:val="Paragraphedeliste"/>
        <w:numPr>
          <w:ilvl w:val="0"/>
          <w:numId w:val="33"/>
        </w:numPr>
        <w:spacing w:after="0"/>
        <w:jc w:val="both"/>
        <w:rPr>
          <w:rFonts w:ascii="Times New Roman" w:hAnsi="Times New Roman"/>
          <w:sz w:val="24"/>
          <w:szCs w:val="24"/>
        </w:rPr>
      </w:pPr>
      <w:r>
        <w:rPr>
          <w:rFonts w:ascii="Times New Roman" w:hAnsi="Times New Roman"/>
          <w:sz w:val="24"/>
          <w:szCs w:val="24"/>
        </w:rPr>
        <w:t>l’</w:t>
      </w:r>
      <w:r w:rsidRPr="001A706B">
        <w:rPr>
          <w:rFonts w:ascii="Times New Roman" w:hAnsi="Times New Roman"/>
          <w:sz w:val="24"/>
          <w:szCs w:val="24"/>
        </w:rPr>
        <w:t>élabor</w:t>
      </w:r>
      <w:r>
        <w:rPr>
          <w:rFonts w:ascii="Times New Roman" w:hAnsi="Times New Roman"/>
          <w:sz w:val="24"/>
          <w:szCs w:val="24"/>
        </w:rPr>
        <w:t>ation</w:t>
      </w:r>
      <w:r w:rsidRPr="001A706B">
        <w:rPr>
          <w:rFonts w:ascii="Times New Roman" w:hAnsi="Times New Roman"/>
          <w:sz w:val="24"/>
          <w:szCs w:val="24"/>
        </w:rPr>
        <w:t xml:space="preserve"> des plans de gestion des aires protégées intégrant les préoccupations et les connaissances traditionnelles de conservation de la biodiversité. Ainsi, 5 aires protégées sur 13 prioritaires disposent depuis 2016 des plans d’aménagement et de </w:t>
      </w:r>
      <w:r>
        <w:rPr>
          <w:rFonts w:ascii="Times New Roman" w:hAnsi="Times New Roman"/>
          <w:sz w:val="24"/>
          <w:szCs w:val="24"/>
        </w:rPr>
        <w:t>gestion</w:t>
      </w:r>
      <w:r w:rsidR="00017384">
        <w:rPr>
          <w:rFonts w:ascii="Times New Roman" w:hAnsi="Times New Roman"/>
          <w:sz w:val="24"/>
          <w:szCs w:val="24"/>
        </w:rPr>
        <w:t xml:space="preserve"> </w:t>
      </w:r>
      <w:r w:rsidRPr="001A706B">
        <w:rPr>
          <w:rFonts w:ascii="Times New Roman" w:hAnsi="Times New Roman"/>
          <w:sz w:val="24"/>
          <w:szCs w:val="24"/>
        </w:rPr>
        <w:t>;</w:t>
      </w:r>
    </w:p>
    <w:p w14:paraId="78B389AA" w14:textId="379D7EB5" w:rsidR="007475D1" w:rsidRPr="001A706B" w:rsidRDefault="007475D1" w:rsidP="00E50666">
      <w:pPr>
        <w:pStyle w:val="Paragraphedeliste"/>
        <w:numPr>
          <w:ilvl w:val="0"/>
          <w:numId w:val="33"/>
        </w:numPr>
        <w:spacing w:after="0"/>
        <w:jc w:val="both"/>
        <w:rPr>
          <w:rFonts w:ascii="Times New Roman" w:hAnsi="Times New Roman"/>
          <w:sz w:val="24"/>
          <w:szCs w:val="24"/>
        </w:rPr>
      </w:pPr>
      <w:r>
        <w:rPr>
          <w:rFonts w:ascii="Times New Roman" w:hAnsi="Times New Roman"/>
          <w:sz w:val="24"/>
          <w:szCs w:val="24"/>
        </w:rPr>
        <w:t>l’</w:t>
      </w:r>
      <w:r w:rsidRPr="001A706B">
        <w:rPr>
          <w:rFonts w:ascii="Times New Roman" w:hAnsi="Times New Roman"/>
          <w:sz w:val="24"/>
          <w:szCs w:val="24"/>
        </w:rPr>
        <w:t>identifi</w:t>
      </w:r>
      <w:r>
        <w:rPr>
          <w:rFonts w:ascii="Times New Roman" w:hAnsi="Times New Roman"/>
          <w:sz w:val="24"/>
          <w:szCs w:val="24"/>
        </w:rPr>
        <w:t>cation</w:t>
      </w:r>
      <w:r w:rsidRPr="001A706B">
        <w:rPr>
          <w:rFonts w:ascii="Times New Roman" w:hAnsi="Times New Roman"/>
          <w:sz w:val="24"/>
          <w:szCs w:val="24"/>
        </w:rPr>
        <w:t xml:space="preserve"> des bonnes</w:t>
      </w:r>
      <w:r>
        <w:rPr>
          <w:rFonts w:ascii="Times New Roman" w:hAnsi="Times New Roman"/>
          <w:sz w:val="24"/>
          <w:szCs w:val="24"/>
        </w:rPr>
        <w:t xml:space="preserve"> pratiques sur l’agroforesterie</w:t>
      </w:r>
      <w:r w:rsidR="00017384">
        <w:rPr>
          <w:rFonts w:ascii="Times New Roman" w:hAnsi="Times New Roman"/>
          <w:sz w:val="24"/>
          <w:szCs w:val="24"/>
        </w:rPr>
        <w:t xml:space="preserve"> </w:t>
      </w:r>
      <w:r w:rsidRPr="001A706B">
        <w:rPr>
          <w:rFonts w:ascii="Times New Roman" w:hAnsi="Times New Roman"/>
          <w:sz w:val="24"/>
          <w:szCs w:val="24"/>
        </w:rPr>
        <w:t>;</w:t>
      </w:r>
    </w:p>
    <w:p w14:paraId="1AB53B5E" w14:textId="4F5CD67E" w:rsidR="007475D1" w:rsidRPr="001A706B" w:rsidRDefault="007475D1" w:rsidP="00E50666">
      <w:pPr>
        <w:pStyle w:val="Sansinterligne"/>
        <w:numPr>
          <w:ilvl w:val="0"/>
          <w:numId w:val="33"/>
        </w:numPr>
        <w:spacing w:line="276" w:lineRule="auto"/>
        <w:jc w:val="both"/>
        <w:rPr>
          <w:rFonts w:ascii="Times New Roman" w:hAnsi="Times New Roman"/>
          <w:sz w:val="24"/>
          <w:szCs w:val="24"/>
          <w:lang w:val="fr-CI" w:eastAsia="de-DE"/>
        </w:rPr>
      </w:pPr>
      <w:r>
        <w:rPr>
          <w:rFonts w:ascii="Times New Roman" w:hAnsi="Times New Roman"/>
          <w:sz w:val="24"/>
          <w:szCs w:val="24"/>
          <w:lang w:eastAsia="de-DE"/>
        </w:rPr>
        <w:t xml:space="preserve">la </w:t>
      </w:r>
      <w:r w:rsidRPr="001A706B">
        <w:rPr>
          <w:rFonts w:ascii="Times New Roman" w:hAnsi="Times New Roman"/>
          <w:sz w:val="24"/>
          <w:szCs w:val="24"/>
          <w:lang w:eastAsia="de-DE"/>
        </w:rPr>
        <w:t>pris</w:t>
      </w:r>
      <w:r>
        <w:rPr>
          <w:rFonts w:ascii="Times New Roman" w:hAnsi="Times New Roman"/>
          <w:sz w:val="24"/>
          <w:szCs w:val="24"/>
          <w:lang w:eastAsia="de-DE"/>
        </w:rPr>
        <w:t>e</w:t>
      </w:r>
      <w:r w:rsidRPr="001A706B">
        <w:rPr>
          <w:rFonts w:ascii="Times New Roman" w:hAnsi="Times New Roman"/>
          <w:sz w:val="24"/>
          <w:szCs w:val="24"/>
          <w:lang w:eastAsia="de-DE"/>
        </w:rPr>
        <w:t xml:space="preserve"> des mesures opérationnelles pour l</w:t>
      </w:r>
      <w:r w:rsidRPr="001A706B">
        <w:rPr>
          <w:rFonts w:ascii="Times New Roman" w:hAnsi="Times New Roman"/>
          <w:sz w:val="24"/>
          <w:szCs w:val="24"/>
          <w:lang w:val="fr-CI" w:eastAsia="de-DE"/>
        </w:rPr>
        <w:t>a valorisation des connaissances et savoirs des praticiens de la médecine traditionnelle</w:t>
      </w:r>
      <w:r w:rsidR="00017384">
        <w:rPr>
          <w:rFonts w:ascii="Times New Roman" w:hAnsi="Times New Roman"/>
          <w:sz w:val="24"/>
          <w:szCs w:val="24"/>
          <w:lang w:val="fr-CI" w:eastAsia="de-DE"/>
        </w:rPr>
        <w:t xml:space="preserve"> </w:t>
      </w:r>
      <w:r w:rsidRPr="001A706B">
        <w:rPr>
          <w:rFonts w:ascii="Times New Roman" w:hAnsi="Times New Roman"/>
          <w:sz w:val="24"/>
          <w:szCs w:val="24"/>
          <w:lang w:val="fr-CI" w:eastAsia="de-DE"/>
        </w:rPr>
        <w:t>;</w:t>
      </w:r>
    </w:p>
    <w:p w14:paraId="35B33B53" w14:textId="77777777" w:rsidR="007475D1" w:rsidRPr="001A706B" w:rsidRDefault="007475D1" w:rsidP="00E50666">
      <w:pPr>
        <w:pStyle w:val="Sansinterligne"/>
        <w:numPr>
          <w:ilvl w:val="0"/>
          <w:numId w:val="33"/>
        </w:numPr>
        <w:spacing w:line="276" w:lineRule="auto"/>
        <w:jc w:val="both"/>
        <w:rPr>
          <w:rFonts w:ascii="Times New Roman" w:hAnsi="Times New Roman"/>
          <w:sz w:val="24"/>
          <w:szCs w:val="24"/>
          <w:lang w:val="fr-CI" w:eastAsia="de-DE"/>
        </w:rPr>
      </w:pPr>
      <w:r>
        <w:rPr>
          <w:rFonts w:ascii="Times New Roman" w:hAnsi="Times New Roman"/>
          <w:sz w:val="24"/>
          <w:szCs w:val="24"/>
          <w:lang w:val="fr-CI" w:eastAsia="de-DE"/>
        </w:rPr>
        <w:t>l’é</w:t>
      </w:r>
      <w:r w:rsidRPr="001A706B">
        <w:rPr>
          <w:rFonts w:ascii="Times New Roman" w:hAnsi="Times New Roman"/>
          <w:sz w:val="24"/>
          <w:szCs w:val="24"/>
          <w:lang w:val="fr-CI" w:eastAsia="de-DE"/>
        </w:rPr>
        <w:t>valuation sommaire des connaissances traditionnelles associées aux ressources génétiques en vue de définir un cadre juridique approprié pour leur protection.</w:t>
      </w:r>
    </w:p>
    <w:p w14:paraId="37F79F24" w14:textId="77777777" w:rsidR="003F5ECF" w:rsidRPr="00E5025B" w:rsidRDefault="003F5ECF" w:rsidP="00E5025B">
      <w:pPr>
        <w:spacing w:after="0"/>
        <w:rPr>
          <w:rFonts w:ascii="Times New Roman" w:hAnsi="Times New Roman" w:cs="Times New Roman"/>
          <w:color w:val="000000"/>
          <w:sz w:val="24"/>
          <w:szCs w:val="24"/>
        </w:rPr>
      </w:pPr>
    </w:p>
    <w:p w14:paraId="31A10690" w14:textId="77777777" w:rsidR="00E5025B" w:rsidRPr="001A706B" w:rsidRDefault="00E5025B" w:rsidP="00E5025B">
      <w:pPr>
        <w:spacing w:after="0" w:line="276" w:lineRule="auto"/>
        <w:jc w:val="both"/>
        <w:rPr>
          <w:rFonts w:ascii="Times New Roman" w:hAnsi="Times New Roman"/>
          <w:b/>
          <w:i/>
          <w:color w:val="0070C0"/>
          <w:sz w:val="24"/>
          <w:szCs w:val="24"/>
        </w:rPr>
      </w:pPr>
      <w:r w:rsidRPr="001A706B">
        <w:rPr>
          <w:rFonts w:ascii="Times New Roman" w:hAnsi="Times New Roman"/>
          <w:b/>
          <w:i/>
          <w:color w:val="0070C0"/>
          <w:sz w:val="24"/>
          <w:szCs w:val="24"/>
        </w:rPr>
        <w:t>Objectif 19</w:t>
      </w:r>
      <w:r>
        <w:rPr>
          <w:rFonts w:ascii="Times New Roman" w:hAnsi="Times New Roman"/>
          <w:b/>
          <w:i/>
          <w:color w:val="0070C0"/>
          <w:sz w:val="24"/>
          <w:szCs w:val="24"/>
        </w:rPr>
        <w:t>.</w:t>
      </w:r>
      <w:r w:rsidRPr="001A706B">
        <w:rPr>
          <w:rFonts w:ascii="Times New Roman" w:hAnsi="Times New Roman"/>
          <w:b/>
          <w:i/>
          <w:color w:val="0070C0"/>
          <w:sz w:val="24"/>
          <w:szCs w:val="24"/>
        </w:rPr>
        <w:t xml:space="preserve"> Développer d’ici à 2020 la prise en compte des enjeux de biodiversité dans toutes les formations scolaires et universitaires</w:t>
      </w:r>
    </w:p>
    <w:p w14:paraId="09859E07" w14:textId="77777777" w:rsidR="00E5025B" w:rsidRPr="001A706B" w:rsidRDefault="00E5025B" w:rsidP="00E5025B">
      <w:pPr>
        <w:spacing w:after="0" w:line="276" w:lineRule="auto"/>
        <w:jc w:val="both"/>
        <w:rPr>
          <w:rFonts w:ascii="Times New Roman" w:hAnsi="Times New Roman"/>
          <w:sz w:val="24"/>
          <w:szCs w:val="24"/>
        </w:rPr>
      </w:pPr>
    </w:p>
    <w:p w14:paraId="660C329B" w14:textId="6BEF9174" w:rsidR="00E5025B" w:rsidRPr="001A706B" w:rsidRDefault="00E5025B" w:rsidP="00E5025B">
      <w:pPr>
        <w:spacing w:after="0" w:line="276" w:lineRule="auto"/>
        <w:jc w:val="both"/>
        <w:rPr>
          <w:rFonts w:ascii="Times New Roman" w:hAnsi="Times New Roman"/>
          <w:sz w:val="24"/>
          <w:szCs w:val="24"/>
        </w:rPr>
      </w:pPr>
      <w:r w:rsidRPr="001A706B">
        <w:rPr>
          <w:rFonts w:ascii="Times New Roman" w:hAnsi="Times New Roman"/>
          <w:sz w:val="24"/>
          <w:szCs w:val="24"/>
        </w:rPr>
        <w:t>Dans le cadre de cet objectif, il a été entrepris</w:t>
      </w:r>
      <w:r w:rsidR="00017384">
        <w:rPr>
          <w:rFonts w:ascii="Times New Roman" w:hAnsi="Times New Roman"/>
          <w:sz w:val="24"/>
          <w:szCs w:val="24"/>
        </w:rPr>
        <w:t xml:space="preserve"> </w:t>
      </w:r>
      <w:r w:rsidRPr="001A706B">
        <w:rPr>
          <w:rFonts w:ascii="Times New Roman" w:hAnsi="Times New Roman"/>
          <w:sz w:val="24"/>
          <w:szCs w:val="24"/>
        </w:rPr>
        <w:t>:</w:t>
      </w:r>
    </w:p>
    <w:p w14:paraId="7CFE49C2" w14:textId="40549D11" w:rsidR="00E5025B" w:rsidRPr="001A706B" w:rsidRDefault="00E5025B" w:rsidP="00E50666">
      <w:pPr>
        <w:pStyle w:val="Paragraphedeliste"/>
        <w:numPr>
          <w:ilvl w:val="0"/>
          <w:numId w:val="32"/>
        </w:numPr>
        <w:spacing w:after="0"/>
        <w:jc w:val="both"/>
        <w:rPr>
          <w:rFonts w:ascii="Times New Roman" w:hAnsi="Times New Roman"/>
          <w:sz w:val="24"/>
          <w:szCs w:val="24"/>
        </w:rPr>
      </w:pPr>
      <w:r w:rsidRPr="001A706B">
        <w:rPr>
          <w:rFonts w:ascii="Times New Roman" w:hAnsi="Times New Roman"/>
          <w:sz w:val="24"/>
          <w:szCs w:val="24"/>
        </w:rPr>
        <w:t>une coopération avec l’université de Lomé pour l’intégration dans les formations des curricula prenant en compte les thématiques comme la biosécurité, le mécanisme APA</w:t>
      </w:r>
      <w:r w:rsidR="00017384">
        <w:rPr>
          <w:rFonts w:ascii="Times New Roman" w:hAnsi="Times New Roman"/>
          <w:sz w:val="24"/>
          <w:szCs w:val="24"/>
        </w:rPr>
        <w:t xml:space="preserve"> </w:t>
      </w:r>
      <w:r w:rsidRPr="001A706B">
        <w:rPr>
          <w:rFonts w:ascii="Times New Roman" w:hAnsi="Times New Roman"/>
          <w:sz w:val="24"/>
          <w:szCs w:val="24"/>
        </w:rPr>
        <w:t>;</w:t>
      </w:r>
    </w:p>
    <w:p w14:paraId="4260956E" w14:textId="60ABF7F7" w:rsidR="00E5025B" w:rsidRPr="001A706B" w:rsidRDefault="00E5025B" w:rsidP="00E50666">
      <w:pPr>
        <w:pStyle w:val="Paragraphedeliste"/>
        <w:numPr>
          <w:ilvl w:val="0"/>
          <w:numId w:val="32"/>
        </w:numPr>
        <w:spacing w:after="0"/>
        <w:jc w:val="both"/>
        <w:rPr>
          <w:rFonts w:ascii="Times New Roman" w:hAnsi="Times New Roman"/>
          <w:sz w:val="24"/>
          <w:szCs w:val="24"/>
        </w:rPr>
      </w:pPr>
      <w:r>
        <w:rPr>
          <w:rFonts w:ascii="Times New Roman" w:hAnsi="Times New Roman"/>
          <w:sz w:val="24"/>
          <w:szCs w:val="24"/>
        </w:rPr>
        <w:t>la c</w:t>
      </w:r>
      <w:r w:rsidRPr="001A706B">
        <w:rPr>
          <w:rFonts w:ascii="Times New Roman" w:hAnsi="Times New Roman"/>
          <w:sz w:val="24"/>
          <w:szCs w:val="24"/>
        </w:rPr>
        <w:t xml:space="preserve">oopération avec </w:t>
      </w:r>
      <w:r>
        <w:rPr>
          <w:rFonts w:ascii="Times New Roman" w:hAnsi="Times New Roman"/>
          <w:sz w:val="24"/>
          <w:szCs w:val="24"/>
        </w:rPr>
        <w:t>l’E</w:t>
      </w:r>
      <w:r w:rsidRPr="001A706B">
        <w:rPr>
          <w:rFonts w:ascii="Times New Roman" w:hAnsi="Times New Roman"/>
          <w:sz w:val="24"/>
          <w:szCs w:val="24"/>
        </w:rPr>
        <w:t xml:space="preserve">cole forestière de l’INFA de Tové </w:t>
      </w:r>
      <w:r>
        <w:rPr>
          <w:rFonts w:ascii="Times New Roman" w:hAnsi="Times New Roman"/>
          <w:sz w:val="24"/>
          <w:szCs w:val="24"/>
        </w:rPr>
        <w:t>(</w:t>
      </w:r>
      <w:r w:rsidRPr="001A706B">
        <w:rPr>
          <w:rFonts w:ascii="Times New Roman" w:hAnsi="Times New Roman"/>
          <w:sz w:val="24"/>
          <w:szCs w:val="24"/>
        </w:rPr>
        <w:t>Kpalimé</w:t>
      </w:r>
      <w:r>
        <w:rPr>
          <w:rFonts w:ascii="Times New Roman" w:hAnsi="Times New Roman"/>
          <w:sz w:val="24"/>
          <w:szCs w:val="24"/>
        </w:rPr>
        <w:t>)</w:t>
      </w:r>
      <w:r w:rsidRPr="001A706B">
        <w:rPr>
          <w:rFonts w:ascii="Times New Roman" w:hAnsi="Times New Roman"/>
          <w:sz w:val="24"/>
          <w:szCs w:val="24"/>
        </w:rPr>
        <w:t xml:space="preserve"> pour l’intégration dans les</w:t>
      </w:r>
      <w:r>
        <w:rPr>
          <w:rFonts w:ascii="Times New Roman" w:hAnsi="Times New Roman"/>
          <w:sz w:val="24"/>
          <w:szCs w:val="24"/>
        </w:rPr>
        <w:t xml:space="preserve"> curricula de</w:t>
      </w:r>
      <w:r w:rsidRPr="001A706B">
        <w:rPr>
          <w:rFonts w:ascii="Times New Roman" w:hAnsi="Times New Roman"/>
          <w:sz w:val="24"/>
          <w:szCs w:val="24"/>
        </w:rPr>
        <w:t xml:space="preserve"> form</w:t>
      </w:r>
      <w:r>
        <w:rPr>
          <w:rFonts w:ascii="Times New Roman" w:hAnsi="Times New Roman"/>
          <w:sz w:val="24"/>
          <w:szCs w:val="24"/>
        </w:rPr>
        <w:t xml:space="preserve">ations de cette école </w:t>
      </w:r>
      <w:r w:rsidRPr="001A706B">
        <w:rPr>
          <w:rFonts w:ascii="Times New Roman" w:hAnsi="Times New Roman"/>
          <w:sz w:val="24"/>
          <w:szCs w:val="24"/>
        </w:rPr>
        <w:t>des écosystèmes forestiers</w:t>
      </w:r>
      <w:r w:rsidR="00017384">
        <w:rPr>
          <w:rFonts w:ascii="Times New Roman" w:hAnsi="Times New Roman"/>
          <w:sz w:val="24"/>
          <w:szCs w:val="24"/>
        </w:rPr>
        <w:t xml:space="preserve"> </w:t>
      </w:r>
      <w:r w:rsidRPr="001A706B">
        <w:rPr>
          <w:rFonts w:ascii="Times New Roman" w:hAnsi="Times New Roman"/>
          <w:sz w:val="24"/>
          <w:szCs w:val="24"/>
        </w:rPr>
        <w:t xml:space="preserve">;  </w:t>
      </w:r>
    </w:p>
    <w:p w14:paraId="0374FF11" w14:textId="43AECECA" w:rsidR="0032015A" w:rsidRPr="00963FD6" w:rsidRDefault="00E5025B" w:rsidP="00963FD6">
      <w:pPr>
        <w:pStyle w:val="Paragraphedeliste"/>
        <w:numPr>
          <w:ilvl w:val="0"/>
          <w:numId w:val="32"/>
        </w:numPr>
        <w:spacing w:after="0"/>
        <w:jc w:val="both"/>
        <w:rPr>
          <w:rFonts w:ascii="Times New Roman" w:hAnsi="Times New Roman"/>
          <w:b/>
          <w:i/>
          <w:color w:val="0070C0"/>
          <w:sz w:val="24"/>
          <w:szCs w:val="24"/>
        </w:rPr>
      </w:pPr>
      <w:r w:rsidRPr="00963FD6">
        <w:rPr>
          <w:rFonts w:ascii="Times New Roman" w:hAnsi="Times New Roman"/>
          <w:sz w:val="24"/>
          <w:szCs w:val="24"/>
          <w:lang w:val="fr-CI" w:eastAsia="de-DE"/>
        </w:rPr>
        <w:t>le lancement du programme d’Information sur la Biodiversité pour le Développement (BID) du Togo en collaboration avec le Système Mondial d’Informat</w:t>
      </w:r>
      <w:r w:rsidR="00017384" w:rsidRPr="00963FD6">
        <w:rPr>
          <w:rFonts w:ascii="Times New Roman" w:hAnsi="Times New Roman"/>
          <w:sz w:val="24"/>
          <w:szCs w:val="24"/>
          <w:lang w:val="fr-CI" w:eastAsia="de-DE"/>
        </w:rPr>
        <w:t xml:space="preserve">ion sur la Biodiversité (GBIF). </w:t>
      </w:r>
      <w:r w:rsidRPr="00963FD6">
        <w:rPr>
          <w:rFonts w:ascii="Times New Roman" w:hAnsi="Times New Roman"/>
          <w:sz w:val="24"/>
          <w:szCs w:val="24"/>
          <w:lang w:val="fr-CI" w:eastAsia="de-DE"/>
        </w:rPr>
        <w:t>Ce programme permet de disposer, au niveau national, les données sur la biodiversité qui sont périodiquement</w:t>
      </w:r>
      <w:r w:rsidRPr="00963FD6">
        <w:rPr>
          <w:rFonts w:ascii="Times New Roman" w:hAnsi="Times New Roman"/>
          <w:sz w:val="24"/>
          <w:szCs w:val="24"/>
          <w:lang w:eastAsia="de-DE"/>
        </w:rPr>
        <w:t xml:space="preserve"> mis sur la plateforme dudit programme.</w:t>
      </w:r>
    </w:p>
    <w:p w14:paraId="243FF872" w14:textId="77777777" w:rsidR="00963FD6" w:rsidRPr="00963FD6" w:rsidRDefault="00963FD6" w:rsidP="00963FD6">
      <w:pPr>
        <w:pStyle w:val="Paragraphedeliste"/>
        <w:spacing w:after="0"/>
        <w:jc w:val="both"/>
        <w:rPr>
          <w:rFonts w:ascii="Times New Roman" w:hAnsi="Times New Roman"/>
          <w:b/>
          <w:i/>
          <w:color w:val="0070C0"/>
          <w:sz w:val="24"/>
          <w:szCs w:val="24"/>
        </w:rPr>
      </w:pPr>
    </w:p>
    <w:p w14:paraId="504F25CE" w14:textId="6C974D15" w:rsidR="00E5025B" w:rsidRPr="001A706B" w:rsidRDefault="00E5025B" w:rsidP="00E5025B">
      <w:pPr>
        <w:spacing w:after="0" w:line="276" w:lineRule="auto"/>
        <w:jc w:val="both"/>
        <w:rPr>
          <w:rFonts w:ascii="Times New Roman" w:hAnsi="Times New Roman"/>
          <w:b/>
          <w:i/>
          <w:color w:val="0070C0"/>
          <w:sz w:val="24"/>
          <w:szCs w:val="24"/>
        </w:rPr>
      </w:pPr>
      <w:r w:rsidRPr="001A706B">
        <w:rPr>
          <w:rFonts w:ascii="Times New Roman" w:hAnsi="Times New Roman"/>
          <w:b/>
          <w:i/>
          <w:color w:val="0070C0"/>
          <w:sz w:val="24"/>
          <w:szCs w:val="24"/>
        </w:rPr>
        <w:t>Objectif 20</w:t>
      </w:r>
      <w:r>
        <w:rPr>
          <w:rFonts w:ascii="Times New Roman" w:hAnsi="Times New Roman"/>
          <w:b/>
          <w:i/>
          <w:color w:val="0070C0"/>
          <w:sz w:val="24"/>
          <w:szCs w:val="24"/>
        </w:rPr>
        <w:t>.</w:t>
      </w:r>
      <w:r w:rsidRPr="001A706B">
        <w:rPr>
          <w:rFonts w:ascii="Times New Roman" w:hAnsi="Times New Roman"/>
          <w:b/>
          <w:i/>
          <w:color w:val="0070C0"/>
          <w:sz w:val="24"/>
          <w:szCs w:val="24"/>
        </w:rPr>
        <w:t xml:space="preserve"> Rendre opérationnel d</w:t>
      </w:r>
      <w:r w:rsidRPr="001A706B">
        <w:rPr>
          <w:rFonts w:ascii="Times New Roman" w:hAnsi="Times New Roman"/>
          <w:b/>
          <w:i/>
          <w:iCs/>
          <w:color w:val="0070C0"/>
          <w:sz w:val="24"/>
          <w:szCs w:val="24"/>
        </w:rPr>
        <w:t>’ici à 2015, un comité national de biodiversité regroupant les principaux acteurs intervenant dans l’utilisation et la gestion de la biodiversité</w:t>
      </w:r>
    </w:p>
    <w:p w14:paraId="076A38E4" w14:textId="77777777" w:rsidR="00E5025B" w:rsidRPr="00D42CDC" w:rsidRDefault="00E5025B" w:rsidP="00E5025B">
      <w:pPr>
        <w:spacing w:after="0" w:line="276" w:lineRule="auto"/>
        <w:jc w:val="both"/>
        <w:rPr>
          <w:rFonts w:ascii="Times New Roman" w:hAnsi="Times New Roman"/>
          <w:sz w:val="24"/>
          <w:szCs w:val="24"/>
        </w:rPr>
      </w:pPr>
    </w:p>
    <w:p w14:paraId="3A69F0E3" w14:textId="77777777" w:rsidR="0032015A" w:rsidRDefault="00E5025B" w:rsidP="001247CB">
      <w:pPr>
        <w:tabs>
          <w:tab w:val="left" w:pos="0"/>
        </w:tabs>
        <w:spacing w:after="0" w:line="276" w:lineRule="auto"/>
        <w:jc w:val="both"/>
        <w:rPr>
          <w:rFonts w:ascii="Times New Roman" w:hAnsi="Times New Roman"/>
          <w:sz w:val="24"/>
          <w:szCs w:val="24"/>
        </w:rPr>
      </w:pPr>
      <w:r w:rsidRPr="00D42CDC">
        <w:rPr>
          <w:rFonts w:ascii="Times New Roman" w:hAnsi="Times New Roman"/>
          <w:sz w:val="24"/>
          <w:szCs w:val="24"/>
        </w:rPr>
        <w:t>Pour atteindre cet objectif, le</w:t>
      </w:r>
      <w:r>
        <w:rPr>
          <w:rFonts w:ascii="Times New Roman" w:hAnsi="Times New Roman"/>
          <w:sz w:val="24"/>
          <w:szCs w:val="24"/>
        </w:rPr>
        <w:t>s acteurs ont e</w:t>
      </w:r>
      <w:r w:rsidRPr="00D42CDC">
        <w:rPr>
          <w:rFonts w:ascii="Times New Roman" w:hAnsi="Times New Roman"/>
          <w:sz w:val="24"/>
          <w:szCs w:val="24"/>
        </w:rPr>
        <w:t>ntrepris des réflexions en vue de la mise en synergie des dif</w:t>
      </w:r>
      <w:r>
        <w:rPr>
          <w:rFonts w:ascii="Times New Roman" w:hAnsi="Times New Roman"/>
          <w:sz w:val="24"/>
          <w:szCs w:val="24"/>
        </w:rPr>
        <w:t>f</w:t>
      </w:r>
      <w:r w:rsidRPr="00D42CDC">
        <w:rPr>
          <w:rFonts w:ascii="Times New Roman" w:hAnsi="Times New Roman"/>
          <w:sz w:val="24"/>
          <w:szCs w:val="24"/>
        </w:rPr>
        <w:t>érents comités nationaux de la convention sur la diversité biologique et de ses protocoles. Il s’agit notamment du comité national sur la biodiversité sur la biosécurité et sur le partage juste et équitable des bénéfices découlant de l’utilisation des ressources génétiques.</w:t>
      </w:r>
    </w:p>
    <w:p w14:paraId="73DCF682" w14:textId="0D4B19C5" w:rsidR="007475D1" w:rsidRPr="001247CB" w:rsidRDefault="00E5025B" w:rsidP="001247CB">
      <w:pPr>
        <w:tabs>
          <w:tab w:val="left" w:pos="0"/>
        </w:tabs>
        <w:spacing w:after="0" w:line="276" w:lineRule="auto"/>
        <w:jc w:val="both"/>
        <w:rPr>
          <w:rFonts w:ascii="Times New Roman" w:hAnsi="Times New Roman"/>
          <w:sz w:val="24"/>
          <w:szCs w:val="24"/>
        </w:rPr>
      </w:pPr>
      <w:r w:rsidRPr="00D42CDC">
        <w:rPr>
          <w:rFonts w:ascii="Times New Roman" w:hAnsi="Times New Roman"/>
          <w:sz w:val="24"/>
          <w:szCs w:val="24"/>
        </w:rPr>
        <w:t>Cette synergie d’action permettra de disposer au niveau national d’un seul comité dont les compétences intègrent les trois aspects de la biodiversité (CDB, Cartagena et APA). Des groupes spécialisés seront mis en place au sein dudit comité pour chaque thématique.</w:t>
      </w:r>
      <w:r w:rsidR="007475D1">
        <w:rPr>
          <w:rFonts w:ascii="Times New Roman" w:hAnsi="Times New Roman" w:cs="Times New Roman"/>
          <w:b/>
          <w:color w:val="000000"/>
          <w:sz w:val="24"/>
          <w:szCs w:val="24"/>
        </w:rPr>
        <w:br w:type="page"/>
      </w:r>
    </w:p>
    <w:p w14:paraId="7EE9CD23" w14:textId="77777777" w:rsidR="00EC2E7C" w:rsidRPr="00AD6D69" w:rsidRDefault="00EC2E7C" w:rsidP="00AD6D69">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63" w:name="_Toc533413762"/>
      <w:r w:rsidRPr="00AD6D69">
        <w:rPr>
          <w:rFonts w:ascii="Times New Roman Gras" w:eastAsiaTheme="majorEastAsia" w:hAnsi="Times New Roman Gras" w:cs="Times New Roman"/>
          <w:b/>
          <w:bCs/>
          <w:caps/>
          <w:color w:val="2E74B5" w:themeColor="accent1" w:themeShade="BF"/>
          <w:sz w:val="28"/>
          <w:szCs w:val="28"/>
        </w:rPr>
        <w:t>IV. Contribution nationale en vue de la réalisation de chaque OAB mondial</w:t>
      </w:r>
      <w:bookmarkEnd w:id="63"/>
    </w:p>
    <w:p w14:paraId="6A6FB7EA" w14:textId="77777777" w:rsidR="002E6287" w:rsidRDefault="002E6287" w:rsidP="00254C9C">
      <w:pPr>
        <w:autoSpaceDE w:val="0"/>
        <w:autoSpaceDN w:val="0"/>
        <w:adjustRightInd w:val="0"/>
        <w:spacing w:after="0" w:line="240" w:lineRule="auto"/>
        <w:jc w:val="both"/>
        <w:rPr>
          <w:rFonts w:ascii="Times New Roman" w:hAnsi="Times New Roman" w:cs="Times New Roman"/>
          <w:b/>
          <w:bCs/>
          <w:color w:val="000000"/>
          <w:sz w:val="24"/>
          <w:szCs w:val="24"/>
        </w:rPr>
      </w:pPr>
    </w:p>
    <w:p w14:paraId="5AEF841E" w14:textId="77777777" w:rsidR="00D31C6C" w:rsidRPr="00D31C6C" w:rsidRDefault="00D31C6C" w:rsidP="00A05444">
      <w:pPr>
        <w:autoSpaceDE w:val="0"/>
        <w:autoSpaceDN w:val="0"/>
        <w:adjustRightInd w:val="0"/>
        <w:spacing w:after="0" w:line="240" w:lineRule="auto"/>
        <w:outlineLvl w:val="1"/>
        <w:rPr>
          <w:rFonts w:ascii="Times New Roman" w:hAnsi="Times New Roman" w:cs="Times New Roman"/>
          <w:b/>
          <w:bCs/>
          <w:color w:val="000000"/>
          <w:sz w:val="24"/>
          <w:szCs w:val="24"/>
        </w:rPr>
      </w:pPr>
      <w:bookmarkStart w:id="64" w:name="_Toc533413763"/>
      <w:r w:rsidRPr="00D31C6C">
        <w:rPr>
          <w:rFonts w:ascii="Times New Roman" w:hAnsi="Times New Roman" w:cs="Times New Roman"/>
          <w:b/>
          <w:bCs/>
          <w:color w:val="000000"/>
          <w:sz w:val="24"/>
          <w:szCs w:val="24"/>
        </w:rPr>
        <w:t>4.1. Analyse par OAB</w:t>
      </w:r>
      <w:bookmarkEnd w:id="64"/>
    </w:p>
    <w:p w14:paraId="31AC5342" w14:textId="77777777" w:rsidR="00A2729E" w:rsidRDefault="00A2729E" w:rsidP="00D31C6C">
      <w:pPr>
        <w:autoSpaceDE w:val="0"/>
        <w:autoSpaceDN w:val="0"/>
        <w:adjustRightInd w:val="0"/>
        <w:spacing w:after="0" w:line="240" w:lineRule="auto"/>
        <w:jc w:val="both"/>
        <w:rPr>
          <w:rFonts w:ascii="Times New Roman" w:hAnsi="Times New Roman" w:cs="Times New Roman"/>
          <w:b/>
          <w:kern w:val="22"/>
          <w:sz w:val="24"/>
          <w:szCs w:val="24"/>
          <w:lang w:val="fr-CA"/>
        </w:rPr>
      </w:pPr>
    </w:p>
    <w:p w14:paraId="3B02D515" w14:textId="00962E17" w:rsidR="00D31C6C" w:rsidRPr="00D31C6C" w:rsidRDefault="00D31C6C" w:rsidP="00D31C6C">
      <w:pPr>
        <w:autoSpaceDE w:val="0"/>
        <w:autoSpaceDN w:val="0"/>
        <w:adjustRightInd w:val="0"/>
        <w:spacing w:after="0" w:line="240" w:lineRule="auto"/>
        <w:jc w:val="both"/>
        <w:rPr>
          <w:rFonts w:ascii="Times New Roman" w:hAnsi="Times New Roman" w:cs="Times New Roman"/>
          <w:b/>
          <w:kern w:val="22"/>
          <w:sz w:val="24"/>
          <w:szCs w:val="24"/>
          <w:lang w:val="fr-CA"/>
        </w:rPr>
      </w:pPr>
      <w:r w:rsidRPr="00D31C6C">
        <w:rPr>
          <w:rFonts w:ascii="Times New Roman" w:hAnsi="Times New Roman" w:cs="Times New Roman"/>
          <w:b/>
          <w:kern w:val="22"/>
          <w:sz w:val="24"/>
          <w:szCs w:val="24"/>
          <w:lang w:val="fr-CA"/>
        </w:rPr>
        <w:t xml:space="preserve">Objectif 1 d’Aichi pour la biodiversité : </w:t>
      </w:r>
      <w:r w:rsidR="00F11C0D">
        <w:rPr>
          <w:rFonts w:ascii="Times New Roman" w:hAnsi="Times New Roman" w:cs="Times New Roman"/>
          <w:b/>
          <w:kern w:val="22"/>
          <w:sz w:val="24"/>
          <w:szCs w:val="24"/>
          <w:lang w:val="fr-CA"/>
        </w:rPr>
        <w:t>s</w:t>
      </w:r>
      <w:r w:rsidRPr="00D31C6C">
        <w:rPr>
          <w:rFonts w:ascii="Times New Roman" w:hAnsi="Times New Roman" w:cs="Times New Roman"/>
          <w:b/>
          <w:kern w:val="22"/>
          <w:sz w:val="24"/>
          <w:szCs w:val="24"/>
          <w:lang w:val="fr-CA"/>
        </w:rPr>
        <w:t>ensibilisation accrue à la diversité biologique</w:t>
      </w:r>
    </w:p>
    <w:p w14:paraId="76B552C1" w14:textId="77777777" w:rsidR="00D31C6C" w:rsidRPr="00D31C6C" w:rsidRDefault="00D31C6C" w:rsidP="00D31C6C">
      <w:pPr>
        <w:autoSpaceDE w:val="0"/>
        <w:autoSpaceDN w:val="0"/>
        <w:adjustRightInd w:val="0"/>
        <w:spacing w:after="0" w:line="240" w:lineRule="auto"/>
        <w:jc w:val="both"/>
        <w:rPr>
          <w:rFonts w:ascii="Times New Roman" w:hAnsi="Times New Roman" w:cs="Times New Roman"/>
          <w:b/>
          <w:kern w:val="22"/>
          <w:sz w:val="24"/>
          <w:szCs w:val="24"/>
          <w:lang w:val="fr-CA"/>
        </w:rPr>
      </w:pPr>
    </w:p>
    <w:p w14:paraId="2534A4EF" w14:textId="77777777" w:rsidR="00D31C6C" w:rsidRDefault="00D31C6C" w:rsidP="00D31C6C">
      <w:pPr>
        <w:spacing w:after="0" w:line="240" w:lineRule="auto"/>
        <w:jc w:val="both"/>
        <w:rPr>
          <w:rFonts w:ascii="Times New Roman" w:hAnsi="Times New Roman" w:cs="Times New Roman"/>
          <w:iCs/>
          <w:sz w:val="24"/>
          <w:szCs w:val="24"/>
          <w:lang w:val="fr-CA"/>
        </w:rPr>
      </w:pPr>
      <w:r w:rsidRPr="00D31C6C">
        <w:rPr>
          <w:rFonts w:ascii="Times New Roman" w:hAnsi="Times New Roman" w:cs="Times New Roman"/>
          <w:iCs/>
          <w:sz w:val="24"/>
          <w:szCs w:val="24"/>
          <w:lang w:val="fr-CA"/>
        </w:rPr>
        <w:t>Afin de permettre l’appropriation, l’implication, le changement des comportements et surtout la participation des populations à conservation de la diversité biologique au Togo, plusieurs actions ont été réalisées afin de les informer, éduquer et sensibiliser sur l’inté</w:t>
      </w:r>
      <w:r w:rsidR="00A2729E">
        <w:rPr>
          <w:rFonts w:ascii="Times New Roman" w:hAnsi="Times New Roman" w:cs="Times New Roman"/>
          <w:iCs/>
          <w:sz w:val="24"/>
          <w:szCs w:val="24"/>
          <w:lang w:val="fr-CA"/>
        </w:rPr>
        <w:t>rêt de la diversité biologique.</w:t>
      </w:r>
    </w:p>
    <w:p w14:paraId="6FA8312C" w14:textId="77777777" w:rsidR="00A2729E" w:rsidRPr="00D31C6C" w:rsidRDefault="00A2729E" w:rsidP="00D31C6C">
      <w:pPr>
        <w:spacing w:after="0" w:line="240" w:lineRule="auto"/>
        <w:jc w:val="both"/>
        <w:rPr>
          <w:rFonts w:ascii="Times New Roman" w:hAnsi="Times New Roman" w:cs="Times New Roman"/>
          <w:iCs/>
          <w:sz w:val="24"/>
          <w:szCs w:val="24"/>
          <w:lang w:val="fr-CA"/>
        </w:rPr>
      </w:pPr>
    </w:p>
    <w:p w14:paraId="227368B6" w14:textId="602A2170" w:rsidR="002409BD" w:rsidRDefault="00D31C6C" w:rsidP="00D31C6C">
      <w:pPr>
        <w:spacing w:after="0" w:line="240" w:lineRule="auto"/>
        <w:jc w:val="both"/>
        <w:rPr>
          <w:rFonts w:ascii="Times New Roman" w:hAnsi="Times New Roman" w:cs="Times New Roman"/>
          <w:iCs/>
          <w:sz w:val="24"/>
          <w:szCs w:val="24"/>
          <w:lang w:val="fr-CA"/>
        </w:rPr>
      </w:pPr>
      <w:r w:rsidRPr="00D31C6C">
        <w:rPr>
          <w:rFonts w:ascii="Times New Roman" w:hAnsi="Times New Roman" w:cs="Times New Roman"/>
          <w:iCs/>
          <w:sz w:val="24"/>
          <w:szCs w:val="24"/>
          <w:lang w:val="fr-CA"/>
        </w:rPr>
        <w:t>Les activités de sensibilisation ont porté sur la gestion des feux de végétation dans les chefs lieu</w:t>
      </w:r>
      <w:r w:rsidR="00963FD6">
        <w:rPr>
          <w:rFonts w:ascii="Times New Roman" w:hAnsi="Times New Roman" w:cs="Times New Roman"/>
          <w:iCs/>
          <w:sz w:val="24"/>
          <w:szCs w:val="24"/>
          <w:lang w:val="fr-CA"/>
        </w:rPr>
        <w:t>x</w:t>
      </w:r>
      <w:r w:rsidRPr="00D31C6C">
        <w:rPr>
          <w:rFonts w:ascii="Times New Roman" w:hAnsi="Times New Roman" w:cs="Times New Roman"/>
          <w:iCs/>
          <w:sz w:val="24"/>
          <w:szCs w:val="24"/>
          <w:lang w:val="fr-CA"/>
        </w:rPr>
        <w:t xml:space="preserve"> de région en 2017, l’éducation des groupements maraicher sur la protection des oiseaux migrateur</w:t>
      </w:r>
      <w:r w:rsidR="00963FD6">
        <w:rPr>
          <w:rFonts w:ascii="Times New Roman" w:hAnsi="Times New Roman" w:cs="Times New Roman"/>
          <w:iCs/>
          <w:sz w:val="24"/>
          <w:szCs w:val="24"/>
          <w:lang w:val="fr-CA"/>
        </w:rPr>
        <w:t>s</w:t>
      </w:r>
      <w:r w:rsidRPr="00D31C6C">
        <w:rPr>
          <w:rFonts w:ascii="Times New Roman" w:hAnsi="Times New Roman" w:cs="Times New Roman"/>
          <w:iCs/>
          <w:sz w:val="24"/>
          <w:szCs w:val="24"/>
          <w:lang w:val="fr-CA"/>
        </w:rPr>
        <w:t>, la promotion de la biodiversité à l’intention des principaux acteurs  intervenant dans la conservation de la biodiversité au Togo, sensibilisation des populations sur les conséquences de la déforestation dans le cadre de l’aménagement des bas fonds dans le cadre du Projet PADAT/MAEP, la nécessité de protéger ces espèces animales en voie de disparition comme les Caméléons, sensibilisation des populations riveraines des aires protégées sur la protection de la faune et la co</w:t>
      </w:r>
      <w:r w:rsidR="00A2729E">
        <w:rPr>
          <w:rFonts w:ascii="Times New Roman" w:hAnsi="Times New Roman" w:cs="Times New Roman"/>
          <w:iCs/>
          <w:sz w:val="24"/>
          <w:szCs w:val="24"/>
          <w:lang w:val="fr-CA"/>
        </w:rPr>
        <w:t>nservation de la biod</w:t>
      </w:r>
      <w:r w:rsidR="00963FD6">
        <w:rPr>
          <w:rFonts w:ascii="Times New Roman" w:hAnsi="Times New Roman" w:cs="Times New Roman"/>
          <w:iCs/>
          <w:sz w:val="24"/>
          <w:szCs w:val="24"/>
          <w:lang w:val="fr-CA"/>
        </w:rPr>
        <w:t>iversité,</w:t>
      </w:r>
      <w:r w:rsidRPr="00D31C6C">
        <w:rPr>
          <w:rFonts w:ascii="Times New Roman" w:hAnsi="Times New Roman" w:cs="Times New Roman"/>
          <w:iCs/>
          <w:sz w:val="24"/>
          <w:szCs w:val="24"/>
          <w:lang w:val="fr-CA"/>
        </w:rPr>
        <w:t xml:space="preserve"> les méfaits de l’utilisation des sachets plastiques dans les cantons de Kpimé et Lavié (K</w:t>
      </w:r>
      <w:r w:rsidR="00A2729E" w:rsidRPr="00D31C6C">
        <w:rPr>
          <w:rFonts w:ascii="Times New Roman" w:hAnsi="Times New Roman" w:cs="Times New Roman"/>
          <w:iCs/>
          <w:sz w:val="24"/>
          <w:szCs w:val="24"/>
          <w:lang w:val="fr-CA"/>
        </w:rPr>
        <w:t>loto</w:t>
      </w:r>
      <w:r w:rsidRPr="00D31C6C">
        <w:rPr>
          <w:rFonts w:ascii="Times New Roman" w:hAnsi="Times New Roman" w:cs="Times New Roman"/>
          <w:iCs/>
          <w:sz w:val="24"/>
          <w:szCs w:val="24"/>
          <w:lang w:val="fr-CA"/>
        </w:rPr>
        <w:t xml:space="preserve">) en 2014, la gestion </w:t>
      </w:r>
      <w:r w:rsidR="00963FD6">
        <w:rPr>
          <w:rFonts w:ascii="Times New Roman" w:hAnsi="Times New Roman" w:cs="Times New Roman"/>
          <w:iCs/>
          <w:sz w:val="24"/>
          <w:szCs w:val="24"/>
          <w:lang w:val="fr-CA"/>
        </w:rPr>
        <w:t>durable des aires protégées et</w:t>
      </w:r>
      <w:r w:rsidRPr="00D31C6C">
        <w:rPr>
          <w:rFonts w:ascii="Times New Roman" w:hAnsi="Times New Roman" w:cs="Times New Roman"/>
          <w:iCs/>
          <w:sz w:val="24"/>
          <w:szCs w:val="24"/>
          <w:lang w:val="fr-CA"/>
        </w:rPr>
        <w:t xml:space="preserve"> l’importance des arbres dans la maitrise de l’eau dans les bas fonds.</w:t>
      </w:r>
    </w:p>
    <w:p w14:paraId="4084CE2E" w14:textId="77777777" w:rsidR="002409BD" w:rsidRDefault="002409BD" w:rsidP="00D31C6C">
      <w:pPr>
        <w:spacing w:after="0" w:line="240" w:lineRule="auto"/>
        <w:jc w:val="both"/>
        <w:rPr>
          <w:rFonts w:ascii="Times New Roman" w:hAnsi="Times New Roman" w:cs="Times New Roman"/>
          <w:iCs/>
          <w:sz w:val="24"/>
          <w:szCs w:val="24"/>
          <w:lang w:val="fr-CA"/>
        </w:rPr>
      </w:pPr>
    </w:p>
    <w:p w14:paraId="41E6A02A" w14:textId="14C88820" w:rsidR="00D31C6C" w:rsidRPr="00D31C6C" w:rsidRDefault="00D31C6C" w:rsidP="00D31C6C">
      <w:pPr>
        <w:spacing w:after="0" w:line="240" w:lineRule="auto"/>
        <w:jc w:val="both"/>
        <w:rPr>
          <w:rFonts w:ascii="Times New Roman" w:hAnsi="Times New Roman" w:cs="Times New Roman"/>
          <w:iCs/>
          <w:sz w:val="24"/>
          <w:szCs w:val="24"/>
          <w:lang w:val="fr-CA"/>
        </w:rPr>
      </w:pPr>
      <w:r w:rsidRPr="00D31C6C">
        <w:rPr>
          <w:rFonts w:ascii="Times New Roman" w:hAnsi="Times New Roman" w:cs="Times New Roman"/>
          <w:iCs/>
          <w:sz w:val="24"/>
          <w:szCs w:val="24"/>
          <w:lang w:val="fr-CA"/>
        </w:rPr>
        <w:t xml:space="preserve">D’autres activités ont concerné la sensibilisation sur la lutte contre la récolte sauvage du miel, la promotion et la modernisation </w:t>
      </w:r>
      <w:r w:rsidR="00963FD6">
        <w:rPr>
          <w:rFonts w:ascii="Times New Roman" w:hAnsi="Times New Roman" w:cs="Times New Roman"/>
          <w:iCs/>
          <w:sz w:val="24"/>
          <w:szCs w:val="24"/>
          <w:lang w:val="fr-CA"/>
        </w:rPr>
        <w:t>de</w:t>
      </w:r>
      <w:r w:rsidRPr="00D31C6C">
        <w:rPr>
          <w:rFonts w:ascii="Times New Roman" w:hAnsi="Times New Roman" w:cs="Times New Roman"/>
          <w:iCs/>
          <w:sz w:val="24"/>
          <w:szCs w:val="24"/>
          <w:lang w:val="fr-CA"/>
        </w:rPr>
        <w:t xml:space="preserve"> la filière bois-énergie en vue de la réduction des impacts et la pression sur la biodiversité, les causes et effets des changements climatiques, les mesures de sauvegarde des ressources naturelles, les différents types de ressources naturelles et les enjeux y afférents, les rôles et responsabilités des différents acteurs dans la conservation de la biodiversité, les bonnes pratiques de gestion durable de l’environnement et des ressources naturelles pouvant être adoptées, l’adaptation des pratiques traditionnel</w:t>
      </w:r>
      <w:r w:rsidR="00963FD6">
        <w:rPr>
          <w:rFonts w:ascii="Times New Roman" w:hAnsi="Times New Roman" w:cs="Times New Roman"/>
          <w:iCs/>
          <w:sz w:val="24"/>
          <w:szCs w:val="24"/>
          <w:lang w:val="fr-CA"/>
        </w:rPr>
        <w:t>le</w:t>
      </w:r>
      <w:r w:rsidRPr="00D31C6C">
        <w:rPr>
          <w:rFonts w:ascii="Times New Roman" w:hAnsi="Times New Roman" w:cs="Times New Roman"/>
          <w:iCs/>
          <w:sz w:val="24"/>
          <w:szCs w:val="24"/>
          <w:lang w:val="fr-CA"/>
        </w:rPr>
        <w:t>s agricoles aux effets de</w:t>
      </w:r>
      <w:r w:rsidR="00963FD6">
        <w:rPr>
          <w:rFonts w:ascii="Times New Roman" w:hAnsi="Times New Roman" w:cs="Times New Roman"/>
          <w:iCs/>
          <w:sz w:val="24"/>
          <w:szCs w:val="24"/>
          <w:lang w:val="fr-CA"/>
        </w:rPr>
        <w:t>s</w:t>
      </w:r>
      <w:r w:rsidRPr="00D31C6C">
        <w:rPr>
          <w:rFonts w:ascii="Times New Roman" w:hAnsi="Times New Roman" w:cs="Times New Roman"/>
          <w:iCs/>
          <w:sz w:val="24"/>
          <w:szCs w:val="24"/>
          <w:lang w:val="fr-CA"/>
        </w:rPr>
        <w:t xml:space="preserve"> changements climatiques, sur la conservation et l’utilisation durable des terres. Il faut aussi mentionner des tournées de sensibilisation, d’éducation sur la promotion de la biodiversité à l’intention des principaux acteurs  intervenant dans la conservation de la biodiversité au Togo, la sensibilisation des populations riveraines des AP pour la mise en place des AVGAP et UAVGAP, la sensibilisation des populations sur la promotion et la modernisation </w:t>
      </w:r>
      <w:r w:rsidR="00963FD6">
        <w:rPr>
          <w:rFonts w:ascii="Times New Roman" w:hAnsi="Times New Roman" w:cs="Times New Roman"/>
          <w:iCs/>
          <w:sz w:val="24"/>
          <w:szCs w:val="24"/>
          <w:lang w:val="fr-CA"/>
        </w:rPr>
        <w:t>de</w:t>
      </w:r>
      <w:r w:rsidRPr="00D31C6C">
        <w:rPr>
          <w:rFonts w:ascii="Times New Roman" w:hAnsi="Times New Roman" w:cs="Times New Roman"/>
          <w:iCs/>
          <w:sz w:val="24"/>
          <w:szCs w:val="24"/>
          <w:lang w:val="fr-CA"/>
        </w:rPr>
        <w:t xml:space="preserve"> la filière bois-énergie en vue de la réduction des impacts et la pression sur la biodiver</w:t>
      </w:r>
      <w:r w:rsidR="0032015A">
        <w:rPr>
          <w:rFonts w:ascii="Times New Roman" w:hAnsi="Times New Roman" w:cs="Times New Roman"/>
          <w:iCs/>
          <w:sz w:val="24"/>
          <w:szCs w:val="24"/>
          <w:lang w:val="fr-CA"/>
        </w:rPr>
        <w:t>sité.</w:t>
      </w:r>
      <w:r w:rsidRPr="00D31C6C">
        <w:rPr>
          <w:rFonts w:ascii="Times New Roman" w:hAnsi="Times New Roman" w:cs="Times New Roman"/>
          <w:iCs/>
          <w:sz w:val="24"/>
          <w:szCs w:val="24"/>
          <w:lang w:val="fr-CA"/>
        </w:rPr>
        <w:t xml:space="preserve"> </w:t>
      </w:r>
    </w:p>
    <w:p w14:paraId="479B42D9" w14:textId="77777777" w:rsidR="00D31C6C" w:rsidRPr="00D31C6C" w:rsidRDefault="00D31C6C" w:rsidP="00D31C6C">
      <w:pPr>
        <w:spacing w:after="0" w:line="240" w:lineRule="auto"/>
        <w:jc w:val="both"/>
        <w:rPr>
          <w:rFonts w:ascii="Times New Roman" w:hAnsi="Times New Roman" w:cs="Times New Roman"/>
          <w:iCs/>
          <w:sz w:val="24"/>
          <w:szCs w:val="24"/>
          <w:lang w:val="fr-CA"/>
        </w:rPr>
      </w:pPr>
    </w:p>
    <w:p w14:paraId="2A6065A3" w14:textId="141C3277" w:rsidR="00D31C6C" w:rsidRPr="00D31C6C" w:rsidRDefault="00D31C6C" w:rsidP="00D31C6C">
      <w:pPr>
        <w:spacing w:after="0" w:line="240" w:lineRule="auto"/>
        <w:jc w:val="both"/>
        <w:rPr>
          <w:rFonts w:ascii="Times New Roman" w:hAnsi="Times New Roman" w:cs="Times New Roman"/>
          <w:iCs/>
          <w:sz w:val="24"/>
          <w:szCs w:val="24"/>
          <w:lang w:val="fr-CA"/>
        </w:rPr>
      </w:pPr>
      <w:r w:rsidRPr="00D31C6C">
        <w:rPr>
          <w:rFonts w:ascii="Times New Roman" w:hAnsi="Times New Roman" w:cs="Times New Roman"/>
          <w:iCs/>
          <w:sz w:val="24"/>
          <w:szCs w:val="24"/>
          <w:lang w:val="fr-CA"/>
        </w:rPr>
        <w:t>L’approche de communication adoptée a été dans la plupart des cas inclusive, participative et interactive tant au niveau national, régional et local. Elle a visé à la fois les individus, les communautés locales, les décideurs politiques, les universitaires, les leaders d’opinion, les comités villageois de développent (CVD), les comités de développent des quartiers (CDQ), les chefs traditionnels, les responsables des groupements de producteurs et de transformateurs, les ONG, les représentant des délégations spéciales des préfecture</w:t>
      </w:r>
      <w:r w:rsidR="0032015A">
        <w:rPr>
          <w:rFonts w:ascii="Times New Roman" w:hAnsi="Times New Roman" w:cs="Times New Roman"/>
          <w:iCs/>
          <w:sz w:val="24"/>
          <w:szCs w:val="24"/>
          <w:lang w:val="fr-CA"/>
        </w:rPr>
        <w:t>s et des communes, les écoles, etc.</w:t>
      </w:r>
      <w:r w:rsidRPr="00D31C6C">
        <w:rPr>
          <w:rFonts w:ascii="Times New Roman" w:hAnsi="Times New Roman" w:cs="Times New Roman"/>
          <w:iCs/>
          <w:sz w:val="24"/>
          <w:szCs w:val="24"/>
          <w:lang w:val="fr-CA"/>
        </w:rPr>
        <w:t xml:space="preserve"> Les stratégies utilisées pour la réalisation de ces activités de sensibilisation intègre les ca</w:t>
      </w:r>
      <w:r w:rsidR="00963FD6">
        <w:rPr>
          <w:rFonts w:ascii="Times New Roman" w:hAnsi="Times New Roman" w:cs="Times New Roman"/>
          <w:iCs/>
          <w:sz w:val="24"/>
          <w:szCs w:val="24"/>
          <w:lang w:val="fr-CA"/>
        </w:rPr>
        <w:t>naux suivants. Il s’est agi de c</w:t>
      </w:r>
      <w:r w:rsidRPr="00D31C6C">
        <w:rPr>
          <w:rFonts w:ascii="Times New Roman" w:hAnsi="Times New Roman" w:cs="Times New Roman"/>
          <w:iCs/>
          <w:sz w:val="24"/>
          <w:szCs w:val="24"/>
          <w:lang w:val="fr-CA"/>
        </w:rPr>
        <w:t>aravane nationale, campagne de sensibilisation de masses et de p</w:t>
      </w:r>
      <w:r w:rsidR="0032015A">
        <w:rPr>
          <w:rFonts w:ascii="Times New Roman" w:hAnsi="Times New Roman" w:cs="Times New Roman"/>
          <w:iCs/>
          <w:sz w:val="24"/>
          <w:szCs w:val="24"/>
          <w:lang w:val="fr-CA"/>
        </w:rPr>
        <w:t>roximité, l</w:t>
      </w:r>
      <w:r w:rsidRPr="00D31C6C">
        <w:rPr>
          <w:rFonts w:ascii="Times New Roman" w:hAnsi="Times New Roman" w:cs="Times New Roman"/>
          <w:iCs/>
          <w:sz w:val="24"/>
          <w:szCs w:val="24"/>
          <w:lang w:val="fr-CA"/>
        </w:rPr>
        <w:t xml:space="preserve">es causeries communautaires, émissions radiophoniques, activités de loisirs (jeux de sociétés), distribution </w:t>
      </w:r>
      <w:r w:rsidR="00963FD6">
        <w:rPr>
          <w:rFonts w:ascii="Times New Roman" w:hAnsi="Times New Roman" w:cs="Times New Roman"/>
          <w:iCs/>
          <w:sz w:val="24"/>
          <w:szCs w:val="24"/>
          <w:lang w:val="fr-CA"/>
        </w:rPr>
        <w:t>d’</w:t>
      </w:r>
      <w:r w:rsidRPr="00D31C6C">
        <w:rPr>
          <w:rFonts w:ascii="Times New Roman" w:hAnsi="Times New Roman" w:cs="Times New Roman"/>
          <w:iCs/>
          <w:sz w:val="24"/>
          <w:szCs w:val="24"/>
          <w:lang w:val="fr-CA"/>
        </w:rPr>
        <w:t>affiches, autocolla</w:t>
      </w:r>
      <w:r w:rsidR="00963FD6">
        <w:rPr>
          <w:rFonts w:ascii="Times New Roman" w:hAnsi="Times New Roman" w:cs="Times New Roman"/>
          <w:iCs/>
          <w:sz w:val="24"/>
          <w:szCs w:val="24"/>
          <w:lang w:val="fr-CA"/>
        </w:rPr>
        <w:t>nts, t-shirt de communication, s</w:t>
      </w:r>
      <w:r w:rsidRPr="00D31C6C">
        <w:rPr>
          <w:rFonts w:ascii="Times New Roman" w:hAnsi="Times New Roman" w:cs="Times New Roman"/>
          <w:iCs/>
          <w:sz w:val="24"/>
          <w:szCs w:val="24"/>
          <w:lang w:val="fr-CA"/>
        </w:rPr>
        <w:t>ensibilisations  de la population en langue locale à  la radio. L’utilisation de ces canaux d’information et de sensibilisation a permis de touch</w:t>
      </w:r>
      <w:r w:rsidR="00963FD6">
        <w:rPr>
          <w:rFonts w:ascii="Times New Roman" w:hAnsi="Times New Roman" w:cs="Times New Roman"/>
          <w:iCs/>
          <w:sz w:val="24"/>
          <w:szCs w:val="24"/>
          <w:lang w:val="fr-CA"/>
        </w:rPr>
        <w:t>er</w:t>
      </w:r>
      <w:r w:rsidRPr="00D31C6C">
        <w:rPr>
          <w:rFonts w:ascii="Times New Roman" w:hAnsi="Times New Roman" w:cs="Times New Roman"/>
          <w:iCs/>
          <w:sz w:val="24"/>
          <w:szCs w:val="24"/>
          <w:lang w:val="fr-CA"/>
        </w:rPr>
        <w:t xml:space="preserve"> plus de trois millions d’acteurs nationaux dont </w:t>
      </w:r>
      <w:r w:rsidRPr="00D31C6C">
        <w:rPr>
          <w:rFonts w:ascii="Times New Roman" w:eastAsia="Times New Roman" w:hAnsi="Times New Roman" w:cs="Times New Roman"/>
          <w:color w:val="000000"/>
          <w:sz w:val="24"/>
          <w:szCs w:val="24"/>
          <w:lang w:eastAsia="fr-FR"/>
        </w:rPr>
        <w:t>540000 femmes environ</w:t>
      </w:r>
      <w:r w:rsidRPr="00D31C6C">
        <w:rPr>
          <w:rFonts w:ascii="Times New Roman" w:hAnsi="Times New Roman" w:cs="Times New Roman"/>
          <w:iCs/>
          <w:sz w:val="24"/>
          <w:szCs w:val="24"/>
          <w:lang w:val="fr-CA"/>
        </w:rPr>
        <w:t xml:space="preserve">. </w:t>
      </w:r>
    </w:p>
    <w:p w14:paraId="4F27D9C8" w14:textId="77777777" w:rsidR="00D31C6C" w:rsidRPr="00D31C6C" w:rsidRDefault="00D31C6C" w:rsidP="00D31C6C">
      <w:pPr>
        <w:spacing w:after="0" w:line="240" w:lineRule="auto"/>
        <w:jc w:val="both"/>
        <w:rPr>
          <w:rFonts w:ascii="Times New Roman" w:hAnsi="Times New Roman" w:cs="Times New Roman"/>
          <w:iCs/>
          <w:sz w:val="24"/>
          <w:szCs w:val="24"/>
          <w:lang w:val="fr-CA"/>
        </w:rPr>
      </w:pPr>
    </w:p>
    <w:p w14:paraId="46DAB701" w14:textId="77777777" w:rsidR="002409BD" w:rsidRDefault="00D31C6C" w:rsidP="00D31C6C">
      <w:pPr>
        <w:spacing w:after="0" w:line="240" w:lineRule="auto"/>
        <w:jc w:val="both"/>
        <w:rPr>
          <w:rFonts w:ascii="Times New Roman" w:hAnsi="Times New Roman" w:cs="Times New Roman"/>
          <w:iCs/>
          <w:sz w:val="24"/>
          <w:szCs w:val="24"/>
          <w:lang w:val="fr-CA"/>
        </w:rPr>
      </w:pPr>
      <w:r w:rsidRPr="00D31C6C">
        <w:rPr>
          <w:rFonts w:ascii="Times New Roman" w:hAnsi="Times New Roman" w:cs="Times New Roman"/>
          <w:iCs/>
          <w:sz w:val="24"/>
          <w:szCs w:val="24"/>
          <w:lang w:val="fr-CA"/>
        </w:rPr>
        <w:t>En dehors des actions de sensibilisation, des actions ont été menées pour la formation ou le renforcement des capacités des populations. A titre d’exemple, l’on peut noter la formation de 1100 acteurs dont 740 hommes et 270 femmes sur le système d’information géographique (SIG), sur les évaluations environnementales en 2018. Les acteurs ont été formés aussi sur les techniques de production de plants, les techniques de reboisement, les techniques de production du compost, les techniques de construction des ouvrages antiérosifs, les techniques de gestion et de protection des berges et de flancs de montagne, les techniques de construction des foyers améliorés économiseurs de bois, la gestion durable des ressources forestières, sur l’apiculture, sur la restauration et la protection des sols (2014).</w:t>
      </w:r>
    </w:p>
    <w:p w14:paraId="4FAB8A0A" w14:textId="77777777" w:rsidR="002409BD" w:rsidRDefault="002409BD" w:rsidP="00D31C6C">
      <w:pPr>
        <w:spacing w:after="0" w:line="240" w:lineRule="auto"/>
        <w:jc w:val="both"/>
        <w:rPr>
          <w:rFonts w:ascii="Times New Roman" w:hAnsi="Times New Roman" w:cs="Times New Roman"/>
          <w:iCs/>
          <w:sz w:val="24"/>
          <w:szCs w:val="24"/>
          <w:lang w:val="fr-CA"/>
        </w:rPr>
      </w:pPr>
    </w:p>
    <w:p w14:paraId="02DB71F6" w14:textId="43BB44ED" w:rsidR="00D31C6C" w:rsidRPr="00D31C6C" w:rsidRDefault="00D31C6C" w:rsidP="00D31C6C">
      <w:pPr>
        <w:spacing w:after="0" w:line="240" w:lineRule="auto"/>
        <w:jc w:val="both"/>
        <w:rPr>
          <w:rFonts w:ascii="Times New Roman" w:hAnsi="Times New Roman" w:cs="Times New Roman"/>
          <w:bCs/>
          <w:color w:val="000000"/>
          <w:sz w:val="24"/>
          <w:szCs w:val="24"/>
        </w:rPr>
      </w:pPr>
      <w:r w:rsidRPr="00D31C6C">
        <w:rPr>
          <w:rFonts w:ascii="Times New Roman" w:hAnsi="Times New Roman" w:cs="Times New Roman"/>
          <w:iCs/>
          <w:sz w:val="24"/>
          <w:szCs w:val="24"/>
          <w:lang w:val="fr-CA"/>
        </w:rPr>
        <w:t xml:space="preserve">Il faut aussi noter le renforcement de </w:t>
      </w:r>
      <w:r w:rsidR="00963FD6">
        <w:rPr>
          <w:rFonts w:ascii="Times New Roman" w:hAnsi="Times New Roman" w:cs="Times New Roman"/>
          <w:iCs/>
          <w:sz w:val="24"/>
          <w:szCs w:val="24"/>
          <w:lang w:val="fr-CA"/>
        </w:rPr>
        <w:t>capacités des acteurs de la chaî</w:t>
      </w:r>
      <w:r w:rsidRPr="00D31C6C">
        <w:rPr>
          <w:rFonts w:ascii="Times New Roman" w:hAnsi="Times New Roman" w:cs="Times New Roman"/>
          <w:iCs/>
          <w:sz w:val="24"/>
          <w:szCs w:val="24"/>
          <w:lang w:val="fr-CA"/>
        </w:rPr>
        <w:t>ne de contrôle  forestier sur  les procédures de contrôle forestier en 2015, le renforcement de capacités de 80  magistrats en législation forestière (2016), la formation de 44 agents des eaux et forêts en police judiciaire avec l’accompagnement de la gendarmerie nationale et du ministère de la justice. Il faut par ailleurs signaler comme action réalisée, la m</w:t>
      </w:r>
      <w:r w:rsidR="0032015A">
        <w:rPr>
          <w:rFonts w:ascii="Times New Roman" w:hAnsi="Times New Roman" w:cs="Times New Roman"/>
          <w:sz w:val="24"/>
          <w:szCs w:val="24"/>
        </w:rPr>
        <w:t>ise</w:t>
      </w:r>
      <w:r w:rsidR="00963FD6">
        <w:rPr>
          <w:rFonts w:ascii="Times New Roman" w:hAnsi="Times New Roman" w:cs="Times New Roman"/>
          <w:sz w:val="24"/>
          <w:szCs w:val="24"/>
        </w:rPr>
        <w:t xml:space="preserve"> en place d’un centre éco-</w:t>
      </w:r>
      <w:r w:rsidRPr="00D31C6C">
        <w:rPr>
          <w:rFonts w:ascii="Times New Roman" w:hAnsi="Times New Roman" w:cs="Times New Roman"/>
          <w:sz w:val="24"/>
          <w:szCs w:val="24"/>
        </w:rPr>
        <w:t xml:space="preserve">touristique de Recherches, d’Etudes, d’Expérimentation et de Formation sur la Restauration de la Biodiversité (CREFORBIO) au sein de l’écomusée Guindoua d’Aného. </w:t>
      </w:r>
      <w:r w:rsidRPr="00D31C6C">
        <w:rPr>
          <w:rFonts w:ascii="Times New Roman" w:hAnsi="Times New Roman" w:cs="Times New Roman"/>
          <w:bCs/>
          <w:color w:val="000000"/>
          <w:sz w:val="24"/>
          <w:szCs w:val="24"/>
        </w:rPr>
        <w:t>Plus de 10 000 touristes visitent actuellement le centre sans compter les élèves qui sont au nombre de 15 000 à avoir déjà visité le centre. Ainsi</w:t>
      </w:r>
      <w:r w:rsidR="0032015A">
        <w:rPr>
          <w:rFonts w:ascii="Times New Roman" w:hAnsi="Times New Roman" w:cs="Times New Roman"/>
          <w:bCs/>
          <w:color w:val="000000"/>
          <w:sz w:val="24"/>
          <w:szCs w:val="24"/>
        </w:rPr>
        <w:t>,</w:t>
      </w:r>
      <w:r w:rsidRPr="00D31C6C">
        <w:rPr>
          <w:rFonts w:ascii="Times New Roman" w:hAnsi="Times New Roman" w:cs="Times New Roman"/>
          <w:bCs/>
          <w:color w:val="000000"/>
          <w:sz w:val="24"/>
          <w:szCs w:val="24"/>
        </w:rPr>
        <w:t xml:space="preserve"> le centre à travers son parc zoologique, et son centre d’élevage</w:t>
      </w:r>
      <w:r w:rsidR="00963FD6">
        <w:rPr>
          <w:rFonts w:ascii="Times New Roman" w:hAnsi="Times New Roman" w:cs="Times New Roman"/>
          <w:bCs/>
          <w:color w:val="000000"/>
          <w:sz w:val="24"/>
          <w:szCs w:val="24"/>
        </w:rPr>
        <w:t>, ses productions végétales</w:t>
      </w:r>
      <w:r w:rsidRPr="00D31C6C">
        <w:rPr>
          <w:rFonts w:ascii="Times New Roman" w:hAnsi="Times New Roman" w:cs="Times New Roman"/>
          <w:bCs/>
          <w:color w:val="000000"/>
          <w:sz w:val="24"/>
          <w:szCs w:val="24"/>
        </w:rPr>
        <w:t xml:space="preserve">, sensibilise la population du milieu et les visiteurs sur la biodiversité. Des acteurs notamment les femmes ont été aussi formées dans le cadre des projets ProDRA, PGICT et ADAPT sur </w:t>
      </w:r>
      <w:r w:rsidR="00963FD6">
        <w:rPr>
          <w:rFonts w:ascii="Times New Roman" w:hAnsi="Times New Roman" w:cs="Times New Roman"/>
          <w:bCs/>
          <w:color w:val="000000"/>
          <w:sz w:val="24"/>
          <w:szCs w:val="24"/>
        </w:rPr>
        <w:t>la fabrication et l’utilisation d</w:t>
      </w:r>
      <w:r w:rsidRPr="00D31C6C">
        <w:rPr>
          <w:rFonts w:ascii="Times New Roman" w:hAnsi="Times New Roman" w:cs="Times New Roman"/>
          <w:bCs/>
          <w:color w:val="000000"/>
          <w:sz w:val="24"/>
          <w:szCs w:val="24"/>
        </w:rPr>
        <w:t>es foyers améliorés.</w:t>
      </w:r>
    </w:p>
    <w:p w14:paraId="37AF930E" w14:textId="77777777" w:rsidR="00D31C6C" w:rsidRPr="00D31C6C" w:rsidRDefault="00D31C6C" w:rsidP="00D31C6C">
      <w:pPr>
        <w:spacing w:after="0" w:line="240" w:lineRule="auto"/>
        <w:jc w:val="both"/>
        <w:rPr>
          <w:rFonts w:ascii="Times New Roman" w:hAnsi="Times New Roman" w:cs="Times New Roman"/>
          <w:i/>
          <w:kern w:val="22"/>
          <w:sz w:val="24"/>
          <w:szCs w:val="24"/>
          <w:lang w:val="fr-CA"/>
        </w:rPr>
      </w:pPr>
    </w:p>
    <w:p w14:paraId="65A94BC4" w14:textId="77777777" w:rsidR="00D31C6C" w:rsidRPr="00D31C6C" w:rsidRDefault="00D31C6C" w:rsidP="00D31C6C">
      <w:pPr>
        <w:autoSpaceDE w:val="0"/>
        <w:autoSpaceDN w:val="0"/>
        <w:adjustRightInd w:val="0"/>
        <w:spacing w:after="0" w:line="240" w:lineRule="auto"/>
        <w:jc w:val="both"/>
        <w:rPr>
          <w:rFonts w:ascii="Times New Roman" w:hAnsi="Times New Roman" w:cs="Times New Roman"/>
          <w:b/>
          <w:kern w:val="22"/>
          <w:sz w:val="24"/>
          <w:szCs w:val="24"/>
          <w:lang w:val="fr-CA"/>
        </w:rPr>
      </w:pPr>
      <w:r w:rsidRPr="00D31C6C">
        <w:rPr>
          <w:rFonts w:ascii="Times New Roman" w:hAnsi="Times New Roman" w:cs="Times New Roman"/>
          <w:b/>
          <w:kern w:val="22"/>
          <w:sz w:val="24"/>
          <w:szCs w:val="24"/>
          <w:lang w:val="fr-CA"/>
        </w:rPr>
        <w:t>Objectif 2 d’Aichi pour la biodiversité : Les valeurs de la diversité biologique ont été intégrées</w:t>
      </w:r>
    </w:p>
    <w:p w14:paraId="2ACC7A37" w14:textId="77777777" w:rsidR="00D31C6C" w:rsidRPr="00D31C6C" w:rsidRDefault="00D31C6C" w:rsidP="00D31C6C">
      <w:pPr>
        <w:autoSpaceDE w:val="0"/>
        <w:autoSpaceDN w:val="0"/>
        <w:adjustRightInd w:val="0"/>
        <w:spacing w:after="0" w:line="240" w:lineRule="auto"/>
        <w:jc w:val="both"/>
        <w:rPr>
          <w:rFonts w:ascii="Times New Roman" w:hAnsi="Times New Roman" w:cs="Times New Roman"/>
          <w:b/>
          <w:bCs/>
          <w:color w:val="000000"/>
          <w:sz w:val="24"/>
          <w:szCs w:val="24"/>
        </w:rPr>
      </w:pPr>
    </w:p>
    <w:p w14:paraId="01796BEC" w14:textId="4C5E8C7B" w:rsidR="00D31C6C" w:rsidRPr="00D31C6C" w:rsidRDefault="00963FD6" w:rsidP="00D31C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Plusieurs</w:t>
      </w:r>
      <w:r w:rsidR="00D31C6C" w:rsidRPr="00D31C6C">
        <w:rPr>
          <w:rFonts w:ascii="Times New Roman" w:hAnsi="Times New Roman" w:cs="Times New Roman"/>
          <w:sz w:val="24"/>
          <w:szCs w:val="24"/>
        </w:rPr>
        <w:t xml:space="preserve"> politiques, stratégies et de</w:t>
      </w:r>
      <w:r>
        <w:rPr>
          <w:rFonts w:ascii="Times New Roman" w:hAnsi="Times New Roman" w:cs="Times New Roman"/>
          <w:sz w:val="24"/>
          <w:szCs w:val="24"/>
        </w:rPr>
        <w:t>s</w:t>
      </w:r>
      <w:r w:rsidR="00D31C6C" w:rsidRPr="00D31C6C">
        <w:rPr>
          <w:rFonts w:ascii="Times New Roman" w:hAnsi="Times New Roman" w:cs="Times New Roman"/>
          <w:sz w:val="24"/>
          <w:szCs w:val="24"/>
        </w:rPr>
        <w:t xml:space="preserve"> programmes nationaux qui concourent à la gestion de la biodiversité au Togo</w:t>
      </w:r>
      <w:r w:rsidR="003E7A7D">
        <w:rPr>
          <w:rFonts w:ascii="Times New Roman" w:hAnsi="Times New Roman" w:cs="Times New Roman"/>
          <w:sz w:val="24"/>
          <w:szCs w:val="24"/>
        </w:rPr>
        <w:t>,</w:t>
      </w:r>
      <w:r w:rsidR="00D31C6C" w:rsidRPr="00D31C6C">
        <w:rPr>
          <w:rFonts w:ascii="Times New Roman" w:hAnsi="Times New Roman" w:cs="Times New Roman"/>
          <w:sz w:val="24"/>
          <w:szCs w:val="24"/>
        </w:rPr>
        <w:t xml:space="preserve"> </w:t>
      </w:r>
      <w:r>
        <w:rPr>
          <w:rFonts w:ascii="Times New Roman" w:hAnsi="Times New Roman" w:cs="Times New Roman"/>
          <w:sz w:val="24"/>
          <w:szCs w:val="24"/>
        </w:rPr>
        <w:t>ont</w:t>
      </w:r>
      <w:r w:rsidR="00D31C6C" w:rsidRPr="00D31C6C">
        <w:rPr>
          <w:rFonts w:ascii="Times New Roman" w:hAnsi="Times New Roman" w:cs="Times New Roman"/>
          <w:sz w:val="24"/>
          <w:szCs w:val="24"/>
        </w:rPr>
        <w:t xml:space="preserve"> été élaboré</w:t>
      </w:r>
      <w:r>
        <w:rPr>
          <w:rFonts w:ascii="Times New Roman" w:hAnsi="Times New Roman" w:cs="Times New Roman"/>
          <w:sz w:val="24"/>
          <w:szCs w:val="24"/>
        </w:rPr>
        <w:t>s</w:t>
      </w:r>
      <w:r w:rsidR="00D31C6C" w:rsidRPr="00D31C6C">
        <w:rPr>
          <w:rFonts w:ascii="Times New Roman" w:hAnsi="Times New Roman" w:cs="Times New Roman"/>
          <w:sz w:val="24"/>
          <w:szCs w:val="24"/>
        </w:rPr>
        <w:t>. Dans l’exécution des programmes devant permettre à terme d’assurer une meilleure conservation de la biodiversité, le gouvernement togolais a élaboré le Programme National d’Investissement pour l’Environnement et les Ressources Naturelles (PNIERN) qui consacre la promotion d’un développement participatif, équilibré et durable en lien avec  la Stratégie de Croissance Accélérée et de Promotion de l’Emploi (SCAPE). D’autres documents stratégiques et programmes ont été également adoptés et concourent à la mise en œuvr</w:t>
      </w:r>
      <w:r w:rsidR="003E7A7D">
        <w:rPr>
          <w:rFonts w:ascii="Times New Roman" w:hAnsi="Times New Roman" w:cs="Times New Roman"/>
          <w:sz w:val="24"/>
          <w:szCs w:val="24"/>
        </w:rPr>
        <w:t>e de ces différentes stratégies,</w:t>
      </w:r>
      <w:r w:rsidR="00D31C6C" w:rsidRPr="00D31C6C">
        <w:rPr>
          <w:rFonts w:ascii="Times New Roman" w:hAnsi="Times New Roman" w:cs="Times New Roman"/>
          <w:sz w:val="24"/>
          <w:szCs w:val="24"/>
        </w:rPr>
        <w:t xml:space="preserve"> on retient entre autres</w:t>
      </w:r>
      <w:r w:rsidR="003E7A7D">
        <w:rPr>
          <w:rFonts w:ascii="Times New Roman" w:hAnsi="Times New Roman" w:cs="Times New Roman"/>
          <w:sz w:val="24"/>
          <w:szCs w:val="24"/>
        </w:rPr>
        <w:t xml:space="preserve"> </w:t>
      </w:r>
      <w:r w:rsidR="00D31C6C" w:rsidRPr="00D31C6C">
        <w:rPr>
          <w:rFonts w:ascii="Times New Roman" w:hAnsi="Times New Roman" w:cs="Times New Roman"/>
          <w:sz w:val="24"/>
          <w:szCs w:val="24"/>
        </w:rPr>
        <w:t>:</w:t>
      </w:r>
    </w:p>
    <w:p w14:paraId="2A2DEB57" w14:textId="02501BAE" w:rsidR="00D31C6C" w:rsidRPr="00D31C6C"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stratégie Nationale pour la Conservation, la Restauration et la Gestion Durable des Mangroves au Togo</w:t>
      </w:r>
      <w:r w:rsidR="00963FD6">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3EAA41B2" w14:textId="77777777" w:rsidR="00D31C6C" w:rsidRPr="00D31C6C"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stratégie Nationale de Réduction des Risques et Catastrophes Naturelles au Togo ;</w:t>
      </w:r>
    </w:p>
    <w:p w14:paraId="24A72DE2" w14:textId="62403874" w:rsidR="00D31C6C" w:rsidRPr="00D31C6C"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stratégie Nationale de Gestion des Feux de Végétation</w:t>
      </w:r>
      <w:r w:rsidR="003E7A7D">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3C97FB96" w14:textId="54C297F3" w:rsidR="00D31C6C" w:rsidRPr="00D31C6C"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le plan d’action forestier national pour couvrir la période 2011 à 2035</w:t>
      </w:r>
      <w:r w:rsidR="003E7A7D">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2D9B8415" w14:textId="484C2F00" w:rsidR="00D31C6C" w:rsidRPr="00D31C6C"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le plan d’action national d’adaptation aux changements climatique (PANA)</w:t>
      </w:r>
      <w:r w:rsidR="003E7A7D">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4226E442" w14:textId="2DB3F828" w:rsidR="00D31C6C" w:rsidRPr="00D31C6C" w:rsidRDefault="00D31C6C" w:rsidP="00E50666">
      <w:pPr>
        <w:pStyle w:val="Paragraphedeliste"/>
        <w:numPr>
          <w:ilvl w:val="0"/>
          <w:numId w:val="15"/>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le plan d’Action National pour la Gestion des Ressources Environnementales Marines et Côtières (PNM)</w:t>
      </w:r>
      <w:r w:rsidR="003E7A7D">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690F8E84" w14:textId="715FCF71" w:rsidR="00D31C6C" w:rsidRPr="00D31C6C" w:rsidRDefault="0032015A" w:rsidP="00E50666">
      <w:pPr>
        <w:numPr>
          <w:ilvl w:val="0"/>
          <w:numId w:val="19"/>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 Stratégie Nationale de Gestion</w:t>
      </w:r>
      <w:r w:rsidR="00D31C6C" w:rsidRPr="00D31C6C">
        <w:rPr>
          <w:rFonts w:ascii="Times New Roman" w:hAnsi="Times New Roman" w:cs="Times New Roman"/>
          <w:sz w:val="24"/>
          <w:szCs w:val="24"/>
        </w:rPr>
        <w:t xml:space="preserve"> des Aires Protégées</w:t>
      </w:r>
      <w:r>
        <w:rPr>
          <w:rFonts w:ascii="Times New Roman" w:hAnsi="Times New Roman" w:cs="Times New Roman"/>
          <w:sz w:val="24"/>
          <w:szCs w:val="24"/>
        </w:rPr>
        <w:t xml:space="preserve"> </w:t>
      </w:r>
      <w:r w:rsidR="00D31C6C" w:rsidRPr="00D31C6C">
        <w:rPr>
          <w:rFonts w:ascii="Times New Roman" w:hAnsi="Times New Roman" w:cs="Times New Roman"/>
          <w:sz w:val="24"/>
          <w:szCs w:val="24"/>
        </w:rPr>
        <w:t>;</w:t>
      </w:r>
    </w:p>
    <w:p w14:paraId="778B93C2" w14:textId="77777777" w:rsidR="00D31C6C" w:rsidRPr="00D31C6C" w:rsidRDefault="00D31C6C" w:rsidP="00E50666">
      <w:pPr>
        <w:numPr>
          <w:ilvl w:val="0"/>
          <w:numId w:val="19"/>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le programme de Réduction des Emissions issues de la Déforestation et la Dégradation des Forêts (REDD+)</w:t>
      </w:r>
      <w:r w:rsidR="00C47F5F">
        <w:rPr>
          <w:rFonts w:ascii="Times New Roman" w:hAnsi="Times New Roman" w:cs="Times New Roman"/>
          <w:sz w:val="24"/>
          <w:szCs w:val="24"/>
        </w:rPr>
        <w:t> ;</w:t>
      </w:r>
    </w:p>
    <w:p w14:paraId="40B06D17" w14:textId="00E5B22D" w:rsidR="00D31C6C" w:rsidRPr="00D31C6C" w:rsidRDefault="00D31C6C" w:rsidP="00E50666">
      <w:pPr>
        <w:numPr>
          <w:ilvl w:val="0"/>
          <w:numId w:val="19"/>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Politique Forestière du Togo (PFT) qui s’inscrit dans cette série de plans stratégiques a dégagé dans trois axes stratégiques</w:t>
      </w:r>
      <w:r w:rsidR="003E7A7D">
        <w:rPr>
          <w:rFonts w:ascii="Times New Roman" w:hAnsi="Times New Roman" w:cs="Times New Roman"/>
          <w:sz w:val="24"/>
          <w:szCs w:val="24"/>
        </w:rPr>
        <w:t>,</w:t>
      </w:r>
      <w:r w:rsidRPr="00D31C6C">
        <w:rPr>
          <w:rFonts w:ascii="Times New Roman" w:hAnsi="Times New Roman" w:cs="Times New Roman"/>
          <w:sz w:val="24"/>
          <w:szCs w:val="24"/>
        </w:rPr>
        <w:t xml:space="preserve"> la nécessité de mise en œuvre de la RFP à travers des actions bien ciblées telles que la restauration des peuplements dégradés et conservation de la biodiversité, le développement de la foresterie privée ;</w:t>
      </w:r>
    </w:p>
    <w:p w14:paraId="4B55EFAF" w14:textId="06F1226C" w:rsidR="00D31C6C" w:rsidRPr="00D31C6C" w:rsidRDefault="00D31C6C" w:rsidP="00E50666">
      <w:pPr>
        <w:numPr>
          <w:ilvl w:val="0"/>
          <w:numId w:val="19"/>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le Plan d’Action Forestier National (PAFN, 2011-2019) qui s’inscrit dans le prolongement des politiques, stratégies et plans existants dans le secteur de la Gestion de l’Environnement et des Ressources Naturelles a aussi capitalisé tous les projets et programmes réalisés dans le domaine forestier avec un accent particulier</w:t>
      </w:r>
      <w:r w:rsidR="003E7A7D">
        <w:rPr>
          <w:rFonts w:ascii="Times New Roman" w:hAnsi="Times New Roman" w:cs="Times New Roman"/>
          <w:sz w:val="24"/>
          <w:szCs w:val="24"/>
        </w:rPr>
        <w:t>,</w:t>
      </w:r>
      <w:r w:rsidRPr="00D31C6C">
        <w:rPr>
          <w:rFonts w:ascii="Times New Roman" w:hAnsi="Times New Roman" w:cs="Times New Roman"/>
          <w:sz w:val="24"/>
          <w:szCs w:val="24"/>
        </w:rPr>
        <w:t xml:space="preserve"> surtout dans les activités de reboisement ou de restauration du paysage forestier ;</w:t>
      </w:r>
    </w:p>
    <w:p w14:paraId="3AD8EEBB" w14:textId="77777777" w:rsidR="00D31C6C" w:rsidRPr="00D31C6C" w:rsidRDefault="00D31C6C" w:rsidP="00E50666">
      <w:pPr>
        <w:pStyle w:val="DFSBulletedlist2"/>
        <w:numPr>
          <w:ilvl w:val="0"/>
          <w:numId w:val="19"/>
        </w:numPr>
        <w:tabs>
          <w:tab w:val="clear" w:pos="1134"/>
        </w:tabs>
        <w:spacing w:before="0" w:after="0" w:line="240" w:lineRule="auto"/>
        <w:rPr>
          <w:rFonts w:ascii="Times New Roman" w:hAnsi="Times New Roman"/>
          <w:sz w:val="24"/>
          <w:szCs w:val="24"/>
          <w:lang w:val="fr-FR"/>
        </w:rPr>
      </w:pPr>
      <w:r w:rsidRPr="00D31C6C">
        <w:rPr>
          <w:rFonts w:ascii="Times New Roman" w:hAnsi="Times New Roman"/>
          <w:sz w:val="24"/>
          <w:szCs w:val="24"/>
          <w:lang w:val="fr-FR"/>
        </w:rPr>
        <w:t>le Programme National d’Investissement Agricole et de Sécurité Alimentaire (PNIASA) qui prend en compte, dans les programmes agricoles, la promotion des pratiques de conservation de l’eau et du sol, de l’agroforesterie, de la sylviculture et la protection/restauration des aires protégées et des mangroves ;</w:t>
      </w:r>
    </w:p>
    <w:p w14:paraId="2F4B53D3" w14:textId="27F300DC" w:rsidR="00D31C6C" w:rsidRPr="00D31C6C" w:rsidRDefault="00D31C6C" w:rsidP="00E50666">
      <w:pPr>
        <w:numPr>
          <w:ilvl w:val="0"/>
          <w:numId w:val="19"/>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 xml:space="preserve">le Programme National de Reboisement </w:t>
      </w:r>
      <w:r w:rsidR="00515D4C">
        <w:rPr>
          <w:rFonts w:ascii="Times New Roman" w:hAnsi="Times New Roman" w:cs="Times New Roman"/>
          <w:sz w:val="24"/>
          <w:szCs w:val="24"/>
        </w:rPr>
        <w:t>(PNR) a suffisamment pris</w:t>
      </w:r>
      <w:r w:rsidRPr="00D31C6C">
        <w:rPr>
          <w:rFonts w:ascii="Times New Roman" w:hAnsi="Times New Roman" w:cs="Times New Roman"/>
          <w:sz w:val="24"/>
          <w:szCs w:val="24"/>
        </w:rPr>
        <w:t xml:space="preserve"> en compte des opportunités créées par l’adhésion du Togo au processus REDD+, de la place de la forêt et de la sylviculture dans les Objectifs du Développement Durable (ODD) et de la place de la sylviculture dans la promotion de l’économie verte ;</w:t>
      </w:r>
    </w:p>
    <w:p w14:paraId="77DBA1F6" w14:textId="144F9E6D" w:rsidR="00D31C6C" w:rsidRPr="00D31C6C" w:rsidRDefault="00D31C6C" w:rsidP="00E50666">
      <w:pPr>
        <w:numPr>
          <w:ilvl w:val="0"/>
          <w:numId w:val="19"/>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 xml:space="preserve">le Programme National d’Actions Décentralisées de gestion de l’Environnement (PNADE) qui a ambitionné de renforcer et d’appuyer les capacités des différents acteurs à intégrer les questions environnementales dans les stratégies et </w:t>
      </w:r>
      <w:r w:rsidR="003E7A7D">
        <w:rPr>
          <w:rFonts w:ascii="Times New Roman" w:hAnsi="Times New Roman" w:cs="Times New Roman"/>
          <w:sz w:val="24"/>
          <w:szCs w:val="24"/>
        </w:rPr>
        <w:t>actions de développement locale</w:t>
      </w:r>
      <w:r w:rsidRPr="00D31C6C">
        <w:rPr>
          <w:rFonts w:ascii="Times New Roman" w:hAnsi="Times New Roman" w:cs="Times New Roman"/>
          <w:sz w:val="24"/>
          <w:szCs w:val="24"/>
        </w:rPr>
        <w:t>.</w:t>
      </w:r>
    </w:p>
    <w:p w14:paraId="3FE1522E" w14:textId="77777777" w:rsidR="00D31C6C" w:rsidRPr="00D31C6C" w:rsidRDefault="00D31C6C" w:rsidP="00D31C6C">
      <w:pPr>
        <w:autoSpaceDE w:val="0"/>
        <w:autoSpaceDN w:val="0"/>
        <w:adjustRightInd w:val="0"/>
        <w:spacing w:after="0" w:line="240" w:lineRule="auto"/>
        <w:jc w:val="both"/>
        <w:rPr>
          <w:rFonts w:ascii="Times New Roman" w:hAnsi="Times New Roman" w:cs="Times New Roman"/>
          <w:bCs/>
          <w:color w:val="000000"/>
          <w:sz w:val="24"/>
          <w:szCs w:val="24"/>
        </w:rPr>
      </w:pPr>
    </w:p>
    <w:p w14:paraId="421A7345" w14:textId="3DB18D4B" w:rsidR="00D31C6C" w:rsidRPr="00D31C6C" w:rsidRDefault="00D31C6C" w:rsidP="00D31C6C">
      <w:pPr>
        <w:autoSpaceDE w:val="0"/>
        <w:autoSpaceDN w:val="0"/>
        <w:adjustRightInd w:val="0"/>
        <w:spacing w:after="0" w:line="240" w:lineRule="auto"/>
        <w:jc w:val="both"/>
        <w:rPr>
          <w:rFonts w:ascii="Times New Roman" w:hAnsi="Times New Roman" w:cs="Times New Roman"/>
          <w:b/>
          <w:kern w:val="22"/>
          <w:sz w:val="24"/>
          <w:szCs w:val="24"/>
          <w:lang w:val="fr-CA"/>
        </w:rPr>
      </w:pPr>
      <w:r w:rsidRPr="00D31C6C">
        <w:rPr>
          <w:rFonts w:ascii="Times New Roman" w:hAnsi="Times New Roman" w:cs="Times New Roman"/>
          <w:b/>
          <w:kern w:val="22"/>
          <w:sz w:val="24"/>
          <w:szCs w:val="24"/>
          <w:lang w:val="fr-CA"/>
        </w:rPr>
        <w:t xml:space="preserve">Objectif 3 </w:t>
      </w:r>
      <w:r w:rsidR="003E7A7D">
        <w:rPr>
          <w:rFonts w:ascii="Times New Roman" w:hAnsi="Times New Roman" w:cs="Times New Roman"/>
          <w:b/>
          <w:kern w:val="22"/>
          <w:sz w:val="24"/>
          <w:szCs w:val="24"/>
          <w:lang w:val="fr-CA"/>
        </w:rPr>
        <w:t>d’Aichi pour la biodiversité : r</w:t>
      </w:r>
      <w:r w:rsidRPr="00D31C6C">
        <w:rPr>
          <w:rFonts w:ascii="Times New Roman" w:hAnsi="Times New Roman" w:cs="Times New Roman"/>
          <w:b/>
          <w:kern w:val="22"/>
          <w:sz w:val="24"/>
          <w:szCs w:val="24"/>
          <w:lang w:val="fr-CA"/>
        </w:rPr>
        <w:t>éforme des</w:t>
      </w:r>
      <w:r w:rsidR="003E7A7D">
        <w:rPr>
          <w:rFonts w:ascii="Times New Roman" w:hAnsi="Times New Roman" w:cs="Times New Roman"/>
          <w:b/>
          <w:kern w:val="22"/>
          <w:sz w:val="24"/>
          <w:szCs w:val="24"/>
          <w:lang w:val="fr-CA"/>
        </w:rPr>
        <w:t xml:space="preserve"> </w:t>
      </w:r>
      <w:r w:rsidRPr="00D31C6C">
        <w:rPr>
          <w:rFonts w:ascii="Times New Roman" w:hAnsi="Times New Roman" w:cs="Times New Roman"/>
          <w:b/>
          <w:kern w:val="22"/>
          <w:sz w:val="24"/>
          <w:szCs w:val="24"/>
          <w:lang w:val="fr-CA"/>
        </w:rPr>
        <w:t>mesures d’incitation</w:t>
      </w:r>
    </w:p>
    <w:p w14:paraId="0BC4FFA0" w14:textId="77777777" w:rsidR="00A05444" w:rsidRDefault="00A05444" w:rsidP="00D31C6C">
      <w:pPr>
        <w:spacing w:after="0" w:line="240" w:lineRule="auto"/>
        <w:jc w:val="both"/>
        <w:rPr>
          <w:rFonts w:ascii="Times New Roman" w:hAnsi="Times New Roman" w:cs="Times New Roman"/>
          <w:sz w:val="24"/>
          <w:szCs w:val="24"/>
        </w:rPr>
      </w:pPr>
    </w:p>
    <w:p w14:paraId="1F8F63A3" w14:textId="5F86387B" w:rsidR="00D31C6C" w:rsidRPr="00D31C6C" w:rsidRDefault="00D31C6C" w:rsidP="00D31C6C">
      <w:p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Des efforts ont été accomplis depuis 2011 pour renforcer les cadres juridiques, institutionnels et la gouvernance de la biodiversité nationale. Comme actions menées dans ce sens, on peut retenir</w:t>
      </w:r>
      <w:r w:rsidR="003E7A7D">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5AEE14C4" w14:textId="77777777" w:rsidR="00D31C6C" w:rsidRPr="00D31C6C" w:rsidRDefault="00D31C6C" w:rsidP="00E50666">
      <w:pPr>
        <w:pStyle w:val="Paragraphedeliste"/>
        <w:numPr>
          <w:ilvl w:val="0"/>
          <w:numId w:val="20"/>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l’adoption du décret N°2011-142/PR du 8 septembre 2011 réglementant l’importation, l’exportation, la réexportation et le transit des produits forestiers ligneux ;</w:t>
      </w:r>
    </w:p>
    <w:p w14:paraId="7A9F9803" w14:textId="3B31B667" w:rsidR="00D31C6C" w:rsidRPr="00D31C6C" w:rsidRDefault="00D31C6C" w:rsidP="00E50666">
      <w:pPr>
        <w:pStyle w:val="Paragraphedeliste"/>
        <w:numPr>
          <w:ilvl w:val="0"/>
          <w:numId w:val="20"/>
        </w:numPr>
        <w:spacing w:after="0" w:line="240" w:lineRule="auto"/>
        <w:jc w:val="both"/>
        <w:rPr>
          <w:rFonts w:ascii="Times New Roman" w:eastAsia="Times New Roman" w:hAnsi="Times New Roman" w:cs="Times New Roman"/>
          <w:color w:val="000000"/>
          <w:sz w:val="24"/>
          <w:szCs w:val="24"/>
        </w:rPr>
      </w:pPr>
      <w:r w:rsidRPr="00D31C6C">
        <w:rPr>
          <w:rFonts w:ascii="Times New Roman" w:eastAsia="Times New Roman" w:hAnsi="Times New Roman" w:cs="Times New Roman"/>
          <w:color w:val="000000"/>
          <w:sz w:val="24"/>
          <w:szCs w:val="24"/>
        </w:rPr>
        <w:t>la ratification du protocole de Nagoya sur APA et le protocole additionnel de Nagoya-Kuala Lumpur sur la responsabilité et la réparation en cas de dommage résultant de l’utilisation des biotechnologies modernes</w:t>
      </w:r>
      <w:r w:rsidR="003E7A7D">
        <w:rPr>
          <w:rFonts w:ascii="Times New Roman" w:eastAsia="Times New Roman" w:hAnsi="Times New Roman" w:cs="Times New Roman"/>
          <w:color w:val="000000"/>
          <w:sz w:val="24"/>
          <w:szCs w:val="24"/>
        </w:rPr>
        <w:t xml:space="preserve"> </w:t>
      </w:r>
      <w:r w:rsidRPr="00D31C6C">
        <w:rPr>
          <w:rFonts w:ascii="Times New Roman" w:eastAsia="Times New Roman" w:hAnsi="Times New Roman" w:cs="Times New Roman"/>
          <w:color w:val="000000"/>
          <w:sz w:val="24"/>
          <w:szCs w:val="24"/>
        </w:rPr>
        <w:t>;</w:t>
      </w:r>
    </w:p>
    <w:p w14:paraId="5797B21C" w14:textId="7D2F6096" w:rsidR="00D31C6C" w:rsidRPr="00D31C6C" w:rsidRDefault="00D31C6C" w:rsidP="00E50666">
      <w:pPr>
        <w:pStyle w:val="Paragraphedeliste"/>
        <w:numPr>
          <w:ilvl w:val="0"/>
          <w:numId w:val="20"/>
        </w:numPr>
        <w:spacing w:after="0" w:line="240" w:lineRule="auto"/>
        <w:jc w:val="both"/>
        <w:rPr>
          <w:rFonts w:ascii="Times New Roman" w:eastAsia="Times New Roman" w:hAnsi="Times New Roman" w:cs="Times New Roman"/>
          <w:color w:val="000000"/>
          <w:sz w:val="24"/>
          <w:szCs w:val="24"/>
        </w:rPr>
      </w:pPr>
      <w:r w:rsidRPr="00D31C6C">
        <w:rPr>
          <w:rFonts w:ascii="Times New Roman" w:eastAsia="Times New Roman" w:hAnsi="Times New Roman" w:cs="Times New Roman"/>
          <w:color w:val="000000"/>
          <w:sz w:val="24"/>
          <w:szCs w:val="24"/>
        </w:rPr>
        <w:t>l’élaboration du manuel de création et de gestion de la foresterie communautaire ainsi que l’adoption des règlements afférents</w:t>
      </w:r>
      <w:r w:rsidR="003E7A7D">
        <w:rPr>
          <w:rFonts w:ascii="Times New Roman" w:eastAsia="Times New Roman" w:hAnsi="Times New Roman" w:cs="Times New Roman"/>
          <w:color w:val="000000"/>
          <w:sz w:val="24"/>
          <w:szCs w:val="24"/>
        </w:rPr>
        <w:t xml:space="preserve"> </w:t>
      </w:r>
      <w:r w:rsidRPr="00D31C6C">
        <w:rPr>
          <w:rFonts w:ascii="Times New Roman" w:eastAsia="Times New Roman" w:hAnsi="Times New Roman" w:cs="Times New Roman"/>
          <w:color w:val="000000"/>
          <w:sz w:val="24"/>
          <w:szCs w:val="24"/>
        </w:rPr>
        <w:t>;</w:t>
      </w:r>
    </w:p>
    <w:p w14:paraId="7198C24C" w14:textId="77777777" w:rsidR="00D31C6C" w:rsidRPr="00D31C6C" w:rsidRDefault="00D31C6C" w:rsidP="00E50666">
      <w:pPr>
        <w:pStyle w:val="Paragraphedeliste"/>
        <w:numPr>
          <w:ilvl w:val="0"/>
          <w:numId w:val="20"/>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revue du cadre juridique des aires protégées, analyse des options de classement, de déclassement et requalification et proposition d’un cadre amélioré et adapte au contexte de la décentralisation ;</w:t>
      </w:r>
    </w:p>
    <w:p w14:paraId="0C62CD8E" w14:textId="77777777" w:rsidR="00D31C6C" w:rsidRPr="00D31C6C" w:rsidRDefault="00D31C6C" w:rsidP="00E50666">
      <w:pPr>
        <w:pStyle w:val="Paragraphedeliste"/>
        <w:numPr>
          <w:ilvl w:val="0"/>
          <w:numId w:val="20"/>
        </w:numPr>
        <w:spacing w:after="0" w:line="240" w:lineRule="auto"/>
        <w:jc w:val="both"/>
        <w:rPr>
          <w:rFonts w:ascii="Times New Roman" w:eastAsia="Times New Roman" w:hAnsi="Times New Roman" w:cs="Times New Roman"/>
          <w:color w:val="222222"/>
          <w:sz w:val="24"/>
          <w:szCs w:val="24"/>
        </w:rPr>
      </w:pPr>
      <w:r w:rsidRPr="00D31C6C">
        <w:rPr>
          <w:rFonts w:ascii="Times New Roman" w:eastAsia="Times New Roman" w:hAnsi="Times New Roman" w:cs="Times New Roman"/>
          <w:color w:val="222222"/>
          <w:sz w:val="24"/>
          <w:szCs w:val="24"/>
        </w:rPr>
        <w:t>l’organisation des ateliers stratégiques et thématiques sur la gestion durables des ressources forestières ;</w:t>
      </w:r>
    </w:p>
    <w:p w14:paraId="45748273" w14:textId="77777777" w:rsidR="00D31C6C" w:rsidRPr="00D31C6C" w:rsidRDefault="00D31C6C" w:rsidP="00E50666">
      <w:pPr>
        <w:pStyle w:val="Paragraphedeliste"/>
        <w:numPr>
          <w:ilvl w:val="0"/>
          <w:numId w:val="20"/>
        </w:numPr>
        <w:spacing w:after="0" w:line="240" w:lineRule="auto"/>
        <w:jc w:val="both"/>
        <w:rPr>
          <w:rFonts w:ascii="Times New Roman" w:eastAsia="Times New Roman" w:hAnsi="Times New Roman" w:cs="Times New Roman"/>
          <w:color w:val="222222"/>
          <w:sz w:val="24"/>
          <w:szCs w:val="24"/>
        </w:rPr>
      </w:pPr>
      <w:r w:rsidRPr="00D31C6C">
        <w:rPr>
          <w:rFonts w:ascii="Times New Roman" w:eastAsia="Times New Roman" w:hAnsi="Times New Roman" w:cs="Times New Roman"/>
          <w:color w:val="222222"/>
          <w:sz w:val="24"/>
          <w:szCs w:val="24"/>
        </w:rPr>
        <w:t>le renforcement des capacités des acteurs du secteur forestier en procédure judiciaire (en juillet 2016) ;</w:t>
      </w:r>
    </w:p>
    <w:p w14:paraId="21BD42A8" w14:textId="495C9938" w:rsidR="00D31C6C" w:rsidRPr="00D31C6C" w:rsidRDefault="00515D4C" w:rsidP="00E50666">
      <w:pPr>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w:t>
      </w:r>
      <w:r w:rsidR="00D31C6C" w:rsidRPr="00D31C6C">
        <w:rPr>
          <w:rFonts w:ascii="Times New Roman" w:hAnsi="Times New Roman" w:cs="Times New Roman"/>
          <w:sz w:val="24"/>
          <w:szCs w:val="24"/>
        </w:rPr>
        <w:t>doption de la Loi-cadre sur l’aménagement du territoire  en janvier 2016 ;</w:t>
      </w:r>
    </w:p>
    <w:p w14:paraId="74B2E871" w14:textId="44FFE5BF" w:rsidR="00D31C6C" w:rsidRPr="00D31C6C" w:rsidRDefault="00515D4C" w:rsidP="00E50666">
      <w:pPr>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la validation des textes d’application de la loi-cadre</w:t>
      </w:r>
      <w:r w:rsidR="00D31C6C" w:rsidRPr="00D31C6C">
        <w:rPr>
          <w:rFonts w:ascii="Times New Roman" w:hAnsi="Times New Roman" w:cs="Times New Roman"/>
          <w:sz w:val="24"/>
          <w:szCs w:val="24"/>
        </w:rPr>
        <w:t xml:space="preserve"> en atelier national en décembre 2017 et actuellement en cours d’adoption par le Gouvernement ;</w:t>
      </w:r>
    </w:p>
    <w:p w14:paraId="0E8C26D9" w14:textId="13189BC4" w:rsidR="00D31C6C" w:rsidRPr="00D31C6C" w:rsidRDefault="00515D4C" w:rsidP="00E50666">
      <w:pPr>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D31C6C" w:rsidRPr="00D31C6C">
        <w:rPr>
          <w:rFonts w:ascii="Times New Roman" w:hAnsi="Times New Roman" w:cs="Times New Roman"/>
          <w:sz w:val="24"/>
          <w:szCs w:val="24"/>
        </w:rPr>
        <w:t xml:space="preserve">ancement du projet d’élaboration du Schéma d’aménagement transfrontalier intégré Togo-Burkina Faso ; </w:t>
      </w:r>
    </w:p>
    <w:p w14:paraId="31BB069C" w14:textId="55BC2679" w:rsidR="00D31C6C" w:rsidRPr="00D31C6C" w:rsidRDefault="00515D4C" w:rsidP="00E50666">
      <w:pPr>
        <w:pStyle w:val="Paragraphedeliste"/>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D31C6C" w:rsidRPr="00D31C6C">
        <w:rPr>
          <w:rFonts w:ascii="Times New Roman" w:hAnsi="Times New Roman" w:cs="Times New Roman"/>
          <w:sz w:val="24"/>
          <w:szCs w:val="24"/>
        </w:rPr>
        <w:t>revu</w:t>
      </w:r>
      <w:r>
        <w:rPr>
          <w:rFonts w:ascii="Times New Roman" w:hAnsi="Times New Roman" w:cs="Times New Roman"/>
          <w:sz w:val="24"/>
          <w:szCs w:val="24"/>
        </w:rPr>
        <w:t>e</w:t>
      </w:r>
      <w:r w:rsidR="00D31C6C" w:rsidRPr="00D31C6C">
        <w:rPr>
          <w:rFonts w:ascii="Times New Roman" w:hAnsi="Times New Roman" w:cs="Times New Roman"/>
          <w:sz w:val="24"/>
          <w:szCs w:val="24"/>
        </w:rPr>
        <w:t xml:space="preserve"> du cadre juridique des AP et analyse des options de classement, de déclassement et requalification et proposition d’un cadre amélioré et adapté au contexte de la </w:t>
      </w:r>
      <w:r w:rsidR="003A1836">
        <w:rPr>
          <w:rFonts w:ascii="Times New Roman" w:hAnsi="Times New Roman" w:cs="Times New Roman"/>
          <w:sz w:val="24"/>
          <w:szCs w:val="24"/>
        </w:rPr>
        <w:t>dé</w:t>
      </w:r>
      <w:r w:rsidR="00D31C6C" w:rsidRPr="00D31C6C">
        <w:rPr>
          <w:rFonts w:ascii="Times New Roman" w:hAnsi="Times New Roman" w:cs="Times New Roman"/>
          <w:sz w:val="24"/>
          <w:szCs w:val="24"/>
        </w:rPr>
        <w:t>centralisation ;</w:t>
      </w:r>
    </w:p>
    <w:p w14:paraId="6EF955DA" w14:textId="24BDC305" w:rsidR="00D31C6C" w:rsidRPr="00D31C6C" w:rsidRDefault="00515D4C" w:rsidP="00E50666">
      <w:pPr>
        <w:pStyle w:val="Paragraphedeliste"/>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D31C6C" w:rsidRPr="00D31C6C">
        <w:rPr>
          <w:rFonts w:ascii="Times New Roman" w:hAnsi="Times New Roman" w:cs="Times New Roman"/>
          <w:sz w:val="24"/>
          <w:szCs w:val="24"/>
        </w:rPr>
        <w:t>évaluation du cadre institutionnel et humain existant de gestion des AP et de proposition de stratégie de renforcement de capacité</w:t>
      </w:r>
      <w:r w:rsidR="003A1836">
        <w:rPr>
          <w:rFonts w:ascii="Times New Roman" w:hAnsi="Times New Roman" w:cs="Times New Roman"/>
          <w:sz w:val="24"/>
          <w:szCs w:val="24"/>
        </w:rPr>
        <w:t>s</w:t>
      </w:r>
      <w:r w:rsidR="00D31C6C" w:rsidRPr="00D31C6C">
        <w:rPr>
          <w:rFonts w:ascii="Times New Roman" w:hAnsi="Times New Roman" w:cs="Times New Roman"/>
          <w:sz w:val="24"/>
          <w:szCs w:val="24"/>
        </w:rPr>
        <w:t xml:space="preserve"> humain</w:t>
      </w:r>
      <w:r w:rsidR="003A1836">
        <w:rPr>
          <w:rFonts w:ascii="Times New Roman" w:hAnsi="Times New Roman" w:cs="Times New Roman"/>
          <w:sz w:val="24"/>
          <w:szCs w:val="24"/>
        </w:rPr>
        <w:t>e</w:t>
      </w:r>
      <w:r w:rsidR="00D31C6C" w:rsidRPr="00D31C6C">
        <w:rPr>
          <w:rFonts w:ascii="Times New Roman" w:hAnsi="Times New Roman" w:cs="Times New Roman"/>
          <w:sz w:val="24"/>
          <w:szCs w:val="24"/>
        </w:rPr>
        <w:t>s, matériel et formation du personnel des AP ;</w:t>
      </w:r>
    </w:p>
    <w:p w14:paraId="6E5F7B76" w14:textId="6FEF988C" w:rsidR="00A2729E" w:rsidRDefault="00515D4C" w:rsidP="00E50666">
      <w:pPr>
        <w:pStyle w:val="Paragraphedeliste"/>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D31C6C" w:rsidRPr="00D31C6C">
        <w:rPr>
          <w:rFonts w:ascii="Times New Roman" w:hAnsi="Times New Roman" w:cs="Times New Roman"/>
          <w:sz w:val="24"/>
          <w:szCs w:val="24"/>
        </w:rPr>
        <w:t>évaluation des besoins financier</w:t>
      </w:r>
      <w:r w:rsidR="003A1836">
        <w:rPr>
          <w:rFonts w:ascii="Times New Roman" w:hAnsi="Times New Roman" w:cs="Times New Roman"/>
          <w:sz w:val="24"/>
          <w:szCs w:val="24"/>
        </w:rPr>
        <w:t>s</w:t>
      </w:r>
      <w:r w:rsidR="00D31C6C" w:rsidRPr="00D31C6C">
        <w:rPr>
          <w:rFonts w:ascii="Times New Roman" w:hAnsi="Times New Roman" w:cs="Times New Roman"/>
          <w:sz w:val="24"/>
          <w:szCs w:val="24"/>
        </w:rPr>
        <w:t xml:space="preserve"> nécessaire</w:t>
      </w:r>
      <w:r w:rsidR="003A1836">
        <w:rPr>
          <w:rFonts w:ascii="Times New Roman" w:hAnsi="Times New Roman" w:cs="Times New Roman"/>
          <w:sz w:val="24"/>
          <w:szCs w:val="24"/>
        </w:rPr>
        <w:t>s</w:t>
      </w:r>
      <w:r w:rsidR="00D31C6C" w:rsidRPr="00D31C6C">
        <w:rPr>
          <w:rFonts w:ascii="Times New Roman" w:hAnsi="Times New Roman" w:cs="Times New Roman"/>
          <w:sz w:val="24"/>
          <w:szCs w:val="24"/>
        </w:rPr>
        <w:t xml:space="preserve"> à la gestion efficace des AP au Togo leur rôle économique et proposition de mécanisme de financement durable ;</w:t>
      </w:r>
    </w:p>
    <w:p w14:paraId="60105407" w14:textId="77777777" w:rsidR="00D31C6C" w:rsidRPr="00A2729E" w:rsidRDefault="00D31C6C" w:rsidP="00E50666">
      <w:pPr>
        <w:pStyle w:val="Paragraphedeliste"/>
        <w:numPr>
          <w:ilvl w:val="0"/>
          <w:numId w:val="20"/>
        </w:numPr>
        <w:spacing w:after="0" w:line="240" w:lineRule="auto"/>
        <w:jc w:val="both"/>
        <w:rPr>
          <w:rFonts w:ascii="Times New Roman" w:hAnsi="Times New Roman" w:cs="Times New Roman"/>
          <w:sz w:val="24"/>
          <w:szCs w:val="24"/>
        </w:rPr>
      </w:pPr>
      <w:r w:rsidRPr="00A2729E">
        <w:rPr>
          <w:rFonts w:ascii="Times New Roman" w:hAnsi="Times New Roman" w:cs="Times New Roman"/>
          <w:sz w:val="24"/>
          <w:szCs w:val="24"/>
        </w:rPr>
        <w:t>Signature du protocole d</w:t>
      </w:r>
      <w:r w:rsidR="00A2729E" w:rsidRPr="00A2729E">
        <w:rPr>
          <w:rFonts w:ascii="Times New Roman" w:hAnsi="Times New Roman" w:cs="Times New Roman"/>
          <w:sz w:val="24"/>
          <w:szCs w:val="24"/>
        </w:rPr>
        <w:t>’accord pour la gestion des AP.</w:t>
      </w:r>
    </w:p>
    <w:p w14:paraId="6D747B9D" w14:textId="77777777" w:rsidR="00A2729E" w:rsidRPr="00A2729E" w:rsidRDefault="00A2729E" w:rsidP="00A2729E">
      <w:pPr>
        <w:pStyle w:val="Paragraphedeliste"/>
        <w:spacing w:after="0" w:line="240" w:lineRule="auto"/>
        <w:ind w:left="360"/>
        <w:jc w:val="both"/>
        <w:rPr>
          <w:rFonts w:ascii="Times New Roman" w:eastAsia="Times New Roman" w:hAnsi="Times New Roman" w:cs="Times New Roman"/>
          <w:color w:val="222222"/>
          <w:sz w:val="24"/>
          <w:szCs w:val="24"/>
        </w:rPr>
      </w:pPr>
    </w:p>
    <w:p w14:paraId="28B72588" w14:textId="330FD1C4" w:rsidR="00D31C6C" w:rsidRPr="00D31C6C" w:rsidRDefault="00D31C6C" w:rsidP="00D31C6C">
      <w:pPr>
        <w:pStyle w:val="Paragraphedeliste"/>
        <w:spacing w:after="0" w:line="240" w:lineRule="auto"/>
        <w:ind w:left="0"/>
        <w:jc w:val="both"/>
        <w:rPr>
          <w:rFonts w:ascii="Times New Roman" w:eastAsia="Times New Roman" w:hAnsi="Times New Roman" w:cs="Times New Roman"/>
          <w:sz w:val="24"/>
          <w:szCs w:val="24"/>
        </w:rPr>
      </w:pPr>
      <w:r w:rsidRPr="00D31C6C">
        <w:rPr>
          <w:rFonts w:ascii="Times New Roman" w:eastAsia="Times New Roman" w:hAnsi="Times New Roman" w:cs="Times New Roman"/>
          <w:sz w:val="24"/>
          <w:szCs w:val="24"/>
        </w:rPr>
        <w:t xml:space="preserve">Dans cette logique, il </w:t>
      </w:r>
      <w:r w:rsidR="003A1836">
        <w:rPr>
          <w:rFonts w:ascii="Times New Roman" w:eastAsia="Times New Roman" w:hAnsi="Times New Roman" w:cs="Times New Roman"/>
          <w:sz w:val="24"/>
          <w:szCs w:val="24"/>
        </w:rPr>
        <w:t>est</w:t>
      </w:r>
      <w:r w:rsidRPr="00D31C6C">
        <w:rPr>
          <w:rFonts w:ascii="Times New Roman" w:eastAsia="Times New Roman" w:hAnsi="Times New Roman" w:cs="Times New Roman"/>
          <w:sz w:val="24"/>
          <w:szCs w:val="24"/>
        </w:rPr>
        <w:t xml:space="preserve"> procédé d’ici à 2020, à la révision de la loi n°2008-009 du 19 juin 2008 portant code forestier en vue de la prise en compte des nouveaux concepts de gestion durable des forêts notamment, changement climatique, la réduction des émissions des gaz à effet de serre issus de la déforestation et de la dégradation des forêts ( REDD+), l’accès aux ressources génétiques et le partage juste et équitable des bénéfices résultant de leurs utilisations (APA). </w:t>
      </w:r>
    </w:p>
    <w:p w14:paraId="152790AD" w14:textId="77777777" w:rsidR="00D31C6C" w:rsidRPr="00A2729E" w:rsidRDefault="00D31C6C" w:rsidP="00D31C6C">
      <w:pPr>
        <w:autoSpaceDE w:val="0"/>
        <w:autoSpaceDN w:val="0"/>
        <w:adjustRightInd w:val="0"/>
        <w:spacing w:after="0" w:line="240" w:lineRule="auto"/>
        <w:jc w:val="both"/>
        <w:rPr>
          <w:rStyle w:val="Lienhypertexte"/>
          <w:rFonts w:ascii="Times New Roman" w:hAnsi="Times New Roman" w:cs="Times New Roman"/>
          <w:i/>
          <w:iCs/>
          <w:color w:val="auto"/>
          <w:sz w:val="24"/>
          <w:szCs w:val="24"/>
        </w:rPr>
      </w:pPr>
    </w:p>
    <w:p w14:paraId="29E5EE27" w14:textId="77777777" w:rsidR="00D31C6C" w:rsidRPr="00D31C6C" w:rsidRDefault="00D31C6C" w:rsidP="00D31C6C">
      <w:pPr>
        <w:autoSpaceDE w:val="0"/>
        <w:autoSpaceDN w:val="0"/>
        <w:adjustRightInd w:val="0"/>
        <w:spacing w:after="0" w:line="240" w:lineRule="auto"/>
        <w:jc w:val="both"/>
        <w:rPr>
          <w:rFonts w:ascii="Times New Roman" w:hAnsi="Times New Roman" w:cs="Times New Roman"/>
          <w:b/>
          <w:kern w:val="22"/>
          <w:sz w:val="24"/>
          <w:szCs w:val="24"/>
          <w:lang w:val="fr-CA"/>
        </w:rPr>
      </w:pPr>
      <w:r w:rsidRPr="00D31C6C">
        <w:rPr>
          <w:rFonts w:ascii="Times New Roman" w:hAnsi="Times New Roman" w:cs="Times New Roman"/>
          <w:b/>
          <w:kern w:val="22"/>
          <w:sz w:val="24"/>
          <w:szCs w:val="24"/>
          <w:lang w:val="fr-CA"/>
        </w:rPr>
        <w:t>Objectif 4 d’Aichi pour la biodiversité : Production et consommation durables</w:t>
      </w:r>
    </w:p>
    <w:p w14:paraId="74EE1592" w14:textId="77777777" w:rsidR="00D31C6C" w:rsidRPr="00D31C6C" w:rsidRDefault="00D31C6C" w:rsidP="00A2729E">
      <w:pPr>
        <w:autoSpaceDE w:val="0"/>
        <w:autoSpaceDN w:val="0"/>
        <w:adjustRightInd w:val="0"/>
        <w:spacing w:after="0" w:line="240" w:lineRule="auto"/>
        <w:jc w:val="both"/>
        <w:rPr>
          <w:rFonts w:ascii="Times New Roman" w:hAnsi="Times New Roman" w:cs="Times New Roman"/>
          <w:b/>
          <w:kern w:val="22"/>
          <w:sz w:val="24"/>
          <w:szCs w:val="24"/>
          <w:lang w:val="fr-CA"/>
        </w:rPr>
      </w:pPr>
    </w:p>
    <w:p w14:paraId="6CBE8636" w14:textId="67B81BD6" w:rsidR="002409BD"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La biodiversité rend d’importants services aux communautés humaines. En effet, grand nombre de végétaux et d’animaux contribuent largement au régime alimentaire des différentes communautés. Dans le traitement de plusieurs maladies</w:t>
      </w:r>
      <w:r w:rsidR="00515D4C">
        <w:rPr>
          <w:rFonts w:ascii="Times New Roman" w:hAnsi="Times New Roman" w:cs="Times New Roman"/>
          <w:color w:val="000000"/>
          <w:sz w:val="24"/>
          <w:szCs w:val="24"/>
        </w:rPr>
        <w:t>,</w:t>
      </w:r>
      <w:r w:rsidRPr="00D31C6C">
        <w:rPr>
          <w:rFonts w:ascii="Times New Roman" w:hAnsi="Times New Roman" w:cs="Times New Roman"/>
          <w:color w:val="000000"/>
          <w:sz w:val="24"/>
          <w:szCs w:val="24"/>
        </w:rPr>
        <w:t xml:space="preserve"> les communautés font recours sans cesse aux plantes médicinales de leur terroir. Les produits forestiers ligneux sont utilisés comme bois énergie et bois d’œuvre. En termes de production de bois énergie par exemple, la consommation nationale actuelle des ménages en bois-énergie s’élève à 1 505 206 tonnes de bois de feu (2 150 294 m³) et à 285 245 tonnes de charbon de bois (équivalant à 4 074 923 m³ de bois), ce qui correspond à une consommation annuelle de 6,225 millions de mètres cubes de bois</w:t>
      </w:r>
      <w:r w:rsidRPr="00D31C6C">
        <w:rPr>
          <w:rFonts w:ascii="Times New Roman" w:hAnsi="Times New Roman" w:cs="Times New Roman"/>
          <w:bCs/>
          <w:color w:val="000000"/>
          <w:sz w:val="24"/>
          <w:szCs w:val="24"/>
        </w:rPr>
        <w:t>. Pour ce qui concerne le bois d’œuvre et de service, la consommation par tête d’habitant est respectivement de 0,008 m3 de sciages (MERF/FAO, 2011) et 0,08 m3 (Akpabie, 2011)</w:t>
      </w:r>
      <w:r w:rsidRPr="00D31C6C">
        <w:rPr>
          <w:rFonts w:ascii="Times New Roman" w:hAnsi="Times New Roman" w:cs="Times New Roman"/>
          <w:color w:val="000000"/>
          <w:sz w:val="24"/>
          <w:szCs w:val="24"/>
        </w:rPr>
        <w:t>. La demande en ces produits forestiers ligneux ne fait qu’augmenter au fil des années.</w:t>
      </w:r>
    </w:p>
    <w:p w14:paraId="642FAF57" w14:textId="77777777" w:rsidR="002409BD" w:rsidRDefault="002409BD" w:rsidP="00A2729E">
      <w:pPr>
        <w:spacing w:after="0" w:line="240" w:lineRule="auto"/>
        <w:jc w:val="both"/>
        <w:rPr>
          <w:rFonts w:ascii="Times New Roman" w:hAnsi="Times New Roman" w:cs="Times New Roman"/>
          <w:color w:val="000000"/>
          <w:sz w:val="24"/>
          <w:szCs w:val="24"/>
        </w:rPr>
      </w:pPr>
    </w:p>
    <w:p w14:paraId="146681D6" w14:textId="77777777" w:rsidR="00D31C6C"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 xml:space="preserve">Malheureusement, le souci du Togo d'augmenter progressivement sa couverture forestière afin de satisfaire entièrement ses besoins en ressources ligneuses à partir de ses forêts et d'améliorer continuellement la gestion de la filière selon les possibilités du pays risque d'être compromise par les mauvaises pratiques d'exploitation et de négoces ayant cours (MERF, 2016). Dans le domaine de l’agriculture, les systèmes de production en particulier dépendent fortement du climat avec une incidence sur la productivité et les niveaux de productions y compris les écosystèmes et la biodiversité qui leurs sont associée. Dans le domaine de la pêche, la pratique </w:t>
      </w:r>
      <w:r w:rsidRPr="00D31C6C">
        <w:rPr>
          <w:rFonts w:ascii="Times New Roman" w:hAnsi="Times New Roman" w:cs="Times New Roman"/>
          <w:color w:val="000000"/>
          <w:sz w:val="24"/>
          <w:szCs w:val="24"/>
          <w:lang w:eastAsia="fr-FR"/>
        </w:rPr>
        <w:t xml:space="preserve">traditionnelle, peu développée est le mode le plus répandu avec </w:t>
      </w:r>
      <w:r w:rsidRPr="00D31C6C">
        <w:rPr>
          <w:rFonts w:ascii="Times New Roman" w:hAnsi="Times New Roman" w:cs="Times New Roman"/>
          <w:color w:val="000000"/>
          <w:sz w:val="24"/>
          <w:szCs w:val="24"/>
        </w:rPr>
        <w:t>des engins inappropriés conduisant à un appauvrissement de l’ensemble des cours d’eaux à travers le pays. Il ne favorise donc pas l’exploitation dur</w:t>
      </w:r>
      <w:r w:rsidR="00A2729E">
        <w:rPr>
          <w:rFonts w:ascii="Times New Roman" w:hAnsi="Times New Roman" w:cs="Times New Roman"/>
          <w:color w:val="000000"/>
          <w:sz w:val="24"/>
          <w:szCs w:val="24"/>
        </w:rPr>
        <w:t>able des espèces halieutiques.</w:t>
      </w:r>
    </w:p>
    <w:p w14:paraId="3B8FB16E" w14:textId="77777777" w:rsidR="00A2729E" w:rsidRPr="00D31C6C" w:rsidRDefault="00A2729E" w:rsidP="00A2729E">
      <w:pPr>
        <w:spacing w:after="0" w:line="240" w:lineRule="auto"/>
        <w:jc w:val="both"/>
        <w:rPr>
          <w:rFonts w:ascii="Times New Roman" w:hAnsi="Times New Roman" w:cs="Times New Roman"/>
          <w:color w:val="000000"/>
          <w:sz w:val="24"/>
          <w:szCs w:val="24"/>
        </w:rPr>
      </w:pPr>
    </w:p>
    <w:p w14:paraId="129695C4" w14:textId="1EEF621F" w:rsidR="00A05444"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 xml:space="preserve">Pour </w:t>
      </w:r>
      <w:r w:rsidRPr="00D31C6C">
        <w:rPr>
          <w:rFonts w:ascii="Times New Roman" w:hAnsi="Times New Roman" w:cs="Times New Roman"/>
          <w:iCs/>
          <w:color w:val="000000"/>
          <w:sz w:val="24"/>
          <w:szCs w:val="24"/>
          <w:lang w:val="fr-CA"/>
        </w:rPr>
        <w:t xml:space="preserve">réduire les répercussions des secteurs de la production sur la diversité biologique, plusieurs actions ont été réalisées par l’état, les acteurs du secteur privé et les populations locales. Parmi ces actions on peut noter les actions de sensibilisation </w:t>
      </w:r>
      <w:r w:rsidRPr="00D31C6C">
        <w:rPr>
          <w:rFonts w:ascii="Times New Roman" w:hAnsi="Times New Roman" w:cs="Times New Roman"/>
          <w:color w:val="000000"/>
          <w:sz w:val="24"/>
          <w:szCs w:val="24"/>
        </w:rPr>
        <w:t xml:space="preserve">sur les mauvaises  techniques de pêches et sur l’utilisation des engins prohibés sur le lac Nangbéto, sur les conséquences nocives de l’utilisation des herbicides et sur la déforestation  dans 12 villages de 05 cantons de la préfecture d’Amou. Dans le domaine de la pêche, </w:t>
      </w:r>
      <w:r w:rsidR="003A1836">
        <w:rPr>
          <w:rFonts w:ascii="Times New Roman" w:hAnsi="Times New Roman" w:cs="Times New Roman"/>
          <w:color w:val="000000"/>
          <w:sz w:val="24"/>
          <w:szCs w:val="24"/>
        </w:rPr>
        <w:t xml:space="preserve">des </w:t>
      </w:r>
      <w:r w:rsidRPr="00D31C6C">
        <w:rPr>
          <w:rFonts w:ascii="Times New Roman" w:hAnsi="Times New Roman" w:cs="Times New Roman"/>
          <w:color w:val="000000"/>
          <w:sz w:val="24"/>
          <w:szCs w:val="24"/>
        </w:rPr>
        <w:t xml:space="preserve">actions de distribution des filets à mailles réglementaires  aux pêcheurs et de surveillance des activités de pêche sur le lac Nangbéto  au cours de la période du 15 Août au 15 Novembre de </w:t>
      </w:r>
      <w:r w:rsidR="00A05444">
        <w:rPr>
          <w:rFonts w:ascii="Times New Roman" w:hAnsi="Times New Roman" w:cs="Times New Roman"/>
          <w:color w:val="000000"/>
          <w:sz w:val="24"/>
          <w:szCs w:val="24"/>
        </w:rPr>
        <w:t>chaque année ont été réalisées.</w:t>
      </w:r>
    </w:p>
    <w:p w14:paraId="35FC3AA6" w14:textId="77777777" w:rsidR="00A05444" w:rsidRDefault="00A05444" w:rsidP="00A2729E">
      <w:pPr>
        <w:spacing w:after="0" w:line="240" w:lineRule="auto"/>
        <w:jc w:val="both"/>
        <w:rPr>
          <w:rFonts w:ascii="Times New Roman" w:hAnsi="Times New Roman" w:cs="Times New Roman"/>
          <w:color w:val="000000"/>
          <w:sz w:val="24"/>
          <w:szCs w:val="24"/>
        </w:rPr>
      </w:pPr>
    </w:p>
    <w:p w14:paraId="2862BFDB" w14:textId="75B0394C" w:rsidR="00A05444"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En matière de la production et utilisation rationnelle du bois énergie, des plantions à vocation bois énergie ont été mis</w:t>
      </w:r>
      <w:r w:rsidR="00515D4C">
        <w:rPr>
          <w:rFonts w:ascii="Times New Roman" w:hAnsi="Times New Roman" w:cs="Times New Roman"/>
          <w:color w:val="000000"/>
          <w:sz w:val="24"/>
          <w:szCs w:val="24"/>
        </w:rPr>
        <w:t>es</w:t>
      </w:r>
      <w:r w:rsidRPr="00D31C6C">
        <w:rPr>
          <w:rFonts w:ascii="Times New Roman" w:hAnsi="Times New Roman" w:cs="Times New Roman"/>
          <w:color w:val="000000"/>
          <w:sz w:val="24"/>
          <w:szCs w:val="24"/>
        </w:rPr>
        <w:t xml:space="preserve"> en place dans plusieurs communautés </w:t>
      </w:r>
      <w:r w:rsidR="003A1836">
        <w:rPr>
          <w:rFonts w:ascii="Times New Roman" w:hAnsi="Times New Roman" w:cs="Times New Roman"/>
          <w:color w:val="000000"/>
          <w:sz w:val="24"/>
          <w:szCs w:val="24"/>
        </w:rPr>
        <w:t>avec</w:t>
      </w:r>
      <w:r w:rsidRPr="00D31C6C">
        <w:rPr>
          <w:rFonts w:ascii="Times New Roman" w:hAnsi="Times New Roman" w:cs="Times New Roman"/>
          <w:color w:val="000000"/>
          <w:sz w:val="24"/>
          <w:szCs w:val="24"/>
        </w:rPr>
        <w:t xml:space="preserve"> l’appui des ONGs. En exemple, on peut noter le Proje</w:t>
      </w:r>
      <w:r w:rsidR="00C47F5F">
        <w:rPr>
          <w:rFonts w:ascii="Times New Roman" w:hAnsi="Times New Roman" w:cs="Times New Roman"/>
          <w:color w:val="000000"/>
          <w:sz w:val="24"/>
          <w:szCs w:val="24"/>
        </w:rPr>
        <w:t xml:space="preserve">t ProDRA Volet III (GIZ, MERF, </w:t>
      </w:r>
      <w:r w:rsidRPr="00D31C6C">
        <w:rPr>
          <w:rFonts w:ascii="Times New Roman" w:hAnsi="Times New Roman" w:cs="Times New Roman"/>
          <w:color w:val="000000"/>
          <w:sz w:val="24"/>
          <w:szCs w:val="24"/>
        </w:rPr>
        <w:t>ONGs EQUINAT, CADO, APDPE, JVE, Groupement Solimbia, SYTREBACT, populations locales) et le Projet de Développement Communautaire à Haute Intensité de Main d’œuvre (PDC HIMO) implémenté par l’ODEF en collaboratio</w:t>
      </w:r>
      <w:r w:rsidR="003A1836">
        <w:rPr>
          <w:rFonts w:ascii="Times New Roman" w:hAnsi="Times New Roman" w:cs="Times New Roman"/>
          <w:color w:val="000000"/>
          <w:sz w:val="24"/>
          <w:szCs w:val="24"/>
        </w:rPr>
        <w:t>n avec les ONG et Associations,</w:t>
      </w:r>
      <w:r w:rsidRPr="00D31C6C">
        <w:rPr>
          <w:rFonts w:ascii="Times New Roman" w:hAnsi="Times New Roman" w:cs="Times New Roman"/>
          <w:color w:val="000000"/>
          <w:sz w:val="24"/>
          <w:szCs w:val="24"/>
        </w:rPr>
        <w:t xml:space="preserve"> les CVD,</w:t>
      </w:r>
      <w:r w:rsidR="00A05444">
        <w:rPr>
          <w:rFonts w:ascii="Times New Roman" w:hAnsi="Times New Roman" w:cs="Times New Roman"/>
          <w:color w:val="000000"/>
          <w:sz w:val="24"/>
          <w:szCs w:val="24"/>
        </w:rPr>
        <w:t xml:space="preserve"> les CLDD, les AVGAP et UAVGAP.</w:t>
      </w:r>
    </w:p>
    <w:p w14:paraId="6F670E52" w14:textId="77777777" w:rsidR="00A05444" w:rsidRDefault="00A05444" w:rsidP="00A2729E">
      <w:pPr>
        <w:spacing w:after="0" w:line="240" w:lineRule="auto"/>
        <w:jc w:val="both"/>
        <w:rPr>
          <w:rFonts w:ascii="Times New Roman" w:hAnsi="Times New Roman" w:cs="Times New Roman"/>
          <w:color w:val="000000"/>
          <w:sz w:val="24"/>
          <w:szCs w:val="24"/>
        </w:rPr>
      </w:pPr>
    </w:p>
    <w:p w14:paraId="5F9D50DB" w14:textId="298F898D" w:rsidR="00A05444"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Allant dans le même</w:t>
      </w:r>
      <w:r w:rsidR="00515D4C">
        <w:rPr>
          <w:rFonts w:ascii="Times New Roman" w:hAnsi="Times New Roman" w:cs="Times New Roman"/>
          <w:color w:val="000000"/>
          <w:sz w:val="24"/>
          <w:szCs w:val="24"/>
        </w:rPr>
        <w:t xml:space="preserve"> sens</w:t>
      </w:r>
      <w:r w:rsidRPr="00D31C6C">
        <w:rPr>
          <w:rFonts w:ascii="Times New Roman" w:hAnsi="Times New Roman" w:cs="Times New Roman"/>
          <w:color w:val="000000"/>
          <w:sz w:val="24"/>
          <w:szCs w:val="24"/>
        </w:rPr>
        <w:t>, les actions de formations et de vulgarisation du foyer amélioré ont été menées au Togo par les ONGs, e</w:t>
      </w:r>
      <w:r w:rsidR="00A2729E">
        <w:rPr>
          <w:rFonts w:ascii="Times New Roman" w:hAnsi="Times New Roman" w:cs="Times New Roman"/>
          <w:color w:val="000000"/>
          <w:sz w:val="24"/>
          <w:szCs w:val="24"/>
        </w:rPr>
        <w:t>t le Projet ProDRA Volet III. En</w:t>
      </w:r>
      <w:r w:rsidRPr="00D31C6C">
        <w:rPr>
          <w:rFonts w:ascii="Times New Roman" w:hAnsi="Times New Roman" w:cs="Times New Roman"/>
          <w:color w:val="000000"/>
          <w:sz w:val="24"/>
          <w:szCs w:val="24"/>
        </w:rPr>
        <w:t xml:space="preserve"> matière de restauration des terres dégradées, les actions ont concerné, l</w:t>
      </w:r>
      <w:r w:rsidR="00515D4C">
        <w:rPr>
          <w:rFonts w:ascii="Times New Roman" w:hAnsi="Times New Roman" w:cs="Times New Roman"/>
          <w:color w:val="000000"/>
          <w:sz w:val="24"/>
          <w:szCs w:val="24"/>
        </w:rPr>
        <w:t>a formation des producteurs en</w:t>
      </w:r>
      <w:r w:rsidR="003A1836">
        <w:rPr>
          <w:rFonts w:ascii="Times New Roman" w:hAnsi="Times New Roman" w:cs="Times New Roman"/>
          <w:color w:val="000000"/>
          <w:sz w:val="24"/>
          <w:szCs w:val="24"/>
        </w:rPr>
        <w:t xml:space="preserve"> fabrication du compost</w:t>
      </w:r>
      <w:r w:rsidRPr="00D31C6C">
        <w:rPr>
          <w:rFonts w:ascii="Times New Roman" w:hAnsi="Times New Roman" w:cs="Times New Roman"/>
          <w:color w:val="000000"/>
          <w:sz w:val="24"/>
          <w:szCs w:val="24"/>
        </w:rPr>
        <w:t>, en gestion intégrée de la f</w:t>
      </w:r>
      <w:r w:rsidR="00515D4C">
        <w:rPr>
          <w:rFonts w:ascii="Times New Roman" w:hAnsi="Times New Roman" w:cs="Times New Roman"/>
          <w:color w:val="000000"/>
          <w:sz w:val="24"/>
          <w:szCs w:val="24"/>
        </w:rPr>
        <w:t xml:space="preserve">ertilité des sols, de l’eau et </w:t>
      </w:r>
      <w:r w:rsidRPr="00D31C6C">
        <w:rPr>
          <w:rFonts w:ascii="Times New Roman" w:hAnsi="Times New Roman" w:cs="Times New Roman"/>
          <w:color w:val="000000"/>
          <w:sz w:val="24"/>
          <w:szCs w:val="24"/>
        </w:rPr>
        <w:t>des ravageurs par les c</w:t>
      </w:r>
      <w:r w:rsidR="003A1836">
        <w:rPr>
          <w:rFonts w:ascii="Times New Roman" w:hAnsi="Times New Roman" w:cs="Times New Roman"/>
          <w:color w:val="000000"/>
          <w:sz w:val="24"/>
          <w:szCs w:val="24"/>
        </w:rPr>
        <w:t>hampignons,</w:t>
      </w:r>
      <w:r w:rsidRPr="00D31C6C">
        <w:rPr>
          <w:rFonts w:ascii="Times New Roman" w:hAnsi="Times New Roman" w:cs="Times New Roman"/>
          <w:color w:val="000000"/>
          <w:sz w:val="24"/>
          <w:szCs w:val="24"/>
        </w:rPr>
        <w:t xml:space="preserve"> la restauration de la fertilité des terres cultivables à travers la pratique de la jachère améliorée à base du pois d’angole au profit des agriculteurs, l’élaboration d’un guide simplifié de bonnes pratiques agricoles en matière de gestion durable des terres et d’adaptation des systèmes de production aux changements climatiques via le projet PNIASA. Pour ce qui concerne la production durable de bois d’œuvre et de service, plusieurs projets/activités de reboisement ont été réalisées sur la base des essences locales qu’exotiques. En exemple</w:t>
      </w:r>
      <w:r w:rsidR="00515D4C">
        <w:rPr>
          <w:rFonts w:ascii="Times New Roman" w:hAnsi="Times New Roman" w:cs="Times New Roman"/>
          <w:color w:val="000000"/>
          <w:sz w:val="24"/>
          <w:szCs w:val="24"/>
        </w:rPr>
        <w:t>,</w:t>
      </w:r>
      <w:r w:rsidRPr="00D31C6C">
        <w:rPr>
          <w:rFonts w:ascii="Times New Roman" w:hAnsi="Times New Roman" w:cs="Times New Roman"/>
          <w:color w:val="000000"/>
          <w:sz w:val="24"/>
          <w:szCs w:val="24"/>
        </w:rPr>
        <w:t xml:space="preserve"> l’on peut noter les pratiques des activités de reboisement et de plantation d’alignement dans le cadre des différents projets d’aménagement routier. Dans ce cadre</w:t>
      </w:r>
      <w:r w:rsidR="00515D4C">
        <w:rPr>
          <w:rFonts w:ascii="Times New Roman" w:hAnsi="Times New Roman" w:cs="Times New Roman"/>
          <w:color w:val="000000"/>
          <w:sz w:val="24"/>
          <w:szCs w:val="24"/>
        </w:rPr>
        <w:t>,</w:t>
      </w:r>
      <w:r w:rsidRPr="00D31C6C">
        <w:rPr>
          <w:rFonts w:ascii="Times New Roman" w:hAnsi="Times New Roman" w:cs="Times New Roman"/>
          <w:color w:val="000000"/>
          <w:sz w:val="24"/>
          <w:szCs w:val="24"/>
        </w:rPr>
        <w:t xml:space="preserve"> plus de  55 000 plants composés </w:t>
      </w:r>
      <w:r w:rsidR="003A1836">
        <w:rPr>
          <w:rFonts w:ascii="Times New Roman" w:hAnsi="Times New Roman" w:cs="Times New Roman"/>
          <w:i/>
          <w:color w:val="000000"/>
          <w:sz w:val="24"/>
          <w:szCs w:val="24"/>
        </w:rPr>
        <w:t>de Khayas</w:t>
      </w:r>
      <w:r w:rsidRPr="00D31C6C">
        <w:rPr>
          <w:rFonts w:ascii="Times New Roman" w:hAnsi="Times New Roman" w:cs="Times New Roman"/>
          <w:i/>
          <w:color w:val="000000"/>
          <w:sz w:val="24"/>
          <w:szCs w:val="24"/>
        </w:rPr>
        <w:t>senegalensis, Eucalyptus, Milletia thonningiisp Gmelina</w:t>
      </w:r>
      <w:r w:rsidRPr="00D31C6C">
        <w:rPr>
          <w:rFonts w:ascii="Times New Roman" w:hAnsi="Times New Roman" w:cs="Times New Roman"/>
          <w:color w:val="000000"/>
          <w:sz w:val="24"/>
          <w:szCs w:val="24"/>
        </w:rPr>
        <w:t>, sont mis en terre en reboisement compensatoire sur les sites d’emprunt et les voies de déviation.</w:t>
      </w:r>
    </w:p>
    <w:p w14:paraId="3133BF25" w14:textId="77777777" w:rsidR="00A05444" w:rsidRDefault="00A05444" w:rsidP="00A2729E">
      <w:pPr>
        <w:spacing w:after="0" w:line="240" w:lineRule="auto"/>
        <w:jc w:val="both"/>
        <w:rPr>
          <w:rFonts w:ascii="Times New Roman" w:hAnsi="Times New Roman" w:cs="Times New Roman"/>
          <w:color w:val="000000"/>
          <w:sz w:val="24"/>
          <w:szCs w:val="24"/>
        </w:rPr>
      </w:pPr>
    </w:p>
    <w:p w14:paraId="2938C343" w14:textId="58B7FFBD" w:rsidR="00A05444"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Dans le même sens, il faut noter la restauration des forêts naturelles, galeries et berges des fleuves par le reboisement. Toujours en matière de production et de consommation durable de bois, une étude prospective en vue de la création du marché physique national de bois d’œuvre destiné à l’exportation et à la réexportation a été réalisée. Ce marché s’inscrit dans les priorités nationales en matière de gestion durable de la forêt. Il cadre avec les objectifs de la politique forestière du pays et du plan d’action national forestier qui ambitionnent d’atteindre</w:t>
      </w:r>
      <w:r w:rsidR="00515D4C">
        <w:rPr>
          <w:rFonts w:ascii="Times New Roman" w:hAnsi="Times New Roman" w:cs="Times New Roman"/>
          <w:color w:val="000000"/>
          <w:sz w:val="24"/>
          <w:szCs w:val="24"/>
        </w:rPr>
        <w:t xml:space="preserve"> une couverture forestière de 24,24 </w:t>
      </w:r>
      <w:r w:rsidRPr="00D31C6C">
        <w:rPr>
          <w:rFonts w:ascii="Times New Roman" w:hAnsi="Times New Roman" w:cs="Times New Roman"/>
          <w:color w:val="000000"/>
          <w:sz w:val="24"/>
          <w:szCs w:val="24"/>
        </w:rPr>
        <w:t xml:space="preserve">%, couvrir entièrement les besoins du pays en produits ligneux, conserver la biodiversité et assurer une protection durable des zones à risque ainsi que les </w:t>
      </w:r>
      <w:r w:rsidR="00A05444">
        <w:rPr>
          <w:rFonts w:ascii="Times New Roman" w:hAnsi="Times New Roman" w:cs="Times New Roman"/>
          <w:color w:val="000000"/>
          <w:sz w:val="24"/>
          <w:szCs w:val="24"/>
        </w:rPr>
        <w:t>habitats de faune d’ici à 2030.</w:t>
      </w:r>
    </w:p>
    <w:p w14:paraId="01A7AC7F" w14:textId="77777777" w:rsidR="00A05444" w:rsidRDefault="00A05444" w:rsidP="00A2729E">
      <w:pPr>
        <w:spacing w:after="0" w:line="240" w:lineRule="auto"/>
        <w:jc w:val="both"/>
        <w:rPr>
          <w:rFonts w:ascii="Times New Roman" w:hAnsi="Times New Roman" w:cs="Times New Roman"/>
          <w:color w:val="000000"/>
          <w:sz w:val="24"/>
          <w:szCs w:val="24"/>
        </w:rPr>
      </w:pPr>
    </w:p>
    <w:p w14:paraId="18913EBC" w14:textId="77777777" w:rsidR="00D31C6C" w:rsidRDefault="00D31C6C" w:rsidP="00A2729E">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Ces mesures sont en adéquation avec le Sous-programme 2 «soutien à la mise en œuvre et à l'amplification des bonnes pratiques de Gestion de l’Environnement et des Ressources Naturelles (GERN) du Programme National d’Investissements pour l’Environnement et les Ressources Naturelles (PNIERN). Le MNB s’inscrit aussi dans le sous-programme 3 ‘‘Environnement, gestion durable des ressources naturelles et cadre de vie’’ de l’axe stratégique 5 ‘‘Promotion d’un développement participatif, équilibré et durable’’ de la SCAPE qui vise, entres autres, le maintien des services environnementaux des écosystèmes, la gestion durables des terres, la lutte contre les changements climatiques. L’une des actions réalisées concernent la conduite des études thématiques sur l’état des lieux et l’évaluation du potentiel des PFNL, les circuits de commercialisation ainsi que les chaines de transformation et l’évaluation de la technologie de transformation des PFNL dans le cadre du projet d’appui à la valorisation et à la modernisation de la filière des produits forestiers non ligneux au Togo financé par la FAO.</w:t>
      </w:r>
    </w:p>
    <w:p w14:paraId="1720676D" w14:textId="77777777" w:rsidR="007475D1" w:rsidRDefault="007475D1" w:rsidP="00A2729E">
      <w:pPr>
        <w:spacing w:after="0" w:line="240" w:lineRule="auto"/>
        <w:jc w:val="both"/>
        <w:rPr>
          <w:rFonts w:ascii="Times New Roman" w:hAnsi="Times New Roman" w:cs="Times New Roman"/>
          <w:color w:val="000000"/>
          <w:sz w:val="24"/>
          <w:szCs w:val="24"/>
        </w:rPr>
      </w:pPr>
    </w:p>
    <w:p w14:paraId="512C7742" w14:textId="77777777" w:rsidR="00A05444" w:rsidRPr="00D31C6C" w:rsidRDefault="00A05444" w:rsidP="00A2729E">
      <w:pPr>
        <w:spacing w:after="0" w:line="240" w:lineRule="auto"/>
        <w:jc w:val="both"/>
        <w:rPr>
          <w:rFonts w:ascii="Times New Roman" w:hAnsi="Times New Roman" w:cs="Times New Roman"/>
          <w:color w:val="000000"/>
          <w:sz w:val="24"/>
          <w:szCs w:val="24"/>
        </w:rPr>
      </w:pPr>
    </w:p>
    <w:p w14:paraId="5A8F8E44" w14:textId="77777777" w:rsidR="0038037D" w:rsidRDefault="0038037D">
      <w:pPr>
        <w:rPr>
          <w:rFonts w:ascii="Times New Roman" w:hAnsi="Times New Roman" w:cs="Times New Roman"/>
          <w:b/>
          <w:iCs/>
          <w:kern w:val="22"/>
          <w:sz w:val="24"/>
          <w:szCs w:val="24"/>
          <w:lang w:val="fr-CA"/>
        </w:rPr>
      </w:pPr>
      <w:r>
        <w:rPr>
          <w:rFonts w:ascii="Times New Roman" w:hAnsi="Times New Roman" w:cs="Times New Roman"/>
          <w:b/>
          <w:iCs/>
          <w:kern w:val="22"/>
          <w:sz w:val="24"/>
          <w:szCs w:val="24"/>
          <w:lang w:val="fr-CA"/>
        </w:rPr>
        <w:br w:type="page"/>
      </w:r>
    </w:p>
    <w:p w14:paraId="31E7F914" w14:textId="27BB4C1C" w:rsidR="00D31C6C" w:rsidRPr="00D31C6C" w:rsidRDefault="00D31C6C" w:rsidP="00A2729E">
      <w:pPr>
        <w:autoSpaceDE w:val="0"/>
        <w:autoSpaceDN w:val="0"/>
        <w:adjustRightInd w:val="0"/>
        <w:spacing w:after="0" w:line="240" w:lineRule="auto"/>
        <w:jc w:val="both"/>
        <w:rPr>
          <w:rFonts w:ascii="Times New Roman" w:hAnsi="Times New Roman" w:cs="Times New Roman"/>
          <w:b/>
          <w:iCs/>
          <w:kern w:val="22"/>
          <w:sz w:val="24"/>
          <w:szCs w:val="24"/>
          <w:lang w:val="fr-CA"/>
        </w:rPr>
      </w:pPr>
      <w:r w:rsidRPr="00D31C6C">
        <w:rPr>
          <w:rFonts w:ascii="Times New Roman" w:hAnsi="Times New Roman" w:cs="Times New Roman"/>
          <w:b/>
          <w:iCs/>
          <w:kern w:val="22"/>
          <w:sz w:val="24"/>
          <w:szCs w:val="24"/>
          <w:lang w:val="fr-CA"/>
        </w:rPr>
        <w:t>Objectif 5</w:t>
      </w:r>
      <w:r w:rsidRPr="00D31C6C">
        <w:rPr>
          <w:rFonts w:ascii="Times New Roman" w:hAnsi="Times New Roman" w:cs="Times New Roman"/>
          <w:b/>
          <w:kern w:val="22"/>
          <w:sz w:val="24"/>
          <w:szCs w:val="24"/>
          <w:lang w:val="fr-CA"/>
        </w:rPr>
        <w:t xml:space="preserve"> d’Aichi pour la biodiversité</w:t>
      </w:r>
      <w:r w:rsidR="009C4F5E">
        <w:rPr>
          <w:rFonts w:ascii="Times New Roman" w:hAnsi="Times New Roman" w:cs="Times New Roman"/>
          <w:b/>
          <w:iCs/>
          <w:kern w:val="22"/>
          <w:sz w:val="24"/>
          <w:szCs w:val="24"/>
          <w:lang w:val="fr-CA"/>
        </w:rPr>
        <w:t xml:space="preserve"> : l</w:t>
      </w:r>
      <w:r w:rsidRPr="00D31C6C">
        <w:rPr>
          <w:rFonts w:ascii="Times New Roman" w:hAnsi="Times New Roman" w:cs="Times New Roman"/>
          <w:b/>
          <w:iCs/>
          <w:kern w:val="22"/>
          <w:sz w:val="24"/>
          <w:szCs w:val="24"/>
          <w:lang w:val="fr-CA"/>
        </w:rPr>
        <w:t>’appauvrissement des habitats est réduit de moitié ou ralenti au moins</w:t>
      </w:r>
    </w:p>
    <w:p w14:paraId="2B4B4B2F" w14:textId="77777777" w:rsidR="00D31C6C" w:rsidRPr="00D31C6C" w:rsidRDefault="00D31C6C" w:rsidP="00A2729E">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2901887" w14:textId="5763955A" w:rsidR="00D31C6C" w:rsidRPr="00D31C6C" w:rsidRDefault="00D31C6C" w:rsidP="00D31C6C">
      <w:p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 xml:space="preserve">Depuis 2011, plusieurs actions ont été menées pour réduire le rythme de dégradation et de la fragmentation des habitats naturels. Les efforts de l’administration et des Organisations de la Société Civile (ONG et Associations) ont permis de sécuriser un peu plus de 26 246 ha de forêts y compris les zones de protection, dont 4 507 ha pour le compte de l’Etat et 21 785 ha pour les ONG et associations. Toutes ces superficies de forêts sécurisées représentent environ </w:t>
      </w:r>
      <w:r w:rsidRPr="00D31C6C">
        <w:rPr>
          <w:rFonts w:ascii="Times New Roman" w:hAnsi="Times New Roman" w:cs="Times New Roman"/>
          <w:iCs/>
          <w:sz w:val="24"/>
          <w:szCs w:val="24"/>
        </w:rPr>
        <w:t>2,17% des terres forestières du pays.</w:t>
      </w:r>
      <w:r w:rsidRPr="00D31C6C">
        <w:rPr>
          <w:rFonts w:ascii="Times New Roman" w:hAnsi="Times New Roman" w:cs="Times New Roman"/>
          <w:sz w:val="24"/>
          <w:szCs w:val="24"/>
        </w:rPr>
        <w:t xml:space="preserve"> Ceci est le fruit des campagnes de sensibilisation et de formation et des actions associées notamment</w:t>
      </w:r>
      <w:r w:rsidR="009C4F5E">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6D09AD56" w14:textId="77777777"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lutte contre les feux de brousse (539 animateurs endogènes formés pour relayer l’information au sein de leurs communautés respectives);</w:t>
      </w:r>
    </w:p>
    <w:p w14:paraId="274BA239" w14:textId="12D47A8A" w:rsidR="00D31C6C" w:rsidRPr="00D31C6C" w:rsidRDefault="009C4F5E" w:rsidP="00E50666">
      <w:pPr>
        <w:pStyle w:val="Paragraphedeliste"/>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D31C6C" w:rsidRPr="00D31C6C">
        <w:rPr>
          <w:rFonts w:ascii="Times New Roman" w:hAnsi="Times New Roman" w:cs="Times New Roman"/>
          <w:sz w:val="24"/>
          <w:szCs w:val="24"/>
        </w:rPr>
        <w:t>utte contre le braconnage ;</w:t>
      </w:r>
    </w:p>
    <w:p w14:paraId="1B9B375B" w14:textId="1B560DE5" w:rsidR="00D31C6C" w:rsidRPr="00D31C6C" w:rsidRDefault="009C4F5E" w:rsidP="00E50666">
      <w:pPr>
        <w:pStyle w:val="Paragraphedeliste"/>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D31C6C" w:rsidRPr="00D31C6C">
        <w:rPr>
          <w:rFonts w:ascii="Times New Roman" w:hAnsi="Times New Roman" w:cs="Times New Roman"/>
          <w:sz w:val="24"/>
          <w:szCs w:val="24"/>
        </w:rPr>
        <w:t>utte contre l’exploitation anarchique des mines et des carrières ;</w:t>
      </w:r>
    </w:p>
    <w:p w14:paraId="2CA75EF3" w14:textId="2660E1C7" w:rsidR="00D31C6C" w:rsidRPr="00D31C6C" w:rsidRDefault="009C4F5E" w:rsidP="00E50666">
      <w:pPr>
        <w:pStyle w:val="Paragraphedeliste"/>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5F0296">
        <w:rPr>
          <w:rFonts w:ascii="Times New Roman" w:hAnsi="Times New Roman" w:cs="Times New Roman"/>
          <w:sz w:val="24"/>
          <w:szCs w:val="24"/>
        </w:rPr>
        <w:t>utte contre les  activités illicites dans les zones protégées</w:t>
      </w:r>
      <w:r w:rsidR="00D31C6C" w:rsidRPr="00D31C6C">
        <w:rPr>
          <w:rFonts w:ascii="Times New Roman" w:hAnsi="Times New Roman" w:cs="Times New Roman"/>
          <w:sz w:val="24"/>
          <w:szCs w:val="24"/>
        </w:rPr>
        <w:t xml:space="preserve"> (coupe  de  bois</w:t>
      </w:r>
      <w:r w:rsidR="005F0296">
        <w:rPr>
          <w:rFonts w:ascii="Times New Roman" w:hAnsi="Times New Roman" w:cs="Times New Roman"/>
          <w:sz w:val="24"/>
          <w:szCs w:val="24"/>
        </w:rPr>
        <w:t xml:space="preserve">, pratique  de  l’agriculture, allumage de feux, pose de pièges, </w:t>
      </w:r>
      <w:r w:rsidR="00D31C6C" w:rsidRPr="00D31C6C">
        <w:rPr>
          <w:rFonts w:ascii="Times New Roman" w:hAnsi="Times New Roman" w:cs="Times New Roman"/>
          <w:sz w:val="24"/>
          <w:szCs w:val="24"/>
        </w:rPr>
        <w:t>exploitations minières, etc.) ;</w:t>
      </w:r>
    </w:p>
    <w:p w14:paraId="2BF24F4B" w14:textId="55119CFD" w:rsidR="00D31C6C" w:rsidRPr="00D31C6C" w:rsidRDefault="009C4F5E" w:rsidP="00E50666">
      <w:pPr>
        <w:pStyle w:val="Paragraphedeliste"/>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é</w:t>
      </w:r>
      <w:r w:rsidR="00D31C6C" w:rsidRPr="00D31C6C">
        <w:rPr>
          <w:rFonts w:ascii="Times New Roman" w:hAnsi="Times New Roman" w:cs="Times New Roman"/>
          <w:sz w:val="24"/>
          <w:szCs w:val="24"/>
        </w:rPr>
        <w:t>laboration des bulletins de veille environnementale sur les feux de végétation ;</w:t>
      </w:r>
    </w:p>
    <w:p w14:paraId="09D8C0DF" w14:textId="37F0035E" w:rsidR="00D31C6C" w:rsidRPr="00D31C6C" w:rsidRDefault="009C4F5E" w:rsidP="00E50666">
      <w:pPr>
        <w:pStyle w:val="Paragraphedeliste"/>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é</w:t>
      </w:r>
      <w:r w:rsidR="00D31C6C" w:rsidRPr="00D31C6C">
        <w:rPr>
          <w:rFonts w:ascii="Times New Roman" w:hAnsi="Times New Roman" w:cs="Times New Roman"/>
          <w:sz w:val="24"/>
          <w:szCs w:val="24"/>
        </w:rPr>
        <w:t xml:space="preserve">quipement des brigades de lutte contre les feux de brousse ; </w:t>
      </w:r>
    </w:p>
    <w:p w14:paraId="5B6BEF92" w14:textId="4B840796" w:rsidR="00D31C6C" w:rsidRPr="00D31C6C" w:rsidRDefault="009C4F5E" w:rsidP="00E50666">
      <w:pPr>
        <w:pStyle w:val="Paragraphedeliste"/>
        <w:numPr>
          <w:ilvl w:val="0"/>
          <w:numId w:val="2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p</w:t>
      </w:r>
      <w:r w:rsidR="00D31C6C" w:rsidRPr="00D31C6C">
        <w:rPr>
          <w:rFonts w:ascii="Times New Roman" w:hAnsi="Times New Roman" w:cs="Times New Roman"/>
          <w:sz w:val="24"/>
          <w:szCs w:val="24"/>
        </w:rPr>
        <w:t>rescription de reboisement compensatoire dans les plans de Gestion Environnementale et Sociale (PGES) des documents d’évaluation environnementale ses projets et activités au Togo ;</w:t>
      </w:r>
    </w:p>
    <w:p w14:paraId="56D29598" w14:textId="22658CF7"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distribution de plus de 2484 foyers améliorés</w:t>
      </w:r>
      <w:r w:rsidR="009C4F5E">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67C1D516" w14:textId="77777777"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l’amélioration des techniques de carbonisation au bénéfice des acteurs du domaine;</w:t>
      </w:r>
    </w:p>
    <w:p w14:paraId="1218AA47" w14:textId="2CDDAF75"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distribution des kits biogaz pour 120 ménages</w:t>
      </w:r>
      <w:r w:rsidR="009C4F5E">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57490DE1" w14:textId="4FA0D92B"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promotion de l’apiculture et de l’aquaculture</w:t>
      </w:r>
      <w:r w:rsidR="009C4F5E">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28A65166" w14:textId="25DAE6CE"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l’appui aux communautés pour la gestion durable des forêts communautaire</w:t>
      </w:r>
      <w:r w:rsidR="00515D4C">
        <w:rPr>
          <w:rFonts w:ascii="Times New Roman" w:hAnsi="Times New Roman" w:cs="Times New Roman"/>
          <w:sz w:val="24"/>
          <w:szCs w:val="24"/>
        </w:rPr>
        <w:t>s</w:t>
      </w:r>
      <w:r w:rsidRPr="00D31C6C">
        <w:rPr>
          <w:rFonts w:ascii="Times New Roman" w:hAnsi="Times New Roman" w:cs="Times New Roman"/>
          <w:sz w:val="24"/>
          <w:szCs w:val="24"/>
        </w:rPr>
        <w:t> ;</w:t>
      </w:r>
    </w:p>
    <w:p w14:paraId="0F8D75AC" w14:textId="77777777"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l’appui à l’ODEF pour le reboisement en essences locales et de mise en défens des forêts naturelles;</w:t>
      </w:r>
    </w:p>
    <w:p w14:paraId="40E80321" w14:textId="68B83344"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l’appui à la mise en terre des plants pour l’enrichissement des forêts galeries</w:t>
      </w:r>
      <w:r w:rsidR="009C4F5E">
        <w:rPr>
          <w:rFonts w:ascii="Times New Roman" w:hAnsi="Times New Roman" w:cs="Times New Roman"/>
          <w:sz w:val="24"/>
          <w:szCs w:val="24"/>
        </w:rPr>
        <w:t xml:space="preserve"> </w:t>
      </w:r>
      <w:r w:rsidRPr="00D31C6C">
        <w:rPr>
          <w:rFonts w:ascii="Times New Roman" w:hAnsi="Times New Roman" w:cs="Times New Roman"/>
          <w:sz w:val="24"/>
          <w:szCs w:val="24"/>
        </w:rPr>
        <w:t>;</w:t>
      </w:r>
    </w:p>
    <w:p w14:paraId="1FCCD2F2" w14:textId="77777777"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la mise en place des plantations  à objectif bois-énergie, bois d’œuvre et fourrage ;</w:t>
      </w:r>
    </w:p>
    <w:p w14:paraId="0FC54C1C" w14:textId="5232FD98"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 xml:space="preserve">l’élaboration d’un schéma directeur </w:t>
      </w:r>
      <w:r w:rsidR="006A2F22">
        <w:rPr>
          <w:rFonts w:ascii="Times New Roman" w:hAnsi="Times New Roman" w:cs="Times New Roman"/>
          <w:sz w:val="24"/>
          <w:szCs w:val="24"/>
        </w:rPr>
        <w:t>d’aménagement</w:t>
      </w:r>
      <w:r w:rsidR="009C4F5E">
        <w:rPr>
          <w:rFonts w:ascii="Times New Roman" w:hAnsi="Times New Roman" w:cs="Times New Roman"/>
          <w:sz w:val="24"/>
          <w:szCs w:val="24"/>
        </w:rPr>
        <w:t xml:space="preserve"> des ressources forestières ;</w:t>
      </w:r>
    </w:p>
    <w:p w14:paraId="1F057882" w14:textId="77777777" w:rsidR="00D31C6C" w:rsidRPr="00D31C6C" w:rsidRDefault="00D31C6C" w:rsidP="00E50666">
      <w:pPr>
        <w:pStyle w:val="Paragraphedeliste"/>
        <w:numPr>
          <w:ilvl w:val="0"/>
          <w:numId w:val="21"/>
        </w:num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l’élaboration de 03 Plans directeurs forestiers régionaux (PDFR).</w:t>
      </w:r>
    </w:p>
    <w:p w14:paraId="2FECDEC1" w14:textId="77777777" w:rsidR="00A2729E" w:rsidRDefault="00A2729E" w:rsidP="00D31C6C">
      <w:pPr>
        <w:autoSpaceDE w:val="0"/>
        <w:autoSpaceDN w:val="0"/>
        <w:adjustRightInd w:val="0"/>
        <w:spacing w:after="0" w:line="240" w:lineRule="auto"/>
        <w:jc w:val="both"/>
        <w:rPr>
          <w:rFonts w:ascii="Times New Roman" w:hAnsi="Times New Roman" w:cs="Times New Roman"/>
          <w:sz w:val="24"/>
          <w:szCs w:val="24"/>
        </w:rPr>
      </w:pPr>
    </w:p>
    <w:p w14:paraId="2D2A6F8D" w14:textId="3370372D" w:rsidR="00D31C6C" w:rsidRPr="00D31C6C" w:rsidRDefault="00D31C6C" w:rsidP="00D31C6C">
      <w:pPr>
        <w:autoSpaceDE w:val="0"/>
        <w:autoSpaceDN w:val="0"/>
        <w:adjustRightInd w:val="0"/>
        <w:spacing w:after="0" w:line="240" w:lineRule="auto"/>
        <w:jc w:val="both"/>
        <w:rPr>
          <w:rFonts w:ascii="Times New Roman" w:hAnsi="Times New Roman" w:cs="Times New Roman"/>
          <w:color w:val="000000"/>
          <w:sz w:val="24"/>
          <w:szCs w:val="24"/>
        </w:rPr>
      </w:pPr>
      <w:r w:rsidRPr="00D31C6C">
        <w:rPr>
          <w:rFonts w:ascii="Times New Roman" w:hAnsi="Times New Roman" w:cs="Times New Roman"/>
          <w:sz w:val="24"/>
          <w:szCs w:val="24"/>
        </w:rPr>
        <w:t>Pour la période 2017-2021, le gouvernement togolais continuera les efforts entrepris en faveur de la gestion durable des forêts et des zones de protection par l’aménagement, la restauration, le reboisement et la mise en défens de 10.022 ha de forêts dont 4000 ha pour les plantations de l’Etat, 6022 ha de forêts communautaires ainsi que l’élaboration des plans d’aménagement d’au moins 277 721 ha de forêts. Le</w:t>
      </w:r>
      <w:r w:rsidR="006A2F22">
        <w:rPr>
          <w:rFonts w:ascii="Times New Roman" w:hAnsi="Times New Roman" w:cs="Times New Roman"/>
          <w:sz w:val="24"/>
          <w:szCs w:val="24"/>
        </w:rPr>
        <w:t xml:space="preserve"> gouvernement,</w:t>
      </w:r>
      <w:r w:rsidRPr="00D31C6C">
        <w:rPr>
          <w:rFonts w:ascii="Times New Roman" w:hAnsi="Times New Roman" w:cs="Times New Roman"/>
          <w:sz w:val="24"/>
          <w:szCs w:val="24"/>
        </w:rPr>
        <w:t xml:space="preserve"> à travers le programme national de reboisement</w:t>
      </w:r>
      <w:r w:rsidR="006A2F22">
        <w:rPr>
          <w:rFonts w:ascii="Times New Roman" w:hAnsi="Times New Roman" w:cs="Times New Roman"/>
          <w:sz w:val="24"/>
          <w:szCs w:val="24"/>
        </w:rPr>
        <w:t>,</w:t>
      </w:r>
      <w:r w:rsidRPr="00D31C6C">
        <w:rPr>
          <w:rFonts w:ascii="Times New Roman" w:hAnsi="Times New Roman" w:cs="Times New Roman"/>
          <w:sz w:val="24"/>
          <w:szCs w:val="24"/>
        </w:rPr>
        <w:t xml:space="preserve"> envisage</w:t>
      </w:r>
      <w:r w:rsidRPr="00D31C6C">
        <w:rPr>
          <w:rFonts w:ascii="Times New Roman" w:hAnsi="Times New Roman" w:cs="Times New Roman"/>
          <w:bCs/>
          <w:sz w:val="24"/>
          <w:szCs w:val="24"/>
        </w:rPr>
        <w:t xml:space="preserve"> planter </w:t>
      </w:r>
      <w:r w:rsidRPr="00D31C6C">
        <w:rPr>
          <w:rFonts w:ascii="Times New Roman" w:hAnsi="Times New Roman" w:cs="Times New Roman"/>
          <w:bCs/>
          <w:color w:val="000000"/>
          <w:sz w:val="24"/>
          <w:szCs w:val="24"/>
        </w:rPr>
        <w:t xml:space="preserve">34 400 ha de nouvelles surfaces et restaurer 265 600 ha </w:t>
      </w:r>
      <w:r w:rsidRPr="00D31C6C">
        <w:rPr>
          <w:rFonts w:ascii="Times New Roman" w:hAnsi="Times New Roman" w:cs="Times New Roman"/>
          <w:color w:val="000000"/>
          <w:sz w:val="24"/>
          <w:szCs w:val="24"/>
        </w:rPr>
        <w:t xml:space="preserve">d’ici à 2021. En termes d’objectifs de reboisement ou de restauration, pour la période </w:t>
      </w:r>
      <w:r w:rsidRPr="00D31C6C">
        <w:rPr>
          <w:rFonts w:ascii="Times New Roman" w:hAnsi="Times New Roman" w:cs="Times New Roman"/>
          <w:sz w:val="24"/>
          <w:szCs w:val="24"/>
        </w:rPr>
        <w:t xml:space="preserve">2017-2021, </w:t>
      </w:r>
      <w:r w:rsidRPr="00D31C6C">
        <w:rPr>
          <w:rFonts w:ascii="Times New Roman" w:hAnsi="Times New Roman" w:cs="Times New Roman"/>
          <w:color w:val="000000"/>
          <w:sz w:val="24"/>
          <w:szCs w:val="24"/>
        </w:rPr>
        <w:t>18 200 ha de plantations de bois d’œuvre et boi</w:t>
      </w:r>
      <w:r w:rsidR="006A2F22">
        <w:rPr>
          <w:rFonts w:ascii="Times New Roman" w:hAnsi="Times New Roman" w:cs="Times New Roman"/>
          <w:color w:val="000000"/>
          <w:sz w:val="24"/>
          <w:szCs w:val="24"/>
        </w:rPr>
        <w:t>s de service, 17 200 ha de bois-</w:t>
      </w:r>
      <w:r w:rsidRPr="00D31C6C">
        <w:rPr>
          <w:rFonts w:ascii="Times New Roman" w:hAnsi="Times New Roman" w:cs="Times New Roman"/>
          <w:color w:val="000000"/>
          <w:sz w:val="24"/>
          <w:szCs w:val="24"/>
        </w:rPr>
        <w:t xml:space="preserve">énergie et 264 600 ha sous forme d’aménagements agroforestiers et d’arbres hors forêts seront mises en place. Au jour d’aujourd’hui et dans le cadre du PNR, des actions pilotes de reboisement ont été réalisées sur des sites par trois organisations non gouvernementales (ONG CADO, DNS et AE2D) locales pour la gestion et l’élaboration de plans simples d’aménagement de trois forêts communautaires sur une superficie totale de 4 750 ha et par l’ODEF pour le reboisement de 50 </w:t>
      </w:r>
      <w:r w:rsidR="006A2F22">
        <w:rPr>
          <w:rFonts w:ascii="Times New Roman" w:hAnsi="Times New Roman" w:cs="Times New Roman"/>
          <w:color w:val="000000"/>
          <w:sz w:val="24"/>
          <w:szCs w:val="24"/>
        </w:rPr>
        <w:t>ha de forêt et la mise en défens</w:t>
      </w:r>
      <w:r w:rsidRPr="00D31C6C">
        <w:rPr>
          <w:rFonts w:ascii="Times New Roman" w:hAnsi="Times New Roman" w:cs="Times New Roman"/>
          <w:color w:val="000000"/>
          <w:sz w:val="24"/>
          <w:szCs w:val="24"/>
        </w:rPr>
        <w:t xml:space="preserve"> de 17 ha de forêt</w:t>
      </w:r>
      <w:r w:rsidR="006A2F22">
        <w:rPr>
          <w:rFonts w:ascii="Times New Roman" w:hAnsi="Times New Roman" w:cs="Times New Roman"/>
          <w:color w:val="000000"/>
          <w:sz w:val="24"/>
          <w:szCs w:val="24"/>
        </w:rPr>
        <w:t>s</w:t>
      </w:r>
      <w:r w:rsidRPr="00D31C6C">
        <w:rPr>
          <w:rFonts w:ascii="Times New Roman" w:hAnsi="Times New Roman" w:cs="Times New Roman"/>
          <w:color w:val="000000"/>
          <w:sz w:val="24"/>
          <w:szCs w:val="24"/>
        </w:rPr>
        <w:t xml:space="preserve"> naturelle</w:t>
      </w:r>
      <w:r w:rsidR="006A2F22">
        <w:rPr>
          <w:rFonts w:ascii="Times New Roman" w:hAnsi="Times New Roman" w:cs="Times New Roman"/>
          <w:color w:val="000000"/>
          <w:sz w:val="24"/>
          <w:szCs w:val="24"/>
        </w:rPr>
        <w:t>s</w:t>
      </w:r>
      <w:r w:rsidRPr="00D31C6C">
        <w:rPr>
          <w:rFonts w:ascii="Times New Roman" w:hAnsi="Times New Roman" w:cs="Times New Roman"/>
          <w:color w:val="000000"/>
          <w:sz w:val="24"/>
          <w:szCs w:val="24"/>
        </w:rPr>
        <w:t xml:space="preserve"> à titre pilote.</w:t>
      </w:r>
    </w:p>
    <w:p w14:paraId="50063B1B" w14:textId="77777777" w:rsidR="00D31C6C" w:rsidRPr="006A2F22" w:rsidRDefault="00D31C6C" w:rsidP="00D31C6C">
      <w:pPr>
        <w:autoSpaceDE w:val="0"/>
        <w:autoSpaceDN w:val="0"/>
        <w:adjustRightInd w:val="0"/>
        <w:spacing w:after="0" w:line="240" w:lineRule="auto"/>
        <w:jc w:val="both"/>
        <w:rPr>
          <w:rFonts w:ascii="Times New Roman" w:hAnsi="Times New Roman" w:cs="Times New Roman"/>
          <w:i/>
          <w:iCs/>
          <w:sz w:val="24"/>
          <w:szCs w:val="24"/>
        </w:rPr>
      </w:pPr>
    </w:p>
    <w:p w14:paraId="1A164E35" w14:textId="77777777" w:rsidR="00A05444" w:rsidRPr="00D31C6C" w:rsidRDefault="00A05444" w:rsidP="00D31C6C">
      <w:pPr>
        <w:autoSpaceDE w:val="0"/>
        <w:autoSpaceDN w:val="0"/>
        <w:adjustRightInd w:val="0"/>
        <w:spacing w:after="0" w:line="240" w:lineRule="auto"/>
        <w:jc w:val="both"/>
        <w:rPr>
          <w:rFonts w:ascii="Times New Roman" w:hAnsi="Times New Roman" w:cs="Times New Roman"/>
          <w:i/>
          <w:iCs/>
          <w:sz w:val="24"/>
          <w:szCs w:val="24"/>
          <w:lang w:val="fr-CA"/>
        </w:rPr>
      </w:pPr>
    </w:p>
    <w:p w14:paraId="6726DF0E" w14:textId="77777777" w:rsidR="0038037D" w:rsidRDefault="0038037D">
      <w:pPr>
        <w:rPr>
          <w:rFonts w:ascii="Times New Roman" w:hAnsi="Times New Roman" w:cs="Times New Roman"/>
          <w:b/>
          <w:iCs/>
          <w:kern w:val="22"/>
          <w:sz w:val="24"/>
          <w:szCs w:val="24"/>
          <w:lang w:val="fr-CA"/>
        </w:rPr>
      </w:pPr>
      <w:r>
        <w:rPr>
          <w:rFonts w:ascii="Times New Roman" w:hAnsi="Times New Roman" w:cs="Times New Roman"/>
          <w:b/>
          <w:iCs/>
          <w:kern w:val="22"/>
          <w:sz w:val="24"/>
          <w:szCs w:val="24"/>
          <w:lang w:val="fr-CA"/>
        </w:rPr>
        <w:br w:type="page"/>
      </w:r>
    </w:p>
    <w:p w14:paraId="64C30119" w14:textId="1E260691" w:rsidR="00D31C6C" w:rsidRPr="00D31C6C" w:rsidRDefault="00D31C6C" w:rsidP="00D31C6C">
      <w:pPr>
        <w:autoSpaceDE w:val="0"/>
        <w:autoSpaceDN w:val="0"/>
        <w:adjustRightInd w:val="0"/>
        <w:spacing w:after="0" w:line="240" w:lineRule="auto"/>
        <w:jc w:val="both"/>
        <w:rPr>
          <w:rFonts w:ascii="Times New Roman" w:hAnsi="Times New Roman" w:cs="Times New Roman"/>
          <w:b/>
          <w:bCs/>
          <w:color w:val="000000"/>
          <w:sz w:val="24"/>
          <w:szCs w:val="24"/>
        </w:rPr>
      </w:pPr>
      <w:r w:rsidRPr="00D31C6C">
        <w:rPr>
          <w:rFonts w:ascii="Times New Roman" w:hAnsi="Times New Roman" w:cs="Times New Roman"/>
          <w:b/>
          <w:iCs/>
          <w:kern w:val="22"/>
          <w:sz w:val="24"/>
          <w:szCs w:val="24"/>
          <w:lang w:val="fr-CA"/>
        </w:rPr>
        <w:t xml:space="preserve">Objectif 6 </w:t>
      </w:r>
      <w:r w:rsidRPr="00D31C6C">
        <w:rPr>
          <w:rFonts w:ascii="Times New Roman" w:hAnsi="Times New Roman" w:cs="Times New Roman"/>
          <w:b/>
          <w:kern w:val="22"/>
          <w:sz w:val="24"/>
          <w:szCs w:val="24"/>
          <w:lang w:val="fr-CA"/>
        </w:rPr>
        <w:t xml:space="preserve">d’Aichi pour la biodiversité </w:t>
      </w:r>
      <w:r w:rsidR="006A2F22">
        <w:rPr>
          <w:rFonts w:ascii="Times New Roman" w:hAnsi="Times New Roman" w:cs="Times New Roman"/>
          <w:b/>
          <w:iCs/>
          <w:kern w:val="22"/>
          <w:sz w:val="24"/>
          <w:szCs w:val="24"/>
          <w:lang w:val="fr-CA"/>
        </w:rPr>
        <w:t>: g</w:t>
      </w:r>
      <w:r w:rsidRPr="00D31C6C">
        <w:rPr>
          <w:rFonts w:ascii="Times New Roman" w:hAnsi="Times New Roman" w:cs="Times New Roman"/>
          <w:b/>
          <w:iCs/>
          <w:kern w:val="22"/>
          <w:sz w:val="24"/>
          <w:szCs w:val="24"/>
          <w:lang w:val="fr-CA"/>
        </w:rPr>
        <w:t>estion durable des ressources halieutiques</w:t>
      </w:r>
    </w:p>
    <w:p w14:paraId="280DFE9D" w14:textId="77777777" w:rsidR="00D31C6C" w:rsidRPr="00D31C6C" w:rsidRDefault="00D31C6C" w:rsidP="00D31C6C">
      <w:pPr>
        <w:spacing w:after="0" w:line="240" w:lineRule="auto"/>
        <w:jc w:val="both"/>
        <w:rPr>
          <w:rFonts w:ascii="Times New Roman" w:hAnsi="Times New Roman" w:cs="Times New Roman"/>
          <w:i/>
          <w:iCs/>
          <w:sz w:val="24"/>
          <w:szCs w:val="24"/>
          <w:lang w:val="fr-CA"/>
        </w:rPr>
      </w:pPr>
    </w:p>
    <w:p w14:paraId="562811A9" w14:textId="77777777" w:rsidR="001A3677" w:rsidRDefault="001A3677" w:rsidP="001A3677">
      <w:p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 xml:space="preserve">La quantité de poissons produite au niveau national </w:t>
      </w:r>
      <w:r>
        <w:rPr>
          <w:rFonts w:ascii="Times New Roman" w:hAnsi="Times New Roman" w:cs="Times New Roman"/>
          <w:sz w:val="24"/>
          <w:szCs w:val="24"/>
        </w:rPr>
        <w:t>est passée de 19 887 tonnes en 2014 à 27 000 tonnes en 2017</w:t>
      </w:r>
      <w:r w:rsidRPr="00D31C6C">
        <w:rPr>
          <w:rFonts w:ascii="Times New Roman" w:hAnsi="Times New Roman" w:cs="Times New Roman"/>
          <w:sz w:val="24"/>
          <w:szCs w:val="24"/>
        </w:rPr>
        <w:t xml:space="preserve">. Cette production halieutique nationale a couvert moins de 25% des besoins en 2014 et 2015. Par ailleurs, l’aquaculture représente une part faible de l’offre nationale en produits halieutiques, même si la production piscicole a augmenté considérablement, passant de 25 tonnes en 2014 à </w:t>
      </w:r>
      <w:r>
        <w:rPr>
          <w:rFonts w:ascii="Times New Roman" w:hAnsi="Times New Roman" w:cs="Times New Roman"/>
          <w:sz w:val="24"/>
          <w:szCs w:val="24"/>
        </w:rPr>
        <w:t>132</w:t>
      </w:r>
      <w:r w:rsidRPr="00D31C6C">
        <w:rPr>
          <w:rFonts w:ascii="Times New Roman" w:hAnsi="Times New Roman" w:cs="Times New Roman"/>
          <w:sz w:val="24"/>
          <w:szCs w:val="24"/>
        </w:rPr>
        <w:t xml:space="preserve"> tonnes en 201</w:t>
      </w:r>
      <w:r>
        <w:rPr>
          <w:rFonts w:ascii="Times New Roman" w:hAnsi="Times New Roman" w:cs="Times New Roman"/>
          <w:sz w:val="24"/>
          <w:szCs w:val="24"/>
        </w:rPr>
        <w:t>7</w:t>
      </w:r>
      <w:r w:rsidRPr="00D31C6C">
        <w:rPr>
          <w:rFonts w:ascii="Times New Roman" w:hAnsi="Times New Roman" w:cs="Times New Roman"/>
          <w:sz w:val="24"/>
          <w:szCs w:val="24"/>
        </w:rPr>
        <w:t xml:space="preserve">. Il faut préciser que </w:t>
      </w:r>
      <w:r>
        <w:rPr>
          <w:rFonts w:ascii="Times New Roman" w:hAnsi="Times New Roman" w:cs="Times New Roman"/>
          <w:sz w:val="24"/>
          <w:szCs w:val="24"/>
        </w:rPr>
        <w:t>les potentiels halieutiques des plans d’eau (continentaux et ZEE) au Togo sont faibles et que l’on enregistre des activités de pêche illégales</w:t>
      </w:r>
      <w:r w:rsidRPr="00D31C6C">
        <w:rPr>
          <w:rFonts w:ascii="Times New Roman" w:hAnsi="Times New Roman" w:cs="Times New Roman"/>
          <w:sz w:val="24"/>
          <w:szCs w:val="24"/>
        </w:rPr>
        <w:t>. En effet, les activités de pêche sont quotidiennes avec des engins inappropriés et ne favorisent donc pas l’exploitation durable des espèces halieutiques.</w:t>
      </w:r>
    </w:p>
    <w:p w14:paraId="5A3A5776" w14:textId="77777777" w:rsidR="001A3677" w:rsidRDefault="001A3677" w:rsidP="001A3677">
      <w:pPr>
        <w:spacing w:after="0" w:line="240" w:lineRule="auto"/>
        <w:jc w:val="both"/>
        <w:rPr>
          <w:rFonts w:ascii="Times New Roman" w:hAnsi="Times New Roman" w:cs="Times New Roman"/>
          <w:sz w:val="24"/>
          <w:szCs w:val="24"/>
        </w:rPr>
      </w:pPr>
    </w:p>
    <w:p w14:paraId="0B3A2642" w14:textId="1F9631C2" w:rsidR="001A3677" w:rsidRDefault="001A3677" w:rsidP="001A3677">
      <w:pPr>
        <w:spacing w:after="0" w:line="240" w:lineRule="auto"/>
        <w:jc w:val="both"/>
        <w:rPr>
          <w:rFonts w:ascii="Times New Roman" w:hAnsi="Times New Roman" w:cs="Times New Roman"/>
          <w:sz w:val="24"/>
          <w:szCs w:val="24"/>
        </w:rPr>
      </w:pPr>
      <w:r w:rsidRPr="00D31C6C">
        <w:rPr>
          <w:rFonts w:ascii="Times New Roman" w:hAnsi="Times New Roman" w:cs="Times New Roman"/>
          <w:sz w:val="24"/>
          <w:szCs w:val="24"/>
        </w:rPr>
        <w:t>Pour palier ces problèmes, plusieurs actions ont été réalisées. Au rang de ces actions, on peut noter l’</w:t>
      </w:r>
      <w:r w:rsidRPr="00D31C6C">
        <w:rPr>
          <w:rFonts w:ascii="Times New Roman" w:hAnsi="Times New Roman" w:cs="Times New Roman"/>
          <w:iCs/>
          <w:sz w:val="24"/>
          <w:szCs w:val="24"/>
          <w:lang w:val="fr-CA"/>
        </w:rPr>
        <w:t xml:space="preserve">élaboration et </w:t>
      </w:r>
      <w:r w:rsidR="006A2F22">
        <w:rPr>
          <w:rFonts w:ascii="Times New Roman" w:hAnsi="Times New Roman" w:cs="Times New Roman"/>
          <w:iCs/>
          <w:sz w:val="24"/>
          <w:szCs w:val="24"/>
          <w:lang w:val="fr-CA"/>
        </w:rPr>
        <w:t xml:space="preserve">la </w:t>
      </w:r>
      <w:r w:rsidRPr="00D31C6C">
        <w:rPr>
          <w:rFonts w:ascii="Times New Roman" w:hAnsi="Times New Roman" w:cs="Times New Roman"/>
          <w:iCs/>
          <w:sz w:val="24"/>
          <w:szCs w:val="24"/>
          <w:lang w:val="fr-CA"/>
        </w:rPr>
        <w:t xml:space="preserve">validation des plans de gestion des Zones Humides des bassins de la rivière Haho et du Lac Boko, de la riviére Zio et de l’Aval du fleuve Mono, de la bande côtière annexe et du Chenal de Gbaga dans le cadre de la mise en œuvre </w:t>
      </w:r>
      <w:r w:rsidR="00515D4C">
        <w:rPr>
          <w:rFonts w:ascii="Times New Roman" w:hAnsi="Times New Roman" w:cs="Times New Roman"/>
          <w:iCs/>
          <w:sz w:val="24"/>
          <w:szCs w:val="24"/>
          <w:lang w:val="fr-CA"/>
        </w:rPr>
        <w:t xml:space="preserve">de la </w:t>
      </w:r>
      <w:r w:rsidRPr="00D31C6C">
        <w:rPr>
          <w:rFonts w:ascii="Times New Roman" w:hAnsi="Times New Roman" w:cs="Times New Roman"/>
          <w:iCs/>
          <w:sz w:val="24"/>
          <w:szCs w:val="24"/>
          <w:lang w:val="fr-CA"/>
        </w:rPr>
        <w:t xml:space="preserve">Convention sur les zones humides. </w:t>
      </w:r>
      <w:r w:rsidRPr="00D31C6C">
        <w:rPr>
          <w:rFonts w:ascii="Times New Roman" w:hAnsi="Times New Roman" w:cs="Times New Roman"/>
          <w:sz w:val="24"/>
          <w:szCs w:val="24"/>
        </w:rPr>
        <w:t xml:space="preserve"> En lien avec le Cadre d’Orientation S</w:t>
      </w:r>
      <w:r w:rsidR="006A2F22">
        <w:rPr>
          <w:rFonts w:ascii="Times New Roman" w:hAnsi="Times New Roman" w:cs="Times New Roman"/>
          <w:sz w:val="24"/>
          <w:szCs w:val="24"/>
        </w:rPr>
        <w:t>tratégique 2016-2025 de l’ECOWAS</w:t>
      </w:r>
      <w:r w:rsidRPr="00D31C6C">
        <w:rPr>
          <w:rFonts w:ascii="Times New Roman" w:hAnsi="Times New Roman" w:cs="Times New Roman"/>
          <w:sz w:val="24"/>
          <w:szCs w:val="24"/>
        </w:rPr>
        <w:t>, le Plan régional d’investissement agricole, de sécurité a</w:t>
      </w:r>
      <w:r w:rsidR="006A2F22">
        <w:rPr>
          <w:rFonts w:ascii="Times New Roman" w:hAnsi="Times New Roman" w:cs="Times New Roman"/>
          <w:sz w:val="24"/>
          <w:szCs w:val="24"/>
        </w:rPr>
        <w:t>limentaire et nutritionnelle (PN</w:t>
      </w:r>
      <w:r w:rsidRPr="00D31C6C">
        <w:rPr>
          <w:rFonts w:ascii="Times New Roman" w:hAnsi="Times New Roman" w:cs="Times New Roman"/>
          <w:sz w:val="24"/>
          <w:szCs w:val="24"/>
        </w:rPr>
        <w:t>IASAN) à tra</w:t>
      </w:r>
      <w:r w:rsidR="006A2F22">
        <w:rPr>
          <w:rFonts w:ascii="Times New Roman" w:hAnsi="Times New Roman" w:cs="Times New Roman"/>
          <w:sz w:val="24"/>
          <w:szCs w:val="24"/>
        </w:rPr>
        <w:t>vers son objectif spécifique « c</w:t>
      </w:r>
      <w:r w:rsidRPr="00D31C6C">
        <w:rPr>
          <w:rFonts w:ascii="Times New Roman" w:hAnsi="Times New Roman" w:cs="Times New Roman"/>
          <w:sz w:val="24"/>
          <w:szCs w:val="24"/>
        </w:rPr>
        <w:t>ontribuer à accroître la productivité et la production agro-sylvo-pastorale et halieutique via des systèmes de production diversifiés et durables, et à réduire les pertes post production » contribue à la gestion durab</w:t>
      </w:r>
      <w:r>
        <w:rPr>
          <w:rFonts w:ascii="Times New Roman" w:hAnsi="Times New Roman" w:cs="Times New Roman"/>
          <w:sz w:val="24"/>
          <w:szCs w:val="24"/>
        </w:rPr>
        <w:t>le des ressources halieutiques.</w:t>
      </w:r>
    </w:p>
    <w:p w14:paraId="50DA6407" w14:textId="77777777" w:rsidR="001A3677" w:rsidRDefault="001A3677" w:rsidP="001A3677">
      <w:pPr>
        <w:spacing w:after="0" w:line="240" w:lineRule="auto"/>
        <w:jc w:val="both"/>
        <w:rPr>
          <w:rFonts w:ascii="Times New Roman" w:hAnsi="Times New Roman" w:cs="Times New Roman"/>
          <w:sz w:val="24"/>
          <w:szCs w:val="24"/>
        </w:rPr>
      </w:pPr>
    </w:p>
    <w:p w14:paraId="653C4745" w14:textId="77777777" w:rsidR="001A3677" w:rsidRDefault="001A3677" w:rsidP="001A3677">
      <w:pPr>
        <w:spacing w:after="0" w:line="240" w:lineRule="auto"/>
        <w:jc w:val="both"/>
        <w:rPr>
          <w:rFonts w:ascii="Times New Roman" w:hAnsi="Times New Roman" w:cs="Times New Roman"/>
          <w:color w:val="000000"/>
          <w:sz w:val="24"/>
          <w:szCs w:val="24"/>
        </w:rPr>
      </w:pPr>
      <w:r w:rsidRPr="00D31C6C">
        <w:rPr>
          <w:rFonts w:ascii="Times New Roman" w:hAnsi="Times New Roman" w:cs="Times New Roman"/>
          <w:sz w:val="24"/>
          <w:szCs w:val="24"/>
        </w:rPr>
        <w:t xml:space="preserve">Il faut aussi noter comme mesure prise l’élaboration et l’adoption de la Politique Nationale de l’Environnement qui </w:t>
      </w:r>
      <w:r w:rsidRPr="00D31C6C">
        <w:rPr>
          <w:rFonts w:ascii="Times New Roman" w:hAnsi="Times New Roman" w:cs="Times New Roman"/>
          <w:iCs/>
          <w:sz w:val="24"/>
          <w:szCs w:val="24"/>
          <w:lang w:val="fr-CA"/>
        </w:rPr>
        <w:t xml:space="preserve">définit les principales mesures visant à gérer les ressources naturelles (les sols, les ressources forestières, les ressources en eau, les ressources halieutiques, le littoral, les eaux marines et les lagunes). En dehors de cette politique, il faut citer la Loi n° 2016 -026 du 11 octobre 2016 portant règlementation de la pêche et de l’aquaculture au Togo. La Loi sur la pêche s’applique à toute personne ou société pratiquant la pêche dans les eaux territoriales sous juridiction togolaise, ainsi qu’aux navires, engins, établissements de transformation et de distribution. Elle </w:t>
      </w:r>
      <w:r w:rsidRPr="00D31C6C">
        <w:rPr>
          <w:rFonts w:ascii="Times New Roman" w:hAnsi="Times New Roman" w:cs="Times New Roman"/>
          <w:sz w:val="24"/>
          <w:szCs w:val="24"/>
        </w:rPr>
        <w:t xml:space="preserve">interdit certaines méthodes de pêche, y compris l’utilisation ou le transport d’explosifs, de poison ou d’autres substances nocives. Elle interdit également de poursuivre, de </w:t>
      </w:r>
      <w:r w:rsidRPr="00D31C6C">
        <w:rPr>
          <w:rFonts w:ascii="Times New Roman" w:hAnsi="Times New Roman" w:cs="Times New Roman"/>
          <w:color w:val="000000"/>
          <w:sz w:val="24"/>
          <w:szCs w:val="24"/>
        </w:rPr>
        <w:t>blesser et de tuer des mammifères aquatiques ou marin</w:t>
      </w:r>
      <w:r>
        <w:rPr>
          <w:rFonts w:ascii="Times New Roman" w:hAnsi="Times New Roman" w:cs="Times New Roman"/>
          <w:color w:val="000000"/>
          <w:sz w:val="24"/>
          <w:szCs w:val="24"/>
        </w:rPr>
        <w:t>s protégés et d’autres espèces.</w:t>
      </w:r>
    </w:p>
    <w:p w14:paraId="5486FD07" w14:textId="77777777" w:rsidR="001A3677" w:rsidRDefault="001A3677" w:rsidP="001A3677">
      <w:pPr>
        <w:spacing w:after="0" w:line="240" w:lineRule="auto"/>
        <w:jc w:val="both"/>
        <w:rPr>
          <w:rFonts w:ascii="Times New Roman" w:hAnsi="Times New Roman" w:cs="Times New Roman"/>
          <w:color w:val="000000"/>
          <w:sz w:val="24"/>
          <w:szCs w:val="24"/>
        </w:rPr>
      </w:pPr>
    </w:p>
    <w:p w14:paraId="59A5E303" w14:textId="1C72CF65" w:rsidR="001A3677" w:rsidRPr="00D31C6C" w:rsidRDefault="001A3677" w:rsidP="001A3677">
      <w:pPr>
        <w:spacing w:after="0" w:line="240" w:lineRule="auto"/>
        <w:jc w:val="both"/>
        <w:rPr>
          <w:rFonts w:ascii="Times New Roman" w:hAnsi="Times New Roman" w:cs="Times New Roman"/>
          <w:sz w:val="24"/>
          <w:szCs w:val="24"/>
        </w:rPr>
      </w:pPr>
      <w:r w:rsidRPr="00D31C6C">
        <w:rPr>
          <w:rFonts w:ascii="Times New Roman" w:hAnsi="Times New Roman" w:cs="Times New Roman"/>
          <w:color w:val="000000"/>
          <w:sz w:val="24"/>
          <w:szCs w:val="24"/>
        </w:rPr>
        <w:t xml:space="preserve">D’autres actions spécifiques ont été aussi réalisées et concernent </w:t>
      </w:r>
      <w:r>
        <w:rPr>
          <w:rFonts w:ascii="Times New Roman" w:hAnsi="Times New Roman" w:cs="Times New Roman"/>
          <w:color w:val="000000"/>
          <w:sz w:val="24"/>
          <w:szCs w:val="24"/>
        </w:rPr>
        <w:t>l’instauration de repos biologique sur le lac Nangbéto</w:t>
      </w:r>
      <w:r w:rsidRPr="00D31C6C">
        <w:rPr>
          <w:rFonts w:ascii="Times New Roman" w:hAnsi="Times New Roman" w:cs="Times New Roman"/>
          <w:color w:val="000000"/>
          <w:sz w:val="24"/>
          <w:szCs w:val="24"/>
        </w:rPr>
        <w:t xml:space="preserve"> au cours de la période du 15 Août au 15 Novembre de chaque année, </w:t>
      </w:r>
      <w:r>
        <w:rPr>
          <w:rFonts w:ascii="Times New Roman" w:hAnsi="Times New Roman" w:cs="Times New Roman"/>
          <w:color w:val="000000"/>
          <w:sz w:val="24"/>
          <w:szCs w:val="24"/>
        </w:rPr>
        <w:t xml:space="preserve">la surveillance des pêches, </w:t>
      </w:r>
      <w:r w:rsidRPr="00D31C6C">
        <w:rPr>
          <w:rFonts w:ascii="Times New Roman" w:hAnsi="Times New Roman" w:cs="Times New Roman"/>
          <w:color w:val="000000"/>
          <w:sz w:val="24"/>
          <w:szCs w:val="24"/>
        </w:rPr>
        <w:t xml:space="preserve">la sensibilisation des pêcheurs sur les mauvaises </w:t>
      </w:r>
      <w:r>
        <w:rPr>
          <w:rFonts w:ascii="Times New Roman" w:hAnsi="Times New Roman" w:cs="Times New Roman"/>
          <w:color w:val="000000"/>
          <w:sz w:val="24"/>
          <w:szCs w:val="24"/>
        </w:rPr>
        <w:t xml:space="preserve">pratiques </w:t>
      </w:r>
      <w:r w:rsidRPr="00D31C6C">
        <w:rPr>
          <w:rFonts w:ascii="Times New Roman" w:hAnsi="Times New Roman" w:cs="Times New Roman"/>
          <w:color w:val="000000"/>
          <w:sz w:val="24"/>
          <w:szCs w:val="24"/>
        </w:rPr>
        <w:t xml:space="preserve">de pêche et sur l’utilisation des engins </w:t>
      </w:r>
      <w:r>
        <w:rPr>
          <w:rFonts w:ascii="Times New Roman" w:hAnsi="Times New Roman" w:cs="Times New Roman"/>
          <w:color w:val="000000"/>
          <w:sz w:val="24"/>
          <w:szCs w:val="24"/>
        </w:rPr>
        <w:t xml:space="preserve">de pêche </w:t>
      </w:r>
      <w:r w:rsidRPr="00D31C6C">
        <w:rPr>
          <w:rFonts w:ascii="Times New Roman" w:hAnsi="Times New Roman" w:cs="Times New Roman"/>
          <w:color w:val="000000"/>
          <w:sz w:val="24"/>
          <w:szCs w:val="24"/>
        </w:rPr>
        <w:t xml:space="preserve">prohibés, sur les conséquences nocives de l’utilisation des herbicides. On peut noter aussi les actions de distribution des filets à mailles réglementaires aux pêcheurs. </w:t>
      </w:r>
      <w:r w:rsidRPr="00D31C6C">
        <w:rPr>
          <w:rFonts w:ascii="Times New Roman" w:hAnsi="Times New Roman" w:cs="Times New Roman"/>
          <w:sz w:val="24"/>
          <w:szCs w:val="24"/>
        </w:rPr>
        <w:t>Par ailleurs, dans le cadre du projet de surveillance de l’environnement et de la sécurité en Afrique (MESA) en collaboration avec le Centre régional AGRHYMET, un groupe de travail national sur la pêche et l’océanographie a été mis en place dans le but de surveiller certaines propriétés physiques des mers (vagues, courants, hauteurs de surface de la mer, etc.) et de gérer la pêche marine à partir des données satellitaires. En outre, le Haut Conseil pour la Mer (H</w:t>
      </w:r>
      <w:r w:rsidRPr="00D31C6C">
        <w:rPr>
          <w:rFonts w:ascii="Times New Roman" w:hAnsi="Times New Roman" w:cs="Times New Roman"/>
          <w:bCs/>
          <w:sz w:val="24"/>
          <w:szCs w:val="24"/>
        </w:rPr>
        <w:t>CM)</w:t>
      </w:r>
      <w:r w:rsidRPr="00D31C6C">
        <w:rPr>
          <w:rFonts w:ascii="Times New Roman" w:hAnsi="Times New Roman" w:cs="Times New Roman"/>
          <w:sz w:val="24"/>
          <w:szCs w:val="24"/>
        </w:rPr>
        <w:t xml:space="preserve"> a été créé en </w:t>
      </w:r>
      <w:r>
        <w:rPr>
          <w:rFonts w:ascii="Times New Roman" w:hAnsi="Times New Roman" w:cs="Times New Roman"/>
          <w:sz w:val="24"/>
          <w:szCs w:val="24"/>
        </w:rPr>
        <w:t>2014</w:t>
      </w:r>
      <w:r w:rsidRPr="00D31C6C">
        <w:rPr>
          <w:rFonts w:ascii="Times New Roman" w:hAnsi="Times New Roman" w:cs="Times New Roman"/>
          <w:sz w:val="24"/>
          <w:szCs w:val="24"/>
        </w:rPr>
        <w:t xml:space="preserve"> et a pour prérogatives de veiller à la prise en compte des enjeux liés à l’économie côtière et marine y compris ceux liés à la préservation de la biodiversité dans les programmes et projets.</w:t>
      </w:r>
    </w:p>
    <w:p w14:paraId="0375AE66" w14:textId="77777777" w:rsidR="00D31C6C" w:rsidRDefault="00D31C6C" w:rsidP="00D31C6C">
      <w:pPr>
        <w:spacing w:after="0" w:line="240" w:lineRule="auto"/>
        <w:jc w:val="both"/>
        <w:rPr>
          <w:rFonts w:ascii="Times New Roman" w:hAnsi="Times New Roman" w:cs="Times New Roman"/>
          <w:i/>
          <w:iCs/>
          <w:sz w:val="24"/>
          <w:szCs w:val="24"/>
        </w:rPr>
      </w:pPr>
    </w:p>
    <w:p w14:paraId="0DDEFB44" w14:textId="73CD925E" w:rsidR="00D31C6C" w:rsidRPr="00D31C6C" w:rsidRDefault="00D31C6C" w:rsidP="00D31C6C">
      <w:pPr>
        <w:spacing w:after="0" w:line="240" w:lineRule="auto"/>
        <w:jc w:val="both"/>
        <w:rPr>
          <w:rFonts w:ascii="Times New Roman" w:hAnsi="Times New Roman" w:cs="Times New Roman"/>
          <w:kern w:val="22"/>
          <w:sz w:val="24"/>
          <w:szCs w:val="24"/>
          <w:lang w:val="fr-CA"/>
        </w:rPr>
      </w:pPr>
      <w:r w:rsidRPr="00D31C6C">
        <w:rPr>
          <w:rFonts w:ascii="Times New Roman" w:hAnsi="Times New Roman" w:cs="Times New Roman"/>
          <w:b/>
          <w:iCs/>
          <w:kern w:val="22"/>
          <w:sz w:val="24"/>
          <w:szCs w:val="24"/>
          <w:lang w:val="fr-CA"/>
        </w:rPr>
        <w:t xml:space="preserve">Objectif 7 </w:t>
      </w:r>
      <w:r w:rsidR="006A2F22">
        <w:rPr>
          <w:rFonts w:ascii="Times New Roman" w:hAnsi="Times New Roman" w:cs="Times New Roman"/>
          <w:b/>
          <w:iCs/>
          <w:kern w:val="22"/>
          <w:sz w:val="24"/>
          <w:szCs w:val="24"/>
          <w:lang w:val="fr-CA"/>
        </w:rPr>
        <w:t>d’Aichi pour la biodiversité : a</w:t>
      </w:r>
      <w:r w:rsidRPr="00D31C6C">
        <w:rPr>
          <w:rFonts w:ascii="Times New Roman" w:hAnsi="Times New Roman" w:cs="Times New Roman"/>
          <w:b/>
          <w:iCs/>
          <w:kern w:val="22"/>
          <w:sz w:val="24"/>
          <w:szCs w:val="24"/>
          <w:lang w:val="fr-CA"/>
        </w:rPr>
        <w:t>griculture, aquaculture et foresterie durables</w:t>
      </w:r>
    </w:p>
    <w:p w14:paraId="3E5A2191" w14:textId="77777777" w:rsidR="00D31C6C" w:rsidRPr="00D31C6C" w:rsidRDefault="00D31C6C" w:rsidP="00D31C6C">
      <w:pPr>
        <w:pStyle w:val="Commentaire"/>
        <w:spacing w:after="0"/>
        <w:jc w:val="both"/>
        <w:rPr>
          <w:rFonts w:ascii="Times New Roman" w:hAnsi="Times New Roman" w:cs="Times New Roman"/>
          <w:i/>
          <w:sz w:val="24"/>
          <w:szCs w:val="24"/>
          <w:lang w:val="fr-CA"/>
        </w:rPr>
      </w:pPr>
    </w:p>
    <w:p w14:paraId="22C6848E" w14:textId="38E69237" w:rsidR="00A05444" w:rsidRDefault="00D31C6C" w:rsidP="00D31C6C">
      <w:pPr>
        <w:pStyle w:val="Commentaire"/>
        <w:spacing w:after="0"/>
        <w:jc w:val="both"/>
        <w:rPr>
          <w:rFonts w:ascii="Times New Roman" w:hAnsi="Times New Roman" w:cs="Times New Roman"/>
          <w:sz w:val="24"/>
          <w:szCs w:val="24"/>
          <w:lang w:val="fr-CA"/>
        </w:rPr>
      </w:pPr>
      <w:r w:rsidRPr="00D31C6C">
        <w:rPr>
          <w:rFonts w:ascii="Times New Roman" w:hAnsi="Times New Roman" w:cs="Times New Roman"/>
          <w:sz w:val="24"/>
          <w:szCs w:val="24"/>
        </w:rPr>
        <w:t xml:space="preserve">Afin d’assurer </w:t>
      </w:r>
      <w:r w:rsidRPr="00D31C6C">
        <w:rPr>
          <w:rFonts w:ascii="Times New Roman" w:hAnsi="Times New Roman" w:cs="Times New Roman"/>
          <w:iCs/>
          <w:sz w:val="24"/>
          <w:szCs w:val="24"/>
          <w:lang w:val="fr-CA"/>
        </w:rPr>
        <w:t>la durabilité de l’agriculture, de l’aquaculture et de l’exploitation forestière, plusieurs initiatives ont été prises par l’état, les ONGs</w:t>
      </w:r>
      <w:r w:rsidRPr="00D31C6C">
        <w:rPr>
          <w:rFonts w:ascii="Times New Roman" w:hAnsi="Times New Roman" w:cs="Times New Roman"/>
          <w:sz w:val="24"/>
          <w:szCs w:val="24"/>
        </w:rPr>
        <w:t>, les communautés locales à travers des projets, programme</w:t>
      </w:r>
      <w:r w:rsidR="00A50C1B">
        <w:rPr>
          <w:rFonts w:ascii="Times New Roman" w:hAnsi="Times New Roman" w:cs="Times New Roman"/>
          <w:sz w:val="24"/>
          <w:szCs w:val="24"/>
        </w:rPr>
        <w:t>s</w:t>
      </w:r>
      <w:r w:rsidRPr="00D31C6C">
        <w:rPr>
          <w:rFonts w:ascii="Times New Roman" w:hAnsi="Times New Roman" w:cs="Times New Roman"/>
          <w:sz w:val="24"/>
          <w:szCs w:val="24"/>
        </w:rPr>
        <w:t xml:space="preserve"> et stratégies. Au rang de ces initiatives, l’on peut noter les actions de sensibilisation  des acteurs sur les feux de végétation et les techniques alternatives sans brûlis,</w:t>
      </w:r>
      <w:r w:rsidRPr="00D31C6C">
        <w:rPr>
          <w:rFonts w:ascii="Times New Roman" w:hAnsi="Times New Roman" w:cs="Times New Roman"/>
          <w:sz w:val="24"/>
          <w:szCs w:val="24"/>
          <w:lang w:val="fr-CA"/>
        </w:rPr>
        <w:t xml:space="preserve"> sur la  gestion durable des ressources forestière</w:t>
      </w:r>
      <w:r w:rsidR="00A50C1B">
        <w:rPr>
          <w:rFonts w:ascii="Times New Roman" w:hAnsi="Times New Roman" w:cs="Times New Roman"/>
          <w:sz w:val="24"/>
          <w:szCs w:val="24"/>
          <w:lang w:val="fr-CA"/>
        </w:rPr>
        <w:t>s</w:t>
      </w:r>
      <w:r w:rsidRPr="00D31C6C">
        <w:rPr>
          <w:rFonts w:ascii="Times New Roman" w:hAnsi="Times New Roman" w:cs="Times New Roman"/>
          <w:sz w:val="24"/>
          <w:szCs w:val="24"/>
          <w:lang w:val="fr-CA"/>
        </w:rPr>
        <w:t>, sur les conséquences de l’utilisation anarchique des intrants agricoles, sur les bonnes pratiques concernant la protection, l’utilisation durable et la reconstitution de forêts à fonctions multiples, sur la gestion durable des terres au profit des populations de la région centrale (P</w:t>
      </w:r>
      <w:r w:rsidR="00515D4C" w:rsidRPr="00D31C6C">
        <w:rPr>
          <w:rFonts w:ascii="Times New Roman" w:hAnsi="Times New Roman" w:cs="Times New Roman"/>
          <w:sz w:val="24"/>
          <w:szCs w:val="24"/>
          <w:lang w:val="fr-CA"/>
        </w:rPr>
        <w:t>rojet</w:t>
      </w:r>
      <w:r w:rsidRPr="00D31C6C">
        <w:rPr>
          <w:rFonts w:ascii="Times New Roman" w:hAnsi="Times New Roman" w:cs="Times New Roman"/>
          <w:sz w:val="24"/>
          <w:szCs w:val="24"/>
          <w:lang w:val="fr-CA"/>
        </w:rPr>
        <w:t xml:space="preserve"> PGICT). Allant dans le même sens, des ateliers stratégiques de formation ont été organisés à l’endroit des différents acteurs sur la gestion durable des forêts et la valorisation des ressources naturelles et </w:t>
      </w:r>
      <w:r w:rsidRPr="00D31C6C">
        <w:rPr>
          <w:rFonts w:ascii="Times New Roman" w:hAnsi="Times New Roman" w:cs="Times New Roman"/>
          <w:sz w:val="24"/>
          <w:szCs w:val="24"/>
        </w:rPr>
        <w:t>sur l’association/alternance des cultures  légumineuses et le maïs et sorgho pour maint</w:t>
      </w:r>
      <w:r w:rsidR="00515D4C">
        <w:rPr>
          <w:rFonts w:ascii="Times New Roman" w:hAnsi="Times New Roman" w:cs="Times New Roman"/>
          <w:sz w:val="24"/>
          <w:szCs w:val="24"/>
        </w:rPr>
        <w:t>enir la qualité du sol et</w:t>
      </w:r>
      <w:r w:rsidRPr="00D31C6C">
        <w:rPr>
          <w:rFonts w:ascii="Times New Roman" w:hAnsi="Times New Roman" w:cs="Times New Roman"/>
          <w:sz w:val="24"/>
          <w:szCs w:val="24"/>
        </w:rPr>
        <w:t xml:space="preserve"> améliorer la rentabilité.</w:t>
      </w:r>
    </w:p>
    <w:p w14:paraId="34D7FD00" w14:textId="77777777" w:rsidR="00A05444" w:rsidRDefault="00A05444" w:rsidP="00D31C6C">
      <w:pPr>
        <w:pStyle w:val="Commentaire"/>
        <w:spacing w:after="0"/>
        <w:jc w:val="both"/>
        <w:rPr>
          <w:rFonts w:ascii="Times New Roman" w:hAnsi="Times New Roman" w:cs="Times New Roman"/>
          <w:sz w:val="24"/>
          <w:szCs w:val="24"/>
          <w:lang w:val="fr-CA"/>
        </w:rPr>
      </w:pPr>
    </w:p>
    <w:p w14:paraId="5D11B26E" w14:textId="5F1D3189" w:rsidR="00D31C6C" w:rsidRDefault="00D31C6C" w:rsidP="00D31C6C">
      <w:pPr>
        <w:pStyle w:val="Commentaire"/>
        <w:spacing w:after="0"/>
        <w:jc w:val="both"/>
        <w:rPr>
          <w:rFonts w:ascii="Times New Roman" w:hAnsi="Times New Roman" w:cs="Times New Roman"/>
          <w:sz w:val="24"/>
          <w:szCs w:val="24"/>
          <w:lang w:val="fr-CA"/>
        </w:rPr>
      </w:pPr>
      <w:r w:rsidRPr="00D31C6C">
        <w:rPr>
          <w:rFonts w:ascii="Times New Roman" w:hAnsi="Times New Roman" w:cs="Times New Roman"/>
          <w:sz w:val="24"/>
          <w:szCs w:val="24"/>
          <w:lang w:val="fr-CA"/>
        </w:rPr>
        <w:t>Des actions de recherche et conseil agricole ont été aussi menées dans le cadre de gestion environnementale et sociale (CGES) du programme national d’investissement agricole et de sécurité alimentaire  (PNIASA). En dehors des actions de sensibilisation, des ouvrages antiérosifs ont été installés au Togo dans le cadre de la mise en œuvre des activités du PGICT au cours de la période 2015-2016. Cette activité fait partie des bonnes pratiques pour la gestion durable des terres</w:t>
      </w:r>
      <w:r w:rsidR="00515D4C">
        <w:rPr>
          <w:rFonts w:ascii="Times New Roman" w:hAnsi="Times New Roman" w:cs="Times New Roman"/>
          <w:sz w:val="24"/>
          <w:szCs w:val="24"/>
          <w:lang w:val="fr-CA"/>
        </w:rPr>
        <w:t xml:space="preserve"> </w:t>
      </w:r>
      <w:r w:rsidRPr="00D31C6C">
        <w:rPr>
          <w:rFonts w:ascii="Times New Roman" w:hAnsi="Times New Roman" w:cs="Times New Roman"/>
          <w:sz w:val="24"/>
          <w:szCs w:val="24"/>
          <w:lang w:val="fr-CA"/>
        </w:rPr>
        <w:t xml:space="preserve">(DGT) et a permis de mobiliser et former 521 travailleurs communautaires dont 208 femmes soit près de 40% des travailleurs. L’installation de ces ouvrages anti- érosifs ont </w:t>
      </w:r>
      <w:r w:rsidR="00515D4C">
        <w:rPr>
          <w:rFonts w:ascii="Times New Roman" w:hAnsi="Times New Roman" w:cs="Times New Roman"/>
          <w:sz w:val="24"/>
          <w:szCs w:val="24"/>
          <w:lang w:val="fr-CA"/>
        </w:rPr>
        <w:t>permis de récupérer plus de 72 h</w:t>
      </w:r>
      <w:r w:rsidRPr="00D31C6C">
        <w:rPr>
          <w:rFonts w:ascii="Times New Roman" w:hAnsi="Times New Roman" w:cs="Times New Roman"/>
          <w:sz w:val="24"/>
          <w:szCs w:val="24"/>
          <w:lang w:val="fr-CA"/>
        </w:rPr>
        <w:t xml:space="preserve">a de terres cultivables. On note aussi la pratique de l’Agroforesterie à base de </w:t>
      </w:r>
      <w:r w:rsidRPr="00D31C6C">
        <w:rPr>
          <w:rFonts w:ascii="Times New Roman" w:hAnsi="Times New Roman" w:cs="Times New Roman"/>
          <w:i/>
          <w:sz w:val="24"/>
          <w:szCs w:val="24"/>
          <w:lang w:val="fr-CA"/>
        </w:rPr>
        <w:t>Cajanus cajan,</w:t>
      </w:r>
      <w:r w:rsidRPr="00D31C6C">
        <w:rPr>
          <w:rFonts w:ascii="Times New Roman" w:hAnsi="Times New Roman" w:cs="Times New Roman"/>
          <w:sz w:val="24"/>
          <w:szCs w:val="24"/>
          <w:lang w:val="fr-CA"/>
        </w:rPr>
        <w:t xml:space="preserve"> la production vivrière et maraichère à base de bouse de vache et de compost maison.</w:t>
      </w:r>
    </w:p>
    <w:p w14:paraId="0AF7001A" w14:textId="77777777" w:rsidR="001557BB" w:rsidRPr="00D31C6C" w:rsidRDefault="001557BB" w:rsidP="00D31C6C">
      <w:pPr>
        <w:pStyle w:val="Commentaire"/>
        <w:spacing w:after="0"/>
        <w:jc w:val="both"/>
        <w:rPr>
          <w:rFonts w:ascii="Times New Roman" w:hAnsi="Times New Roman" w:cs="Times New Roman"/>
          <w:sz w:val="24"/>
          <w:szCs w:val="24"/>
          <w:lang w:val="fr-CA"/>
        </w:rPr>
      </w:pPr>
    </w:p>
    <w:p w14:paraId="40CBACA1" w14:textId="7E024130" w:rsidR="00D31C6C" w:rsidRDefault="00D31C6C" w:rsidP="00D31C6C">
      <w:pPr>
        <w:pStyle w:val="Commentaire"/>
        <w:spacing w:after="0"/>
        <w:jc w:val="both"/>
        <w:rPr>
          <w:rFonts w:ascii="Times New Roman" w:hAnsi="Times New Roman" w:cs="Times New Roman"/>
          <w:sz w:val="24"/>
          <w:szCs w:val="24"/>
        </w:rPr>
      </w:pPr>
      <w:r w:rsidRPr="00D31C6C">
        <w:rPr>
          <w:rFonts w:ascii="Times New Roman" w:hAnsi="Times New Roman" w:cs="Times New Roman"/>
          <w:sz w:val="24"/>
          <w:szCs w:val="24"/>
          <w:lang w:val="fr-CA"/>
        </w:rPr>
        <w:t>Il faut sign</w:t>
      </w:r>
      <w:r w:rsidR="00515D4C">
        <w:rPr>
          <w:rFonts w:ascii="Times New Roman" w:hAnsi="Times New Roman" w:cs="Times New Roman"/>
          <w:sz w:val="24"/>
          <w:szCs w:val="24"/>
          <w:lang w:val="fr-CA"/>
        </w:rPr>
        <w:t>al</w:t>
      </w:r>
      <w:r w:rsidRPr="00D31C6C">
        <w:rPr>
          <w:rFonts w:ascii="Times New Roman" w:hAnsi="Times New Roman" w:cs="Times New Roman"/>
          <w:sz w:val="24"/>
          <w:szCs w:val="24"/>
          <w:lang w:val="fr-CA"/>
        </w:rPr>
        <w:t>er aussi la mi</w:t>
      </w:r>
      <w:r w:rsidRPr="00D31C6C">
        <w:rPr>
          <w:rFonts w:ascii="Times New Roman" w:hAnsi="Times New Roman" w:cs="Times New Roman"/>
          <w:sz w:val="24"/>
          <w:szCs w:val="24"/>
        </w:rPr>
        <w:t xml:space="preserve">se en place de 90 champs écoles agro écologiques sans apport  en engrais chimique dans 5 régions. Un CEA regroupe une vingtaine de personnes sur une base volontaire (affinité, mêmes objectifs poursuivis) autour des activités d’apprentissage au niveau du champ. Les CEA ont entrainé une meilleure connaissance des causes et effets des problèmes relevés par les agriculteurs dans leurs champs, une expérimentation effective des solutions possibles aux problèmes par eux-mêmes, une bonne amélioration de la productivité. Les CEA sont particulièrement performants et sont une excellente porte d’entrée pour tous les domaines ayant trait à la production agricole (introduction de bonnes pratiques agricoles en matière de fertilisation, protection des cultures, techniques culturales), en matière de techniques de post récolte. Ces </w:t>
      </w:r>
      <w:r w:rsidR="001557BB" w:rsidRPr="00D31C6C">
        <w:rPr>
          <w:rFonts w:ascii="Times New Roman" w:hAnsi="Times New Roman" w:cs="Times New Roman"/>
          <w:sz w:val="24"/>
          <w:szCs w:val="24"/>
        </w:rPr>
        <w:t>dernières</w:t>
      </w:r>
      <w:r w:rsidRPr="00D31C6C">
        <w:rPr>
          <w:rFonts w:ascii="Times New Roman" w:hAnsi="Times New Roman" w:cs="Times New Roman"/>
          <w:sz w:val="24"/>
          <w:szCs w:val="24"/>
        </w:rPr>
        <w:t xml:space="preserve"> années, des fiches techniques ont été élaborées dans le cadre d’un projet TCP (FAO) avec l’appui de l’</w:t>
      </w:r>
      <w:r w:rsidR="001557BB">
        <w:rPr>
          <w:rFonts w:ascii="Times New Roman" w:hAnsi="Times New Roman" w:cs="Times New Roman"/>
          <w:sz w:val="24"/>
          <w:szCs w:val="24"/>
        </w:rPr>
        <w:t>ITRA, l’ICAT, et GIZ ProSceAl.</w:t>
      </w:r>
    </w:p>
    <w:p w14:paraId="60AA6564" w14:textId="77777777" w:rsidR="001557BB" w:rsidRPr="00D31C6C" w:rsidRDefault="001557BB" w:rsidP="00D31C6C">
      <w:pPr>
        <w:pStyle w:val="Commentaire"/>
        <w:spacing w:after="0"/>
        <w:jc w:val="both"/>
        <w:rPr>
          <w:rFonts w:ascii="Times New Roman" w:hAnsi="Times New Roman" w:cs="Times New Roman"/>
          <w:sz w:val="24"/>
          <w:szCs w:val="24"/>
        </w:rPr>
      </w:pPr>
    </w:p>
    <w:p w14:paraId="0400A36B" w14:textId="77777777" w:rsidR="00A05444" w:rsidRDefault="00D31C6C" w:rsidP="00D31C6C">
      <w:pPr>
        <w:pStyle w:val="Commentaire"/>
        <w:spacing w:after="0"/>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Sur l’accès au foncier rural et l’aquaculture, les efforts ont été faits et ont porté notamment sur l’élaboration d’un nouveau code foncier et l’aménagement des superficies agricoles. C’est le cas du projet d’aménagement et de réhabilitation des terres agricoles de Mission Tové (PARTAM), du projet d’aménagement de la basse vallée du Mono (PBVM), du projet de développement intégré de la plaine de Mô (PDRI-Mô), du projet de développement rural de la plaine de Djagblé (PDRD), du projet de développement pour la production rizicole dans la région de la Kara (PDPR-K), du projet d’aménagement des terres agricole de la plaine de l’Oti (PATA-Oti) et des zones d’aménagement agricole planifiées (ZAAP). Par ailleurs, certaines politiques, stratégies, et programmes de développement ont été mis en œuvre pour permettre la durabilité de l’agriculture et l’exploitation forestiè</w:t>
      </w:r>
      <w:r w:rsidR="00A05444">
        <w:rPr>
          <w:rFonts w:ascii="Times New Roman" w:hAnsi="Times New Roman" w:cs="Times New Roman"/>
          <w:color w:val="000000"/>
          <w:sz w:val="24"/>
          <w:szCs w:val="24"/>
        </w:rPr>
        <w:t>re au Togo.</w:t>
      </w:r>
    </w:p>
    <w:p w14:paraId="2789FD8A" w14:textId="77777777" w:rsidR="00A05444" w:rsidRDefault="00A05444" w:rsidP="00D31C6C">
      <w:pPr>
        <w:pStyle w:val="Commentaire"/>
        <w:spacing w:after="0"/>
        <w:jc w:val="both"/>
        <w:rPr>
          <w:rFonts w:ascii="Times New Roman" w:hAnsi="Times New Roman" w:cs="Times New Roman"/>
          <w:color w:val="000000"/>
          <w:sz w:val="24"/>
          <w:szCs w:val="24"/>
        </w:rPr>
      </w:pPr>
    </w:p>
    <w:p w14:paraId="73D05D6A" w14:textId="4E092636" w:rsidR="00D31C6C" w:rsidRPr="00D31C6C" w:rsidRDefault="00D31C6C" w:rsidP="00D31C6C">
      <w:pPr>
        <w:pStyle w:val="Commentaire"/>
        <w:spacing w:after="0"/>
        <w:jc w:val="both"/>
        <w:rPr>
          <w:rFonts w:ascii="Times New Roman" w:hAnsi="Times New Roman" w:cs="Times New Roman"/>
          <w:color w:val="000000"/>
          <w:sz w:val="24"/>
          <w:szCs w:val="24"/>
        </w:rPr>
      </w:pPr>
      <w:r w:rsidRPr="00D31C6C">
        <w:rPr>
          <w:rFonts w:ascii="Times New Roman" w:hAnsi="Times New Roman" w:cs="Times New Roman"/>
          <w:color w:val="000000"/>
          <w:sz w:val="24"/>
          <w:szCs w:val="24"/>
        </w:rPr>
        <w:t xml:space="preserve">Parmi ces politiques, stratégies et programmes, on peut noter en exemple (i) le Programme National d’Investissement Agricole et de Sécurité Alimentaire (PNIASA) qui prend en compte, dans les programmes agricoles, la promotion des pratiques de conservation de l’eau et du sol, de l’agroforesterie, (ii) la Politique Nationale de l’Environnement (PNE: 1998) qui prône l’utilisation durable des ressources existantes et la gestion saine de l’environnement en vue d’une nécessaire solidarité et équité envers les générations </w:t>
      </w:r>
      <w:r w:rsidR="00A50C1B">
        <w:rPr>
          <w:rFonts w:ascii="Times New Roman" w:hAnsi="Times New Roman" w:cs="Times New Roman"/>
          <w:color w:val="000000"/>
          <w:sz w:val="24"/>
          <w:szCs w:val="24"/>
        </w:rPr>
        <w:t>futures, etc. I</w:t>
      </w:r>
      <w:r w:rsidRPr="00D31C6C">
        <w:rPr>
          <w:rFonts w:ascii="Times New Roman" w:hAnsi="Times New Roman" w:cs="Times New Roman"/>
          <w:color w:val="000000"/>
          <w:sz w:val="24"/>
          <w:szCs w:val="24"/>
        </w:rPr>
        <w:t>l faut noter aussi l’</w:t>
      </w:r>
      <w:r w:rsidR="00A50C1B">
        <w:rPr>
          <w:rFonts w:ascii="Times New Roman" w:hAnsi="Times New Roman" w:cs="Times New Roman"/>
          <w:color w:val="000000"/>
          <w:sz w:val="24"/>
          <w:szCs w:val="24"/>
        </w:rPr>
        <w:t>élaboration d’un guide simplifié</w:t>
      </w:r>
      <w:r w:rsidRPr="00D31C6C">
        <w:rPr>
          <w:rFonts w:ascii="Times New Roman" w:hAnsi="Times New Roman" w:cs="Times New Roman"/>
          <w:color w:val="000000"/>
          <w:sz w:val="24"/>
          <w:szCs w:val="24"/>
        </w:rPr>
        <w:t xml:space="preserve"> de bonnes pratiques agricoles en matière de gestion durable des terres et d’adaptation des systèmes de production aux changements climatiques par le MAEP en collaboration avec le MERF, la mise en œuvre du Projet d’Adaptation de la Production Agricole aux Changements climatiques (ADAPT), élaboré dans le cadre du plan d’action national d’Adaptation (PANA).  L'objectif global de ce Projet était  d’atténuer l'impact du changement climatique sur les groupes vulnérables et les ressources naturelles pour rendre durable la production agricole et la sécurité alimentaire. Il faut aussi signaler comme actions réalisées, l’adhésion du Togo  au programme de définition des cibles de la Neutralité en matière de Dégradation des Terres (NDT), la définition des cibles volontaire</w:t>
      </w:r>
      <w:r w:rsidR="00A50C1B">
        <w:rPr>
          <w:rFonts w:ascii="Times New Roman" w:hAnsi="Times New Roman" w:cs="Times New Roman"/>
          <w:color w:val="000000"/>
          <w:sz w:val="24"/>
          <w:szCs w:val="24"/>
        </w:rPr>
        <w:t>s</w:t>
      </w:r>
      <w:r w:rsidRPr="00D31C6C">
        <w:rPr>
          <w:rFonts w:ascii="Times New Roman" w:hAnsi="Times New Roman" w:cs="Times New Roman"/>
          <w:color w:val="000000"/>
          <w:sz w:val="24"/>
          <w:szCs w:val="24"/>
        </w:rPr>
        <w:t xml:space="preserve"> pour la Neutralité en matière de Dégradation des Terres (NDT), l’élaboration d’une note politique pour la lutte contre la dégradation des terres et l’élaboration d’un plan national pour </w:t>
      </w:r>
      <w:r w:rsidR="00A50C1B">
        <w:rPr>
          <w:rFonts w:ascii="Times New Roman" w:hAnsi="Times New Roman" w:cs="Times New Roman"/>
          <w:color w:val="000000"/>
          <w:sz w:val="24"/>
          <w:szCs w:val="24"/>
        </w:rPr>
        <w:t>la lutte</w:t>
      </w:r>
      <w:r w:rsidRPr="00D31C6C">
        <w:rPr>
          <w:rFonts w:ascii="Times New Roman" w:hAnsi="Times New Roman" w:cs="Times New Roman"/>
          <w:color w:val="000000"/>
          <w:sz w:val="24"/>
          <w:szCs w:val="24"/>
        </w:rPr>
        <w:t xml:space="preserve"> contre la sécheresse.</w:t>
      </w:r>
    </w:p>
    <w:p w14:paraId="1B9C93E3" w14:textId="77777777" w:rsidR="00D31C6C" w:rsidRPr="00D31C6C" w:rsidRDefault="00D31C6C" w:rsidP="00D31C6C">
      <w:pPr>
        <w:pStyle w:val="Commentaire"/>
        <w:spacing w:after="0"/>
        <w:jc w:val="both"/>
        <w:rPr>
          <w:rFonts w:ascii="Times New Roman" w:hAnsi="Times New Roman" w:cs="Times New Roman"/>
          <w:sz w:val="24"/>
          <w:szCs w:val="24"/>
        </w:rPr>
      </w:pPr>
    </w:p>
    <w:p w14:paraId="60E21FFD" w14:textId="6C631A43" w:rsidR="00D31C6C" w:rsidRPr="001557BB" w:rsidRDefault="00D31C6C" w:rsidP="001557BB">
      <w:pPr>
        <w:pStyle w:val="Commentaire"/>
        <w:spacing w:after="0"/>
        <w:jc w:val="both"/>
        <w:rPr>
          <w:rFonts w:ascii="Times New Roman" w:hAnsi="Times New Roman" w:cs="Times New Roman"/>
          <w:b/>
          <w:kern w:val="22"/>
          <w:sz w:val="24"/>
          <w:szCs w:val="24"/>
          <w:lang w:val="fr-CA"/>
        </w:rPr>
      </w:pPr>
      <w:r w:rsidRPr="001557BB">
        <w:rPr>
          <w:rFonts w:ascii="Times New Roman" w:hAnsi="Times New Roman" w:cs="Times New Roman"/>
          <w:b/>
          <w:kern w:val="22"/>
          <w:sz w:val="24"/>
          <w:szCs w:val="24"/>
          <w:lang w:val="fr-CA"/>
        </w:rPr>
        <w:t xml:space="preserve">Objectif 8 </w:t>
      </w:r>
      <w:r w:rsidR="00A50C1B">
        <w:rPr>
          <w:rFonts w:ascii="Times New Roman" w:hAnsi="Times New Roman" w:cs="Times New Roman"/>
          <w:b/>
          <w:kern w:val="22"/>
          <w:sz w:val="24"/>
          <w:szCs w:val="24"/>
          <w:lang w:val="fr-CA"/>
        </w:rPr>
        <w:t>d’Aichi pour la biodiversité : l</w:t>
      </w:r>
      <w:r w:rsidRPr="001557BB">
        <w:rPr>
          <w:rFonts w:ascii="Times New Roman" w:hAnsi="Times New Roman" w:cs="Times New Roman"/>
          <w:b/>
          <w:kern w:val="22"/>
          <w:sz w:val="24"/>
          <w:szCs w:val="24"/>
          <w:lang w:val="fr-CA"/>
        </w:rPr>
        <w:t>a pollution est réduite</w:t>
      </w:r>
    </w:p>
    <w:p w14:paraId="5DF21369" w14:textId="77777777" w:rsidR="001557BB" w:rsidRPr="001557BB" w:rsidRDefault="001557BB" w:rsidP="001557BB">
      <w:pPr>
        <w:autoSpaceDE w:val="0"/>
        <w:autoSpaceDN w:val="0"/>
        <w:adjustRightInd w:val="0"/>
        <w:snapToGrid w:val="0"/>
        <w:spacing w:after="0" w:line="240" w:lineRule="auto"/>
        <w:jc w:val="both"/>
        <w:rPr>
          <w:rFonts w:ascii="Times New Roman" w:hAnsi="Times New Roman" w:cs="Times New Roman"/>
          <w:sz w:val="24"/>
          <w:szCs w:val="24"/>
        </w:rPr>
      </w:pPr>
    </w:p>
    <w:p w14:paraId="2ADF8F91" w14:textId="1AF7EB72" w:rsidR="00D31C6C" w:rsidRDefault="00D31C6C" w:rsidP="001557BB">
      <w:pPr>
        <w:autoSpaceDE w:val="0"/>
        <w:autoSpaceDN w:val="0"/>
        <w:adjustRightInd w:val="0"/>
        <w:snapToGri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La principale source de pollution au Togo est l’agriculture à travers, l’utilisation de plus en plus intense et répandue des pesticides, des herbicides, des engr</w:t>
      </w:r>
      <w:r w:rsidR="00515D4C">
        <w:rPr>
          <w:rFonts w:ascii="Times New Roman" w:hAnsi="Times New Roman" w:cs="Times New Roman"/>
          <w:sz w:val="24"/>
          <w:szCs w:val="24"/>
        </w:rPr>
        <w:t>ais, etc. L</w:t>
      </w:r>
      <w:r w:rsidRPr="001557BB">
        <w:rPr>
          <w:rFonts w:ascii="Times New Roman" w:hAnsi="Times New Roman" w:cs="Times New Roman"/>
          <w:sz w:val="24"/>
          <w:szCs w:val="24"/>
        </w:rPr>
        <w:t>es données collectées dans le cadre de l’inventaire national initial des pesticides indiquent un accroissement de la consommation des pesticides au Togo. Cet inventaire indique également et de façon provisoire l’existence de 424 transformate</w:t>
      </w:r>
      <w:r w:rsidR="00A50C1B">
        <w:rPr>
          <w:rFonts w:ascii="Times New Roman" w:hAnsi="Times New Roman" w:cs="Times New Roman"/>
          <w:sz w:val="24"/>
          <w:szCs w:val="24"/>
        </w:rPr>
        <w:t xml:space="preserve">urs contenant des fluides </w:t>
      </w:r>
      <w:r w:rsidRPr="001557BB">
        <w:rPr>
          <w:rFonts w:ascii="Times New Roman" w:hAnsi="Times New Roman" w:cs="Times New Roman"/>
          <w:sz w:val="24"/>
          <w:szCs w:val="24"/>
        </w:rPr>
        <w:t xml:space="preserve">diélectriques probablement à </w:t>
      </w:r>
      <w:r w:rsidR="00A50C1B">
        <w:rPr>
          <w:rFonts w:ascii="Times New Roman" w:hAnsi="Times New Roman" w:cs="Times New Roman"/>
          <w:sz w:val="24"/>
          <w:szCs w:val="24"/>
        </w:rPr>
        <w:t>polychlorobéphényl (</w:t>
      </w:r>
      <w:r w:rsidRPr="001557BB">
        <w:rPr>
          <w:rFonts w:ascii="Times New Roman" w:hAnsi="Times New Roman" w:cs="Times New Roman"/>
          <w:sz w:val="24"/>
          <w:szCs w:val="24"/>
        </w:rPr>
        <w:t>PCB</w:t>
      </w:r>
      <w:r w:rsidR="00A50C1B">
        <w:rPr>
          <w:rFonts w:ascii="Times New Roman" w:hAnsi="Times New Roman" w:cs="Times New Roman"/>
          <w:sz w:val="24"/>
          <w:szCs w:val="24"/>
        </w:rPr>
        <w:t>)</w:t>
      </w:r>
      <w:r w:rsidRPr="001557BB">
        <w:rPr>
          <w:rFonts w:ascii="Times New Roman" w:hAnsi="Times New Roman" w:cs="Times New Roman"/>
          <w:sz w:val="24"/>
          <w:szCs w:val="24"/>
        </w:rPr>
        <w:t xml:space="preserve">. Ceci correspond à 342 tonnes de fluides à PCB et 1045 tonnes de déchets solides contaminés de PCB au 31 mars 2004, date de la dernière mise à jour de l’inventaire. A l’inverse des pesticides, on note </w:t>
      </w:r>
      <w:r w:rsidRPr="001557BB">
        <w:rPr>
          <w:rFonts w:ascii="Times New Roman" w:hAnsi="Times New Roman" w:cs="Times New Roman"/>
          <w:color w:val="000000"/>
          <w:sz w:val="24"/>
          <w:szCs w:val="24"/>
        </w:rPr>
        <w:t xml:space="preserve">les polychlorodibenzodioxines (PCDD ou dioxines) et les polychlorodibenzofuranes (PCDF ou furanes) qui surviennent de manière accidentelle comme sous-produits des processus de combustion (incinération à haute température, brûlage de la biomasse, combustion des combustibles fossiles, etc.), de certains procédés industriels (métallurgiques, chimiques, papetiers, miniers, etc.) et aussi de certains processus biologiques (biométhanisation, compostage, etc.). </w:t>
      </w:r>
      <w:r w:rsidRPr="001557BB">
        <w:rPr>
          <w:rFonts w:ascii="Times New Roman" w:hAnsi="Times New Roman" w:cs="Times New Roman"/>
          <w:sz w:val="24"/>
          <w:szCs w:val="24"/>
        </w:rPr>
        <w:t>En dehors de ces substances, certains gaz à effet de serre (GES) constituent également des polluants organiques persistants. Au Togo, le dioxyde de carbone (CO</w:t>
      </w:r>
      <w:r w:rsidRPr="001557BB">
        <w:rPr>
          <w:rFonts w:ascii="Times New Roman" w:hAnsi="Times New Roman" w:cs="Times New Roman"/>
          <w:sz w:val="24"/>
          <w:szCs w:val="24"/>
          <w:vertAlign w:val="subscript"/>
        </w:rPr>
        <w:t>2</w:t>
      </w:r>
      <w:r w:rsidRPr="001557BB">
        <w:rPr>
          <w:rFonts w:ascii="Times New Roman" w:hAnsi="Times New Roman" w:cs="Times New Roman"/>
          <w:sz w:val="24"/>
          <w:szCs w:val="24"/>
        </w:rPr>
        <w:t>) est identifié comme le prin</w:t>
      </w:r>
      <w:r w:rsidR="00515D4C">
        <w:rPr>
          <w:rFonts w:ascii="Times New Roman" w:hAnsi="Times New Roman" w:cs="Times New Roman"/>
          <w:sz w:val="24"/>
          <w:szCs w:val="24"/>
        </w:rPr>
        <w:t>cipal gaz à effet de serre</w:t>
      </w:r>
      <w:r w:rsidRPr="001557BB">
        <w:rPr>
          <w:rFonts w:ascii="Times New Roman" w:hAnsi="Times New Roman" w:cs="Times New Roman"/>
          <w:sz w:val="24"/>
          <w:szCs w:val="24"/>
        </w:rPr>
        <w:t xml:space="preserve"> (MERF, 2014).</w:t>
      </w:r>
    </w:p>
    <w:p w14:paraId="4BD13ECF" w14:textId="77777777" w:rsidR="001557BB" w:rsidRPr="001557BB" w:rsidRDefault="001557BB" w:rsidP="001557BB">
      <w:pPr>
        <w:autoSpaceDE w:val="0"/>
        <w:autoSpaceDN w:val="0"/>
        <w:adjustRightInd w:val="0"/>
        <w:snapToGrid w:val="0"/>
        <w:spacing w:after="0" w:line="240" w:lineRule="auto"/>
        <w:jc w:val="both"/>
        <w:rPr>
          <w:rFonts w:ascii="Times New Roman" w:hAnsi="Times New Roman" w:cs="Times New Roman"/>
          <w:sz w:val="24"/>
          <w:szCs w:val="24"/>
        </w:rPr>
      </w:pPr>
    </w:p>
    <w:p w14:paraId="35635FF2" w14:textId="78C556F4" w:rsidR="00D31C6C" w:rsidRDefault="00D31C6C" w:rsidP="001557BB">
      <w:pPr>
        <w:autoSpaceDE w:val="0"/>
        <w:autoSpaceDN w:val="0"/>
        <w:adjustRightInd w:val="0"/>
        <w:snapToGri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Le Togo, a aussi ratifié le protocole de Montréal en 1995. En effet ce protocole est considéré comme le traité écologique le plus efficace en ayant réussi à éliminer une bonne partie des substances appauvrissant la couche d'ozone (SAO), utilisées pour la réfrigération (réfrigérateurs ou climatiseurs). Les principales activités réalisées pour la mise en œuvre de ce protocole sont entre autres, la préparation du plan de gestion des fluides frigorifiques; le recensement des types de SAO utilisés au Togo dans les secteurs domestiq</w:t>
      </w:r>
      <w:r w:rsidR="00A50C1B">
        <w:rPr>
          <w:rFonts w:ascii="Times New Roman" w:hAnsi="Times New Roman" w:cs="Times New Roman"/>
          <w:sz w:val="24"/>
          <w:szCs w:val="24"/>
        </w:rPr>
        <w:t>ues, commerciaux et industriels,</w:t>
      </w:r>
      <w:r w:rsidRPr="001557BB">
        <w:rPr>
          <w:rFonts w:ascii="Times New Roman" w:hAnsi="Times New Roman" w:cs="Times New Roman"/>
          <w:sz w:val="24"/>
          <w:szCs w:val="24"/>
        </w:rPr>
        <w:t xml:space="preserve"> la formation des formateurs des techniciens du fro</w:t>
      </w:r>
      <w:r w:rsidR="00A50C1B">
        <w:rPr>
          <w:rFonts w:ascii="Times New Roman" w:hAnsi="Times New Roman" w:cs="Times New Roman"/>
          <w:sz w:val="24"/>
          <w:szCs w:val="24"/>
        </w:rPr>
        <w:t>id, des douaniers et policiers,</w:t>
      </w:r>
      <w:r w:rsidRPr="001557BB">
        <w:rPr>
          <w:rFonts w:ascii="Times New Roman" w:hAnsi="Times New Roman" w:cs="Times New Roman"/>
          <w:sz w:val="24"/>
          <w:szCs w:val="24"/>
        </w:rPr>
        <w:t xml:space="preserve"> la récupé</w:t>
      </w:r>
      <w:r w:rsidR="00A50C1B">
        <w:rPr>
          <w:rFonts w:ascii="Times New Roman" w:hAnsi="Times New Roman" w:cs="Times New Roman"/>
          <w:sz w:val="24"/>
          <w:szCs w:val="24"/>
        </w:rPr>
        <w:t>ration et recyclage des produits,</w:t>
      </w:r>
      <w:r w:rsidRPr="001557BB">
        <w:rPr>
          <w:rFonts w:ascii="Times New Roman" w:hAnsi="Times New Roman" w:cs="Times New Roman"/>
          <w:sz w:val="24"/>
          <w:szCs w:val="24"/>
        </w:rPr>
        <w:t xml:space="preserve"> à l’élaboration des textes relatifs à l’émission des licences et permis relatifs au commerce des SAO</w:t>
      </w:r>
      <w:r w:rsidR="00A50C1B">
        <w:rPr>
          <w:rFonts w:ascii="Times New Roman" w:hAnsi="Times New Roman" w:cs="Times New Roman"/>
          <w:sz w:val="24"/>
          <w:szCs w:val="24"/>
        </w:rPr>
        <w:t>,</w:t>
      </w:r>
      <w:r w:rsidRPr="001557BB">
        <w:rPr>
          <w:rFonts w:ascii="Times New Roman" w:hAnsi="Times New Roman" w:cs="Times New Roman"/>
          <w:sz w:val="24"/>
          <w:szCs w:val="24"/>
        </w:rPr>
        <w:t xml:space="preserve"> la réglementation du contrôle de la consommation, de la distribution et des importation</w:t>
      </w:r>
      <w:r w:rsidR="001557BB">
        <w:rPr>
          <w:rFonts w:ascii="Times New Roman" w:hAnsi="Times New Roman" w:cs="Times New Roman"/>
          <w:sz w:val="24"/>
          <w:szCs w:val="24"/>
        </w:rPr>
        <w:t>s des produits de substitution.</w:t>
      </w:r>
    </w:p>
    <w:p w14:paraId="40648B19" w14:textId="77777777" w:rsidR="001557BB" w:rsidRPr="001557BB" w:rsidRDefault="001557BB" w:rsidP="001557BB">
      <w:pPr>
        <w:autoSpaceDE w:val="0"/>
        <w:autoSpaceDN w:val="0"/>
        <w:adjustRightInd w:val="0"/>
        <w:snapToGrid w:val="0"/>
        <w:spacing w:after="0" w:line="240" w:lineRule="auto"/>
        <w:jc w:val="both"/>
        <w:rPr>
          <w:rFonts w:ascii="Times New Roman" w:hAnsi="Times New Roman" w:cs="Times New Roman"/>
          <w:sz w:val="24"/>
          <w:szCs w:val="24"/>
        </w:rPr>
      </w:pPr>
    </w:p>
    <w:p w14:paraId="6C392328" w14:textId="28779201" w:rsidR="00A05444" w:rsidRDefault="00D31C6C" w:rsidP="001557BB">
      <w:pPr>
        <w:autoSpaceDE w:val="0"/>
        <w:autoSpaceDN w:val="0"/>
        <w:adjustRightInd w:val="0"/>
        <w:snapToGri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En lien direct, avec la convention-cadre des Nations Unies sur les changements climatiques, le Togo a adhéré le 26 mars 2014 à la Coalition pour le cli</w:t>
      </w:r>
      <w:r w:rsidR="00AB7843">
        <w:rPr>
          <w:rFonts w:ascii="Times New Roman" w:hAnsi="Times New Roman" w:cs="Times New Roman"/>
          <w:sz w:val="24"/>
          <w:szCs w:val="24"/>
        </w:rPr>
        <w:t>mat et l’air pur et a bénéficié</w:t>
      </w:r>
      <w:r w:rsidRPr="001557BB">
        <w:rPr>
          <w:rFonts w:ascii="Times New Roman" w:hAnsi="Times New Roman" w:cs="Times New Roman"/>
          <w:sz w:val="24"/>
          <w:szCs w:val="24"/>
        </w:rPr>
        <w:t xml:space="preserve"> du financement par le Programme des Nations Unies pour l’Environnement (PNUE) du « projet de renforcement des capacités institutionnelles du Togo pour la réduction des polluants atmosphériques de courte durée de vie ayant un effet sur le climat ». Ce projet visait le renforcement des capacités institutionnelles du pays pour promouvoir la réduction des émissions des polluants incriminés encore appelés en anglais « Short-L</w:t>
      </w:r>
      <w:r w:rsidR="00202D29">
        <w:rPr>
          <w:rFonts w:ascii="Times New Roman" w:hAnsi="Times New Roman" w:cs="Times New Roman"/>
          <w:sz w:val="24"/>
          <w:szCs w:val="24"/>
        </w:rPr>
        <w:t>ived Climate Pollutants =</w:t>
      </w:r>
      <w:r w:rsidR="00AB7843">
        <w:rPr>
          <w:rFonts w:ascii="Times New Roman" w:hAnsi="Times New Roman" w:cs="Times New Roman"/>
          <w:sz w:val="24"/>
          <w:szCs w:val="24"/>
        </w:rPr>
        <w:t xml:space="preserve"> SLCP</w:t>
      </w:r>
      <w:r w:rsidR="00202D29">
        <w:rPr>
          <w:rFonts w:ascii="Times New Roman" w:hAnsi="Times New Roman" w:cs="Times New Roman"/>
          <w:sz w:val="24"/>
          <w:szCs w:val="24"/>
        </w:rPr>
        <w:t>»</w:t>
      </w:r>
      <w:r w:rsidRPr="001557BB">
        <w:rPr>
          <w:rFonts w:ascii="Times New Roman" w:hAnsi="Times New Roman" w:cs="Times New Roman"/>
          <w:sz w:val="24"/>
          <w:szCs w:val="24"/>
        </w:rPr>
        <w:t xml:space="preserve">; l’intégration de la réduction des SLCP dans les processus de planification nationaux pertinents en vue de contribuer à la mise en œuvre rapide et à grande échelle des activités visant à réduire </w:t>
      </w:r>
      <w:r w:rsidR="00AB7843">
        <w:rPr>
          <w:rFonts w:ascii="Times New Roman" w:hAnsi="Times New Roman" w:cs="Times New Roman"/>
          <w:sz w:val="24"/>
          <w:szCs w:val="24"/>
        </w:rPr>
        <w:t>les SLCP au niveau national</w:t>
      </w:r>
      <w:r w:rsidRPr="001557BB">
        <w:rPr>
          <w:rFonts w:ascii="Times New Roman" w:hAnsi="Times New Roman" w:cs="Times New Roman"/>
          <w:sz w:val="24"/>
          <w:szCs w:val="24"/>
        </w:rPr>
        <w:t xml:space="preserve"> et le renforcement de la participation du Togo à des activités liées à d</w:t>
      </w:r>
      <w:r w:rsidR="00A05444">
        <w:rPr>
          <w:rFonts w:ascii="Times New Roman" w:hAnsi="Times New Roman" w:cs="Times New Roman"/>
          <w:sz w:val="24"/>
          <w:szCs w:val="24"/>
        </w:rPr>
        <w:t>'autres initiatives de la CCAC.</w:t>
      </w:r>
    </w:p>
    <w:p w14:paraId="6706B701" w14:textId="77777777" w:rsidR="00A05444" w:rsidRDefault="00A05444" w:rsidP="001557BB">
      <w:pPr>
        <w:autoSpaceDE w:val="0"/>
        <w:autoSpaceDN w:val="0"/>
        <w:adjustRightInd w:val="0"/>
        <w:snapToGrid w:val="0"/>
        <w:spacing w:after="0" w:line="240" w:lineRule="auto"/>
        <w:jc w:val="both"/>
        <w:rPr>
          <w:rFonts w:ascii="Times New Roman" w:hAnsi="Times New Roman" w:cs="Times New Roman"/>
          <w:sz w:val="24"/>
          <w:szCs w:val="24"/>
        </w:rPr>
      </w:pPr>
    </w:p>
    <w:p w14:paraId="07A79CC6" w14:textId="656EAA22" w:rsidR="00D31C6C" w:rsidRDefault="00D31C6C" w:rsidP="001557BB">
      <w:pPr>
        <w:autoSpaceDE w:val="0"/>
        <w:autoSpaceDN w:val="0"/>
        <w:adjustRightInd w:val="0"/>
        <w:snapToGri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Il faut noter également la prise en compte de la réduction des pollutions par la stratégie de croissance accélérée et de promotion de l’emploi (SCAPE) (2013-2017) intégrant les questions relatives à l’utilisation rationnelle et valorisation de la biodiversité à travers  l’axe stratégique 1 (Développement des secteurs à fort potentiel de croissance (protection et de développement des forêts, conservation et d’utilisation durable de la biodiversité et protection des écosystèmes particuliers) et l’axe stratégique 5 (la promotion d’un développement participatif, équilibré et durable (la lutte contre les changements climatiques, les pollutions et les nuisances, la prévention des catastrophes naturelles et la</w:t>
      </w:r>
      <w:r w:rsidR="001A457E">
        <w:rPr>
          <w:rFonts w:ascii="Times New Roman" w:hAnsi="Times New Roman" w:cs="Times New Roman"/>
          <w:sz w:val="24"/>
          <w:szCs w:val="24"/>
        </w:rPr>
        <w:t xml:space="preserve"> lutte contre l’érosion côtière</w:t>
      </w:r>
      <w:r w:rsidRPr="001557BB">
        <w:rPr>
          <w:rFonts w:ascii="Times New Roman" w:hAnsi="Times New Roman" w:cs="Times New Roman"/>
          <w:sz w:val="24"/>
          <w:szCs w:val="24"/>
        </w:rPr>
        <w:t>).</w:t>
      </w:r>
      <w:bookmarkStart w:id="65" w:name="_Toc418663139"/>
      <w:bookmarkStart w:id="66" w:name="_Toc422367533"/>
    </w:p>
    <w:p w14:paraId="443611A0" w14:textId="77777777" w:rsidR="001557BB" w:rsidRPr="001557BB" w:rsidRDefault="001557BB" w:rsidP="001557BB">
      <w:pPr>
        <w:autoSpaceDE w:val="0"/>
        <w:autoSpaceDN w:val="0"/>
        <w:adjustRightInd w:val="0"/>
        <w:snapToGrid w:val="0"/>
        <w:spacing w:after="0" w:line="240" w:lineRule="auto"/>
        <w:jc w:val="both"/>
        <w:rPr>
          <w:rFonts w:ascii="Times New Roman" w:hAnsi="Times New Roman" w:cs="Times New Roman"/>
          <w:sz w:val="24"/>
          <w:szCs w:val="24"/>
        </w:rPr>
      </w:pPr>
    </w:p>
    <w:p w14:paraId="694EFBB8" w14:textId="7B952065" w:rsidR="00D31C6C" w:rsidRPr="001557BB" w:rsidRDefault="00D31C6C" w:rsidP="001557BB">
      <w:pPr>
        <w:autoSpaceDE w:val="0"/>
        <w:autoSpaceDN w:val="0"/>
        <w:adjustRightInd w:val="0"/>
        <w:snapToGri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Par ailleurs, le Togo s’est engagé à effectuer périodiquement des inventaires des émissions par sources et de l’absorption par les puits de Gaz à Effet de Serre (GES) et à mettre en œuvre sa politique en vue de contribuer aux objectifs internationaux d’atténuation des émissions globales de GES.</w:t>
      </w:r>
      <w:bookmarkEnd w:id="65"/>
      <w:bookmarkEnd w:id="66"/>
      <w:r w:rsidRPr="001557BB">
        <w:rPr>
          <w:rFonts w:ascii="Times New Roman" w:hAnsi="Times New Roman" w:cs="Times New Roman"/>
          <w:sz w:val="24"/>
          <w:szCs w:val="24"/>
        </w:rPr>
        <w:t xml:space="preserve"> En dehors de ces conventions,  programmes et stratégies il faut noter des actions de suivi par satellite de la pollution ma</w:t>
      </w:r>
      <w:r w:rsidR="00AB7843">
        <w:rPr>
          <w:rFonts w:ascii="Times New Roman" w:hAnsi="Times New Roman" w:cs="Times New Roman"/>
          <w:sz w:val="24"/>
          <w:szCs w:val="24"/>
        </w:rPr>
        <w:t>rine par les hydrocarbures, de c</w:t>
      </w:r>
      <w:r w:rsidRPr="001557BB">
        <w:rPr>
          <w:rFonts w:ascii="Times New Roman" w:hAnsi="Times New Roman" w:cs="Times New Roman"/>
          <w:sz w:val="24"/>
          <w:szCs w:val="24"/>
        </w:rPr>
        <w:t>artographie de l’évolution du trait de côte, de sensibilisation    des  groupes  cibles  pour la lutte  contre les feux de végétation et pour la lutte contre  la  pollution  de  l’eau,  du  sol  et  de  l’air du  fait  de  l’épandage  des déchets solides et liquides dans la</w:t>
      </w:r>
      <w:r w:rsidR="001A457E">
        <w:rPr>
          <w:rFonts w:ascii="Times New Roman" w:hAnsi="Times New Roman" w:cs="Times New Roman"/>
          <w:sz w:val="24"/>
          <w:szCs w:val="24"/>
        </w:rPr>
        <w:t xml:space="preserve"> nature.</w:t>
      </w:r>
      <w:r w:rsidRPr="001557BB">
        <w:rPr>
          <w:rFonts w:ascii="Times New Roman" w:hAnsi="Times New Roman" w:cs="Times New Roman"/>
          <w:sz w:val="24"/>
          <w:szCs w:val="24"/>
        </w:rPr>
        <w:t xml:space="preserve"> </w:t>
      </w:r>
    </w:p>
    <w:p w14:paraId="161B9E75" w14:textId="77777777" w:rsidR="00D31C6C" w:rsidRPr="001557BB" w:rsidRDefault="00D31C6C" w:rsidP="001557BB">
      <w:pPr>
        <w:spacing w:after="0" w:line="240" w:lineRule="auto"/>
        <w:jc w:val="both"/>
        <w:rPr>
          <w:rFonts w:ascii="Times New Roman" w:hAnsi="Times New Roman" w:cs="Times New Roman"/>
          <w:i/>
          <w:iCs/>
          <w:sz w:val="24"/>
          <w:szCs w:val="24"/>
          <w:lang w:val="fr-CA"/>
        </w:rPr>
      </w:pPr>
    </w:p>
    <w:p w14:paraId="3C9AB576" w14:textId="6D47C083"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r w:rsidRPr="001557BB">
        <w:rPr>
          <w:rFonts w:ascii="Times New Roman" w:hAnsi="Times New Roman" w:cs="Times New Roman"/>
          <w:b/>
          <w:iCs/>
          <w:kern w:val="22"/>
          <w:sz w:val="24"/>
          <w:szCs w:val="24"/>
          <w:lang w:val="fr-CA"/>
        </w:rPr>
        <w:t xml:space="preserve">Objectif 9 </w:t>
      </w:r>
      <w:r w:rsidRPr="001557BB">
        <w:rPr>
          <w:rFonts w:ascii="Times New Roman" w:hAnsi="Times New Roman" w:cs="Times New Roman"/>
          <w:b/>
          <w:kern w:val="22"/>
          <w:sz w:val="24"/>
          <w:szCs w:val="24"/>
          <w:lang w:val="fr-CA"/>
        </w:rPr>
        <w:t xml:space="preserve">d’Aichi pour la biodiversité </w:t>
      </w:r>
      <w:r w:rsidR="00AB7843">
        <w:rPr>
          <w:rFonts w:ascii="Times New Roman" w:hAnsi="Times New Roman" w:cs="Times New Roman"/>
          <w:b/>
          <w:iCs/>
          <w:kern w:val="22"/>
          <w:sz w:val="24"/>
          <w:szCs w:val="24"/>
          <w:lang w:val="fr-CA"/>
        </w:rPr>
        <w:t>: l</w:t>
      </w:r>
      <w:r w:rsidRPr="001557BB">
        <w:rPr>
          <w:rFonts w:ascii="Times New Roman" w:hAnsi="Times New Roman" w:cs="Times New Roman"/>
          <w:b/>
          <w:iCs/>
          <w:kern w:val="22"/>
          <w:sz w:val="24"/>
          <w:szCs w:val="24"/>
          <w:lang w:val="fr-CA"/>
        </w:rPr>
        <w:t>es espèces exotiques envahissantes sont contrôlées</w:t>
      </w:r>
    </w:p>
    <w:p w14:paraId="16304A3C"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559C9585" w14:textId="77777777" w:rsidR="00D31C6C" w:rsidRPr="001557BB" w:rsidRDefault="00D31C6C" w:rsidP="001557BB">
      <w:pPr>
        <w:spacing w:after="0" w:line="240" w:lineRule="auto"/>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 xml:space="preserve">Les efforts pour la connaissance des espèces envahissantes se sont concentrés sur trois zones terrestres et la zone lagunaire avec le suivi phénologique des espèces telles que </w:t>
      </w:r>
      <w:r w:rsidRPr="001557BB">
        <w:rPr>
          <w:rFonts w:ascii="Times New Roman" w:hAnsi="Times New Roman" w:cs="Times New Roman"/>
          <w:i/>
          <w:iCs/>
          <w:sz w:val="24"/>
          <w:szCs w:val="24"/>
          <w:lang w:val="fr-CA"/>
        </w:rPr>
        <w:t>Eichhornia crassipes</w:t>
      </w:r>
      <w:r w:rsidRPr="001557BB">
        <w:rPr>
          <w:rFonts w:ascii="Times New Roman" w:hAnsi="Times New Roman" w:cs="Times New Roman"/>
          <w:iCs/>
          <w:sz w:val="24"/>
          <w:szCs w:val="24"/>
          <w:lang w:val="fr-CA"/>
        </w:rPr>
        <w:t xml:space="preserve">, </w:t>
      </w:r>
      <w:r w:rsidRPr="001557BB">
        <w:rPr>
          <w:rFonts w:ascii="Times New Roman" w:hAnsi="Times New Roman" w:cs="Times New Roman"/>
          <w:i/>
          <w:iCs/>
          <w:sz w:val="24"/>
          <w:szCs w:val="24"/>
          <w:lang w:val="fr-CA"/>
        </w:rPr>
        <w:t>Pistia stratiotes, Nymphaea lotus, Ipomoea aquatica.</w:t>
      </w:r>
      <w:r w:rsidRPr="001557BB">
        <w:rPr>
          <w:rFonts w:ascii="Times New Roman" w:hAnsi="Times New Roman" w:cs="Times New Roman"/>
          <w:iCs/>
          <w:sz w:val="24"/>
          <w:szCs w:val="24"/>
          <w:lang w:val="fr-CA"/>
        </w:rPr>
        <w:t xml:space="preserve"> Des essais de lutte biologique se sont rendus positifs à l’échelle expérimentale et nécessitent d’être vulgarisés. Vue la problématique que pose les plantes envahissantes sur la conservation de la diversité biologique locale, le Togo envisage renforcer la réglementation sur la circulation des ressources phytogénétiques.</w:t>
      </w:r>
    </w:p>
    <w:p w14:paraId="7320F238" w14:textId="77777777" w:rsidR="00D31C6C" w:rsidRDefault="00D31C6C" w:rsidP="001557BB">
      <w:pPr>
        <w:spacing w:after="0" w:line="240" w:lineRule="auto"/>
        <w:jc w:val="both"/>
        <w:rPr>
          <w:rFonts w:ascii="Times New Roman" w:hAnsi="Times New Roman" w:cs="Times New Roman"/>
          <w:iCs/>
          <w:sz w:val="24"/>
          <w:szCs w:val="24"/>
          <w:lang w:val="fr-CA"/>
        </w:rPr>
      </w:pPr>
    </w:p>
    <w:p w14:paraId="62EE3220" w14:textId="7E4FC262" w:rsidR="00D31C6C" w:rsidRPr="001557BB" w:rsidRDefault="00D31C6C" w:rsidP="001557BB">
      <w:pPr>
        <w:spacing w:after="0" w:line="240" w:lineRule="auto"/>
        <w:jc w:val="both"/>
        <w:rPr>
          <w:rFonts w:ascii="Times New Roman" w:hAnsi="Times New Roman" w:cs="Times New Roman"/>
          <w:i/>
          <w:iCs/>
          <w:sz w:val="24"/>
          <w:szCs w:val="24"/>
          <w:lang w:val="fr-CA"/>
        </w:rPr>
      </w:pPr>
      <w:r w:rsidRPr="001557BB">
        <w:rPr>
          <w:rFonts w:ascii="Times New Roman" w:hAnsi="Times New Roman" w:cs="Times New Roman"/>
          <w:b/>
          <w:iCs/>
          <w:kern w:val="22"/>
          <w:sz w:val="24"/>
          <w:szCs w:val="24"/>
          <w:lang w:val="fr-CA"/>
        </w:rPr>
        <w:t>Objectif 10</w:t>
      </w:r>
      <w:r w:rsidRPr="001557BB">
        <w:rPr>
          <w:rFonts w:ascii="Times New Roman" w:hAnsi="Times New Roman" w:cs="Times New Roman"/>
          <w:b/>
          <w:kern w:val="22"/>
          <w:sz w:val="24"/>
          <w:szCs w:val="24"/>
          <w:lang w:val="fr-CA"/>
        </w:rPr>
        <w:t xml:space="preserve"> d’Aichi pour la biodiversité</w:t>
      </w:r>
      <w:r w:rsidR="00AB7843">
        <w:rPr>
          <w:rFonts w:ascii="Times New Roman" w:hAnsi="Times New Roman" w:cs="Times New Roman"/>
          <w:b/>
          <w:iCs/>
          <w:kern w:val="22"/>
          <w:sz w:val="24"/>
          <w:szCs w:val="24"/>
          <w:lang w:val="fr-CA"/>
        </w:rPr>
        <w:t xml:space="preserve"> : é</w:t>
      </w:r>
      <w:r w:rsidRPr="001557BB">
        <w:rPr>
          <w:rFonts w:ascii="Times New Roman" w:hAnsi="Times New Roman" w:cs="Times New Roman"/>
          <w:b/>
          <w:iCs/>
          <w:kern w:val="22"/>
          <w:sz w:val="24"/>
          <w:szCs w:val="24"/>
          <w:lang w:val="fr-CA"/>
        </w:rPr>
        <w:t>cosystèmes vulnérables aux changements climatiques</w:t>
      </w:r>
    </w:p>
    <w:p w14:paraId="6705D1C9" w14:textId="77777777" w:rsidR="00D31C6C" w:rsidRPr="001557BB" w:rsidRDefault="00D31C6C" w:rsidP="001557BB">
      <w:pPr>
        <w:tabs>
          <w:tab w:val="left" w:pos="0"/>
          <w:tab w:val="left" w:pos="709"/>
          <w:tab w:val="left" w:pos="1843"/>
          <w:tab w:val="left" w:pos="2835"/>
          <w:tab w:val="left" w:pos="3543"/>
          <w:tab w:val="left" w:pos="4252"/>
          <w:tab w:val="left" w:pos="4961"/>
          <w:tab w:val="left" w:pos="5669"/>
          <w:tab w:val="left" w:pos="6378"/>
          <w:tab w:val="left" w:pos="7087"/>
          <w:tab w:val="left" w:pos="7795"/>
          <w:tab w:val="left" w:pos="7920"/>
        </w:tabs>
        <w:spacing w:after="0" w:line="240" w:lineRule="auto"/>
        <w:jc w:val="both"/>
        <w:rPr>
          <w:rFonts w:ascii="Times New Roman" w:hAnsi="Times New Roman" w:cs="Times New Roman"/>
          <w:i/>
          <w:iCs/>
          <w:sz w:val="24"/>
          <w:szCs w:val="24"/>
          <w:lang w:val="fr-CA"/>
        </w:rPr>
      </w:pPr>
    </w:p>
    <w:p w14:paraId="654DF5E4" w14:textId="77777777" w:rsidR="00D31C6C" w:rsidRPr="001557BB" w:rsidRDefault="00D31C6C" w:rsidP="001557BB">
      <w:pPr>
        <w:tabs>
          <w:tab w:val="left" w:pos="0"/>
          <w:tab w:val="left" w:pos="709"/>
          <w:tab w:val="left" w:pos="1843"/>
          <w:tab w:val="left" w:pos="2835"/>
          <w:tab w:val="left" w:pos="3543"/>
          <w:tab w:val="left" w:pos="4252"/>
          <w:tab w:val="left" w:pos="4961"/>
          <w:tab w:val="left" w:pos="5669"/>
          <w:tab w:val="left" w:pos="6378"/>
          <w:tab w:val="left" w:pos="7087"/>
          <w:tab w:val="left" w:pos="7795"/>
          <w:tab w:val="left" w:pos="7920"/>
        </w:tabs>
        <w:spacing w:after="0" w:line="240" w:lineRule="auto"/>
        <w:jc w:val="both"/>
        <w:rPr>
          <w:rStyle w:val="spipsurligne"/>
          <w:rFonts w:ascii="Times New Roman" w:hAnsi="Times New Roman" w:cs="Times New Roman"/>
          <w:bCs/>
          <w:color w:val="000000"/>
          <w:sz w:val="24"/>
          <w:szCs w:val="24"/>
        </w:rPr>
      </w:pPr>
      <w:r w:rsidRPr="001557BB">
        <w:rPr>
          <w:rStyle w:val="spipsurligne"/>
          <w:rFonts w:ascii="Times New Roman" w:hAnsi="Times New Roman" w:cs="Times New Roman"/>
          <w:color w:val="000000"/>
          <w:sz w:val="24"/>
          <w:szCs w:val="24"/>
        </w:rPr>
        <w:t xml:space="preserve">Les impacts considérables des changements climatiques sur les écosystèmes terrestres et aquatiques et donc sur le développement des populations togolaises ont incité les autorités togolaises à établir des bases solides légales et institutionnelles pour la résilience du Togo face à ces changements majeurs. Dans cette vision, de nombreuses stratégies et politiques ont été élaborées dans différents domaines </w:t>
      </w:r>
      <w:r w:rsidRPr="001557BB">
        <w:rPr>
          <w:rFonts w:ascii="Times New Roman" w:hAnsi="Times New Roman" w:cs="Times New Roman"/>
          <w:iCs/>
          <w:color w:val="000000"/>
          <w:sz w:val="24"/>
          <w:szCs w:val="24"/>
          <w:lang w:val="fr-CA"/>
        </w:rPr>
        <w:t>pour réduire la pression exercée sur les écosystèmes vulnérables</w:t>
      </w:r>
      <w:r w:rsidRPr="001557BB">
        <w:rPr>
          <w:rStyle w:val="spipsurligne"/>
          <w:rFonts w:ascii="Times New Roman" w:hAnsi="Times New Roman" w:cs="Times New Roman"/>
          <w:color w:val="000000"/>
          <w:sz w:val="24"/>
          <w:szCs w:val="24"/>
        </w:rPr>
        <w:t xml:space="preserve">. Parmi ces programmes et stratégies on peut citer : </w:t>
      </w:r>
      <w:r w:rsidRPr="001557BB">
        <w:rPr>
          <w:rStyle w:val="spipsurligne"/>
          <w:rFonts w:ascii="Times New Roman" w:hAnsi="Times New Roman" w:cs="Times New Roman"/>
          <w:bCs/>
          <w:color w:val="000000"/>
          <w:sz w:val="24"/>
          <w:szCs w:val="24"/>
        </w:rPr>
        <w:t>-le Programme d’Action National de lutte contre la désertification (PAN) qui vise à assurer au Togo une gestion durable des ressources naturelles et une atténuati</w:t>
      </w:r>
      <w:r w:rsidR="001557BB">
        <w:rPr>
          <w:rStyle w:val="spipsurligne"/>
          <w:rFonts w:ascii="Times New Roman" w:hAnsi="Times New Roman" w:cs="Times New Roman"/>
          <w:bCs/>
          <w:color w:val="000000"/>
          <w:sz w:val="24"/>
          <w:szCs w:val="24"/>
        </w:rPr>
        <w:t>on des effets de la sécheresse :</w:t>
      </w:r>
    </w:p>
    <w:p w14:paraId="7ADF1EEA" w14:textId="77777777" w:rsidR="001557BB" w:rsidRDefault="00D31C6C" w:rsidP="00E50666">
      <w:pPr>
        <w:pStyle w:val="Paragraphedeliste"/>
        <w:numPr>
          <w:ilvl w:val="0"/>
          <w:numId w:val="24"/>
        </w:numPr>
        <w:tabs>
          <w:tab w:val="left" w:pos="0"/>
          <w:tab w:val="left" w:pos="709"/>
          <w:tab w:val="left" w:pos="1843"/>
          <w:tab w:val="left" w:pos="2835"/>
          <w:tab w:val="left" w:pos="3543"/>
          <w:tab w:val="left" w:pos="4252"/>
          <w:tab w:val="left" w:pos="4961"/>
          <w:tab w:val="left" w:pos="5669"/>
          <w:tab w:val="left" w:pos="6378"/>
          <w:tab w:val="left" w:pos="7087"/>
          <w:tab w:val="left" w:pos="7795"/>
          <w:tab w:val="left" w:pos="7920"/>
        </w:tabs>
        <w:spacing w:after="0" w:line="240" w:lineRule="auto"/>
        <w:jc w:val="both"/>
        <w:rPr>
          <w:rStyle w:val="spipsurligne"/>
          <w:rFonts w:ascii="Times New Roman" w:hAnsi="Times New Roman" w:cs="Times New Roman"/>
          <w:bCs/>
          <w:color w:val="000000"/>
          <w:sz w:val="24"/>
          <w:szCs w:val="24"/>
        </w:rPr>
      </w:pPr>
      <w:r w:rsidRPr="001557BB">
        <w:rPr>
          <w:rStyle w:val="spipsurligne"/>
          <w:rFonts w:ascii="Times New Roman" w:hAnsi="Times New Roman" w:cs="Times New Roman"/>
          <w:bCs/>
          <w:color w:val="000000"/>
          <w:sz w:val="24"/>
          <w:szCs w:val="24"/>
        </w:rPr>
        <w:t>le Programme National d’Investissement Agricole et de Sécurité Alimentaire (PNIASA) qui prend en compte, dans les programmes agricoles, la promotion des pratiques de conservation de l’eau et du sol, de l’agroforesterie, de la sylviculture et la protection/restauration des aires protégées et des mangroves,</w:t>
      </w:r>
    </w:p>
    <w:p w14:paraId="5CB1F735" w14:textId="77777777" w:rsidR="001557BB" w:rsidRDefault="001557BB" w:rsidP="00E50666">
      <w:pPr>
        <w:pStyle w:val="Paragraphedeliste"/>
        <w:numPr>
          <w:ilvl w:val="0"/>
          <w:numId w:val="24"/>
        </w:numPr>
        <w:tabs>
          <w:tab w:val="left" w:pos="0"/>
          <w:tab w:val="left" w:pos="709"/>
          <w:tab w:val="left" w:pos="1843"/>
          <w:tab w:val="left" w:pos="2835"/>
          <w:tab w:val="left" w:pos="3543"/>
          <w:tab w:val="left" w:pos="4252"/>
          <w:tab w:val="left" w:pos="4961"/>
          <w:tab w:val="left" w:pos="5669"/>
          <w:tab w:val="left" w:pos="6378"/>
          <w:tab w:val="left" w:pos="7087"/>
          <w:tab w:val="left" w:pos="7795"/>
          <w:tab w:val="left" w:pos="7920"/>
        </w:tabs>
        <w:spacing w:after="0" w:line="240" w:lineRule="auto"/>
        <w:jc w:val="both"/>
        <w:rPr>
          <w:rStyle w:val="spipsurligne"/>
          <w:rFonts w:ascii="Times New Roman" w:hAnsi="Times New Roman" w:cs="Times New Roman"/>
          <w:bCs/>
          <w:color w:val="000000"/>
          <w:sz w:val="24"/>
          <w:szCs w:val="24"/>
        </w:rPr>
      </w:pPr>
      <w:r>
        <w:rPr>
          <w:rStyle w:val="spipsurligne"/>
          <w:rFonts w:ascii="Times New Roman" w:hAnsi="Times New Roman" w:cs="Times New Roman"/>
          <w:bCs/>
          <w:color w:val="000000"/>
          <w:sz w:val="24"/>
          <w:szCs w:val="24"/>
        </w:rPr>
        <w:t>l</w:t>
      </w:r>
      <w:r w:rsidR="00D31C6C" w:rsidRPr="001557BB">
        <w:rPr>
          <w:rStyle w:val="spipsurligne"/>
          <w:rFonts w:ascii="Times New Roman" w:hAnsi="Times New Roman" w:cs="Times New Roman"/>
          <w:bCs/>
          <w:color w:val="000000"/>
          <w:sz w:val="24"/>
          <w:szCs w:val="24"/>
        </w:rPr>
        <w:t xml:space="preserve">e PNIERN (2011-2015)  qui dans ses priorités d’investissement, a pris en compte l’atténuation des effets des changements climatiques sur les écosystèmes ; </w:t>
      </w:r>
    </w:p>
    <w:p w14:paraId="3265A45D" w14:textId="77777777" w:rsidR="00D31C6C" w:rsidRPr="001557BB" w:rsidRDefault="00D31C6C" w:rsidP="00E50666">
      <w:pPr>
        <w:pStyle w:val="Paragraphedeliste"/>
        <w:numPr>
          <w:ilvl w:val="0"/>
          <w:numId w:val="24"/>
        </w:numPr>
        <w:tabs>
          <w:tab w:val="left" w:pos="0"/>
          <w:tab w:val="left" w:pos="709"/>
          <w:tab w:val="left" w:pos="1843"/>
          <w:tab w:val="left" w:pos="2835"/>
          <w:tab w:val="left" w:pos="3543"/>
          <w:tab w:val="left" w:pos="4252"/>
          <w:tab w:val="left" w:pos="4961"/>
          <w:tab w:val="left" w:pos="5669"/>
          <w:tab w:val="left" w:pos="6378"/>
          <w:tab w:val="left" w:pos="7087"/>
          <w:tab w:val="left" w:pos="7795"/>
          <w:tab w:val="left" w:pos="7920"/>
        </w:tabs>
        <w:spacing w:after="0" w:line="240" w:lineRule="auto"/>
        <w:jc w:val="both"/>
        <w:rPr>
          <w:rStyle w:val="spipsurligne"/>
          <w:rFonts w:ascii="Times New Roman" w:hAnsi="Times New Roman" w:cs="Times New Roman"/>
          <w:bCs/>
          <w:color w:val="000000"/>
          <w:sz w:val="24"/>
          <w:szCs w:val="24"/>
        </w:rPr>
      </w:pPr>
      <w:r w:rsidRPr="001557BB">
        <w:rPr>
          <w:rStyle w:val="spipsurligne"/>
          <w:rFonts w:ascii="Times New Roman" w:hAnsi="Times New Roman" w:cs="Times New Roman"/>
          <w:bCs/>
          <w:color w:val="000000"/>
          <w:sz w:val="24"/>
          <w:szCs w:val="24"/>
        </w:rPr>
        <w:t xml:space="preserve">le processus REDD+ qui vise à infléchir la tendance à la dégradation et déforestation observée au Togo en optant pour une gestion durable des forêts existantes et un accroissement du patrimoine forestier. La </w:t>
      </w:r>
      <w:r w:rsidRPr="001557BB">
        <w:rPr>
          <w:rFonts w:ascii="Times New Roman" w:hAnsi="Times New Roman" w:cs="Times New Roman"/>
          <w:iCs/>
          <w:color w:val="000000"/>
          <w:sz w:val="24"/>
          <w:szCs w:val="24"/>
          <w:lang w:val="fr-CA"/>
        </w:rPr>
        <w:t xml:space="preserve">réalisation des études thématiques dans le cadre de REDD+permet de proposer des mesures à court, moyen et long termes devant conduire à faire face à tous les défis liés à la déforestation et à la dégradation des forêts, en assurant une gestion durable des forêts et l'augmentation de stocks de carbone et en préservant la biodiversité; cet engagement </w:t>
      </w:r>
      <w:r w:rsidRPr="001557BB">
        <w:rPr>
          <w:rFonts w:ascii="Times New Roman" w:hAnsi="Times New Roman" w:cs="Times New Roman"/>
          <w:iCs/>
          <w:sz w:val="24"/>
          <w:szCs w:val="24"/>
          <w:lang w:val="fr-CA"/>
        </w:rPr>
        <w:t xml:space="preserve">du Togo dans le processus REDD+ a permis de réaliser plusieurs  thématiques devant fournir les informations indispensables à l’aménagement et à la gestion durable des écosystèmes vulnérables au changements climatiques. </w:t>
      </w:r>
    </w:p>
    <w:p w14:paraId="005F6426" w14:textId="77777777" w:rsidR="00D31C6C" w:rsidRPr="001557BB" w:rsidRDefault="00D31C6C" w:rsidP="001557BB">
      <w:pPr>
        <w:tabs>
          <w:tab w:val="left" w:pos="0"/>
          <w:tab w:val="left" w:pos="709"/>
          <w:tab w:val="left" w:pos="1843"/>
          <w:tab w:val="left" w:pos="2835"/>
          <w:tab w:val="left" w:pos="3543"/>
          <w:tab w:val="left" w:pos="4252"/>
          <w:tab w:val="left" w:pos="4961"/>
          <w:tab w:val="left" w:pos="5669"/>
          <w:tab w:val="left" w:pos="6378"/>
          <w:tab w:val="left" w:pos="7087"/>
          <w:tab w:val="left" w:pos="7795"/>
          <w:tab w:val="left" w:pos="7920"/>
        </w:tabs>
        <w:spacing w:after="0" w:line="240" w:lineRule="auto"/>
        <w:jc w:val="both"/>
        <w:rPr>
          <w:rStyle w:val="spipsurligne"/>
          <w:rFonts w:ascii="Times New Roman" w:hAnsi="Times New Roman" w:cs="Times New Roman"/>
          <w:bCs/>
          <w:color w:val="000000"/>
          <w:sz w:val="24"/>
          <w:szCs w:val="24"/>
        </w:rPr>
      </w:pPr>
    </w:p>
    <w:p w14:paraId="6691A98B" w14:textId="29924964" w:rsidR="00D31C6C" w:rsidRDefault="00D31C6C" w:rsidP="001557BB">
      <w:pPr>
        <w:autoSpaceDE w:val="0"/>
        <w:autoSpaceDN w:val="0"/>
        <w:adjustRightInd w:val="0"/>
        <w:spacing w:after="0" w:line="240" w:lineRule="auto"/>
        <w:jc w:val="both"/>
        <w:rPr>
          <w:rFonts w:ascii="Times New Roman" w:hAnsi="Times New Roman" w:cs="Times New Roman"/>
          <w:iCs/>
          <w:color w:val="000000"/>
          <w:sz w:val="24"/>
          <w:szCs w:val="24"/>
          <w:lang w:val="fr-CA"/>
        </w:rPr>
      </w:pPr>
      <w:r w:rsidRPr="001557BB">
        <w:rPr>
          <w:rFonts w:ascii="Times New Roman" w:hAnsi="Times New Roman" w:cs="Times New Roman"/>
          <w:iCs/>
          <w:color w:val="000000"/>
          <w:sz w:val="24"/>
          <w:szCs w:val="24"/>
        </w:rPr>
        <w:t>En dehors des projets/programmes élaborés, d’autres actions ont été réalisées. L’on peut noter des actions de restauration qui concerne (i) le</w:t>
      </w:r>
      <w:r w:rsidR="00AB7843">
        <w:rPr>
          <w:rFonts w:ascii="Times New Roman" w:hAnsi="Times New Roman" w:cs="Times New Roman"/>
          <w:iCs/>
          <w:color w:val="000000"/>
          <w:sz w:val="24"/>
          <w:szCs w:val="24"/>
        </w:rPr>
        <w:t xml:space="preserve"> reboisement /enrichissement de</w:t>
      </w:r>
      <w:r w:rsidRPr="001557BB">
        <w:rPr>
          <w:rFonts w:ascii="Times New Roman" w:hAnsi="Times New Roman" w:cs="Times New Roman"/>
          <w:iCs/>
          <w:color w:val="000000"/>
          <w:sz w:val="24"/>
          <w:szCs w:val="24"/>
        </w:rPr>
        <w:t xml:space="preserve"> la forêt galerie,</w:t>
      </w:r>
      <w:r w:rsidR="00AB7843">
        <w:rPr>
          <w:rFonts w:ascii="Times New Roman" w:hAnsi="Times New Roman" w:cs="Times New Roman"/>
          <w:iCs/>
          <w:color w:val="000000"/>
          <w:sz w:val="24"/>
          <w:szCs w:val="24"/>
        </w:rPr>
        <w:t xml:space="preserve"> </w:t>
      </w:r>
      <w:r w:rsidRPr="001557BB">
        <w:rPr>
          <w:rFonts w:ascii="Times New Roman" w:hAnsi="Times New Roman" w:cs="Times New Roman"/>
          <w:iCs/>
          <w:color w:val="000000"/>
          <w:sz w:val="24"/>
          <w:szCs w:val="24"/>
        </w:rPr>
        <w:t>(ii) le reboisement des berges des cours d’eau, (iii) le r</w:t>
      </w:r>
      <w:r w:rsidRPr="001557BB">
        <w:rPr>
          <w:rFonts w:ascii="Times New Roman" w:hAnsi="Times New Roman" w:cs="Times New Roman"/>
          <w:color w:val="000000"/>
          <w:sz w:val="24"/>
          <w:szCs w:val="24"/>
        </w:rPr>
        <w:t>eboisement de flancs de montagnes dégradées, les actions communautaire</w:t>
      </w:r>
      <w:r w:rsidR="001A457E">
        <w:rPr>
          <w:rFonts w:ascii="Times New Roman" w:hAnsi="Times New Roman" w:cs="Times New Roman"/>
          <w:color w:val="000000"/>
          <w:sz w:val="24"/>
          <w:szCs w:val="24"/>
        </w:rPr>
        <w:t>s</w:t>
      </w:r>
      <w:r w:rsidRPr="001557BB">
        <w:rPr>
          <w:rFonts w:ascii="Times New Roman" w:hAnsi="Times New Roman" w:cs="Times New Roman"/>
          <w:color w:val="000000"/>
          <w:sz w:val="24"/>
          <w:szCs w:val="24"/>
        </w:rPr>
        <w:t xml:space="preserve"> pour la lutte contre la dégradation du couvert végétal, les éboulements du flanc des montagnes, (iv) la restauration de la mangrove autour du lac de </w:t>
      </w:r>
      <w:r w:rsidR="001A457E">
        <w:rPr>
          <w:rFonts w:ascii="Times New Roman" w:hAnsi="Times New Roman" w:cs="Times New Roman"/>
          <w:color w:val="000000"/>
          <w:sz w:val="24"/>
          <w:szCs w:val="24"/>
        </w:rPr>
        <w:t>Zowla (préfecture des Lacs), etc.</w:t>
      </w:r>
      <w:r w:rsidRPr="001557BB">
        <w:rPr>
          <w:rFonts w:ascii="Times New Roman" w:hAnsi="Times New Roman" w:cs="Times New Roman"/>
          <w:color w:val="000000"/>
          <w:sz w:val="24"/>
          <w:szCs w:val="24"/>
        </w:rPr>
        <w:t xml:space="preserve"> Certaines actions sont liées à la gestion des feux. Il s’agit de </w:t>
      </w:r>
      <w:r w:rsidRPr="001557BB">
        <w:rPr>
          <w:rFonts w:ascii="Times New Roman" w:hAnsi="Times New Roman" w:cs="Times New Roman"/>
          <w:iCs/>
          <w:color w:val="000000"/>
          <w:sz w:val="24"/>
          <w:szCs w:val="24"/>
          <w:lang w:val="fr-CA"/>
        </w:rPr>
        <w:t>la mise en place et redynamisation des comités anti-feux au niveau des communautés, la réalisation des pare-feu et surveillance des plantations de certains écosystèmes particuliers, le lancement chaque année des campagnes de feux de végétation précoce pour minimiser les conséquences des feux tardifs, sensibilisation</w:t>
      </w:r>
      <w:r w:rsidRPr="001557BB">
        <w:rPr>
          <w:rFonts w:ascii="Times New Roman" w:hAnsi="Times New Roman" w:cs="Times New Roman"/>
          <w:color w:val="000000"/>
          <w:sz w:val="24"/>
          <w:szCs w:val="24"/>
        </w:rPr>
        <w:t xml:space="preserve"> sur les méfaits des feux tardifs et mise en place d’une unité de surveillance du littoral</w:t>
      </w:r>
      <w:r w:rsidRPr="001557BB">
        <w:rPr>
          <w:rFonts w:ascii="Times New Roman" w:hAnsi="Times New Roman" w:cs="Times New Roman"/>
          <w:iCs/>
          <w:color w:val="000000"/>
          <w:sz w:val="24"/>
          <w:szCs w:val="24"/>
          <w:lang w:val="fr-CA"/>
        </w:rPr>
        <w:t>.</w:t>
      </w:r>
    </w:p>
    <w:p w14:paraId="7D222BFC"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i/>
          <w:iCs/>
          <w:sz w:val="24"/>
          <w:szCs w:val="24"/>
          <w:lang w:val="fr-CA"/>
        </w:rPr>
      </w:pPr>
    </w:p>
    <w:p w14:paraId="22FE5FC1"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i/>
          <w:iCs/>
          <w:sz w:val="24"/>
          <w:szCs w:val="24"/>
          <w:lang w:val="fr-CA"/>
        </w:rPr>
      </w:pPr>
      <w:r w:rsidRPr="001557BB">
        <w:rPr>
          <w:rFonts w:ascii="Times New Roman" w:hAnsi="Times New Roman" w:cs="Times New Roman"/>
          <w:b/>
          <w:iCs/>
          <w:kern w:val="22"/>
          <w:sz w:val="24"/>
          <w:szCs w:val="24"/>
          <w:lang w:val="fr-CA"/>
        </w:rPr>
        <w:t xml:space="preserve">Objectif 11 </w:t>
      </w:r>
      <w:r w:rsidRPr="001557BB">
        <w:rPr>
          <w:rFonts w:ascii="Times New Roman" w:hAnsi="Times New Roman" w:cs="Times New Roman"/>
          <w:b/>
          <w:kern w:val="22"/>
          <w:sz w:val="24"/>
          <w:szCs w:val="24"/>
          <w:lang w:val="fr-CA"/>
        </w:rPr>
        <w:t xml:space="preserve">d’Aichi pour la biodiversité </w:t>
      </w:r>
      <w:r w:rsidRPr="001557BB">
        <w:rPr>
          <w:rFonts w:ascii="Times New Roman" w:hAnsi="Times New Roman" w:cs="Times New Roman"/>
          <w:b/>
          <w:iCs/>
          <w:kern w:val="22"/>
          <w:sz w:val="24"/>
          <w:szCs w:val="24"/>
          <w:lang w:val="fr-CA"/>
        </w:rPr>
        <w:t>: Les aires protégées</w:t>
      </w:r>
    </w:p>
    <w:p w14:paraId="13AC36AC" w14:textId="77777777" w:rsidR="00D31C6C" w:rsidRPr="001557BB" w:rsidRDefault="00D31C6C" w:rsidP="001557BB">
      <w:pPr>
        <w:pStyle w:val="Commentaire"/>
        <w:spacing w:after="0"/>
        <w:jc w:val="both"/>
        <w:rPr>
          <w:rFonts w:ascii="Times New Roman" w:hAnsi="Times New Roman" w:cs="Times New Roman"/>
          <w:i/>
          <w:iCs/>
          <w:sz w:val="24"/>
          <w:szCs w:val="24"/>
          <w:lang w:val="fr-CA"/>
        </w:rPr>
      </w:pPr>
    </w:p>
    <w:p w14:paraId="50BA29DE" w14:textId="2FDCBBFE" w:rsidR="00D31C6C" w:rsidRPr="001557BB" w:rsidRDefault="00D31C6C" w:rsidP="001557BB">
      <w:pPr>
        <w:pStyle w:val="Commentaire"/>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Comme indiqué dans la SPANB (MERF, 2014), jusqu’en 1990, le Togo disposait légalement de 83 aires protégées considérées comme des écosystèmes particuliers. La plupart de ces aires sont partiellement ou totalement envahies avec un taux d’occupation allant de 10 à 100% pour certaines aires protégées. Cependant ces dernières années, les autorités togolaises ont initié des mécanismes et mis en œuvre une gestion «participative» de ces territoires classés ainsi que toutes les questions touchant la gestion des ressources naturelles. Ainsi, le Togo s’est engagé depuis 1999 dans un processus de réhabilitation et de requalification des aires protégées encore viables à travers le programme COM-STABEX 91-94. Ce programme conjoint Gouvernement/Union Européenne a permis de rechercher l’équilibre entre la nécessité de préserver la diversité biologique et les besoins agricoles des populations locales. La mise en œuvre des stratégies de concertation avec les différents acteurs a conduit à</w:t>
      </w:r>
      <w:r w:rsidR="00AB7843">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w:t>
      </w:r>
    </w:p>
    <w:p w14:paraId="10E50B22" w14:textId="4224DAE9" w:rsidR="001557BB" w:rsidRDefault="00D31C6C" w:rsidP="00E50666">
      <w:pPr>
        <w:pStyle w:val="Commentaire"/>
        <w:numPr>
          <w:ilvl w:val="0"/>
          <w:numId w:val="25"/>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l’adoption d’un cadre normalisé de gestion des aires protégées suivant le décret n°2003/237/PR du 27 Juillet 2003 et son texte d’application</w:t>
      </w:r>
      <w:r w:rsidR="00AB7843">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w:t>
      </w:r>
    </w:p>
    <w:p w14:paraId="3DE8D6E4" w14:textId="772C4D86" w:rsidR="001557BB" w:rsidRDefault="00D31C6C" w:rsidP="00E50666">
      <w:pPr>
        <w:pStyle w:val="Commentaire"/>
        <w:numPr>
          <w:ilvl w:val="0"/>
          <w:numId w:val="25"/>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le bornage total ou partiel de l’aire protégée de l’Oti-Kéran, de la Fosse aux Lions, d’Abdoulaye</w:t>
      </w:r>
      <w:r w:rsidR="00AB7843">
        <w:rPr>
          <w:rFonts w:ascii="Times New Roman" w:hAnsi="Times New Roman" w:cs="Times New Roman"/>
          <w:iCs/>
          <w:sz w:val="24"/>
          <w:szCs w:val="24"/>
          <w:lang w:val="fr-CA"/>
        </w:rPr>
        <w:t>, de l’Oti-Mandouri, Togodo Nord et Togodo-Sud ;</w:t>
      </w:r>
    </w:p>
    <w:p w14:paraId="2888C3DE" w14:textId="53AE1A05" w:rsidR="00D31C6C" w:rsidRPr="001557BB" w:rsidRDefault="00D31C6C" w:rsidP="00E50666">
      <w:pPr>
        <w:pStyle w:val="Commentaire"/>
        <w:numPr>
          <w:ilvl w:val="0"/>
          <w:numId w:val="25"/>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la requalification de certaines aires protégées classées prioritaires à savoir Bayémé (préfecture de Zio), Togodo Sud (préfecture de Yoto), Togodo Nord (préfecture de Haho), Amou-M</w:t>
      </w:r>
      <w:r w:rsidR="001A457E">
        <w:rPr>
          <w:rFonts w:ascii="Times New Roman" w:hAnsi="Times New Roman" w:cs="Times New Roman"/>
          <w:iCs/>
          <w:sz w:val="24"/>
          <w:szCs w:val="24"/>
          <w:lang w:val="fr-CA"/>
        </w:rPr>
        <w:t>ono (préfecture de l’Ogou), Gala</w:t>
      </w:r>
      <w:r w:rsidRPr="001557BB">
        <w:rPr>
          <w:rFonts w:ascii="Times New Roman" w:hAnsi="Times New Roman" w:cs="Times New Roman"/>
          <w:iCs/>
          <w:sz w:val="24"/>
          <w:szCs w:val="24"/>
          <w:lang w:val="fr-CA"/>
        </w:rPr>
        <w:t>ngashie (préfecture de l’Oti), Forêt de Doung (préfecture de Tandjouaré).</w:t>
      </w:r>
    </w:p>
    <w:p w14:paraId="21CEE9BA" w14:textId="77777777" w:rsidR="001557BB" w:rsidRDefault="001557BB" w:rsidP="001557BB">
      <w:pPr>
        <w:pStyle w:val="Commentaire"/>
        <w:spacing w:after="0"/>
        <w:jc w:val="both"/>
        <w:rPr>
          <w:rFonts w:ascii="Times New Roman" w:hAnsi="Times New Roman" w:cs="Times New Roman"/>
          <w:iCs/>
          <w:sz w:val="24"/>
          <w:szCs w:val="24"/>
          <w:lang w:val="fr-CA"/>
        </w:rPr>
      </w:pPr>
    </w:p>
    <w:p w14:paraId="19E94264" w14:textId="52CE98E2" w:rsidR="00D31C6C" w:rsidRPr="001557BB" w:rsidRDefault="00D31C6C" w:rsidP="001557BB">
      <w:pPr>
        <w:pStyle w:val="Commentaire"/>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Dans la mise en application du cadre normalisé de gestion des domaines classés, le Togo s’est fixé comme objectif la restauration et la sécurisation de 578 245,741 ha d’aires protégées</w:t>
      </w:r>
      <w:r w:rsidR="007A605E">
        <w:rPr>
          <w:rFonts w:ascii="Times New Roman" w:hAnsi="Times New Roman" w:cs="Times New Roman"/>
          <w:iCs/>
          <w:sz w:val="24"/>
          <w:szCs w:val="24"/>
          <w:lang w:val="fr-CA"/>
        </w:rPr>
        <w:t>,</w:t>
      </w:r>
      <w:r w:rsidRPr="001557BB">
        <w:rPr>
          <w:rFonts w:ascii="Times New Roman" w:hAnsi="Times New Roman" w:cs="Times New Roman"/>
          <w:iCs/>
          <w:sz w:val="24"/>
          <w:szCs w:val="24"/>
          <w:lang w:val="fr-CA"/>
        </w:rPr>
        <w:t xml:space="preserve"> soit environ 10,21% du territoire national. De ce fait, le dialogue est restauré avec les populations riveraines à travers la création des Associations Villageoises de Gestion Participative des Aires Protégées (AVGAP) et l’Union des Associations Villageoises de Gestion Participative des Aires Protégées (UAVGAP) qui participent activement à la gestion des aires protégées. Dans ce contexte, le Togo a bénéficié de l’appui de l’Union Européenne (UE) et du Fonds pour l’Environnement Mondial (FEM) pour la mise en œuvre </w:t>
      </w:r>
      <w:r w:rsidR="007A605E">
        <w:rPr>
          <w:rFonts w:ascii="Times New Roman" w:hAnsi="Times New Roman" w:cs="Times New Roman"/>
          <w:iCs/>
          <w:sz w:val="24"/>
          <w:szCs w:val="24"/>
          <w:lang w:val="fr-CA"/>
        </w:rPr>
        <w:t>du</w:t>
      </w:r>
      <w:r w:rsidRPr="001557BB">
        <w:rPr>
          <w:rFonts w:ascii="Times New Roman" w:hAnsi="Times New Roman" w:cs="Times New Roman"/>
          <w:iCs/>
          <w:sz w:val="24"/>
          <w:szCs w:val="24"/>
          <w:lang w:val="fr-CA"/>
        </w:rPr>
        <w:t xml:space="preserve"> projet de renforcement du rôle de conservation du système national d’AP</w:t>
      </w:r>
      <w:r w:rsidR="00F036AC">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 xml:space="preserve">du Togo </w:t>
      </w:r>
      <w:r w:rsidR="00F036AC">
        <w:rPr>
          <w:rFonts w:ascii="Times New Roman" w:hAnsi="Times New Roman" w:cs="Times New Roman"/>
          <w:iCs/>
          <w:sz w:val="24"/>
          <w:szCs w:val="24"/>
          <w:lang w:val="fr-CA"/>
        </w:rPr>
        <w:t>(PRAPT)</w:t>
      </w:r>
      <w:r w:rsidR="00F036AC" w:rsidRPr="001557BB">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 xml:space="preserve">avec un accent particulier sur la gestion efficace du complexe Oti-Kéran-Mandouri (OKM) contigu au complexe W-Arly-Pendjari (WAP) partagé par trois autres pays (Bénin, Burkina Faso, Niger). La stratégie de mise en œuvre de ce projet s’appuie sur: (i) l’amélioration du cadre d’action, juridique et institutionnel du domaine d’AP et (ii) la gestion efficace du Complexe d’aires protégées OKM. En vue de participer à la conservation de la diversité biologique au plan régional, le Togo a souhaité l’intégration du complexe OKM dans le Programme d’Appui aux Parcs de l’Entente (PAPE) en vue de constituer un ensemble plus vaste pour le maintien des processus écologiques dans l’intégralité de leurs écosystèmes. </w:t>
      </w:r>
    </w:p>
    <w:p w14:paraId="24A4A430" w14:textId="77777777" w:rsidR="00D31C6C" w:rsidRPr="001557BB" w:rsidRDefault="00D31C6C" w:rsidP="001557BB">
      <w:pPr>
        <w:pStyle w:val="Commentaire"/>
        <w:spacing w:after="0"/>
        <w:jc w:val="both"/>
        <w:rPr>
          <w:rFonts w:ascii="Times New Roman" w:hAnsi="Times New Roman" w:cs="Times New Roman"/>
          <w:iCs/>
          <w:sz w:val="24"/>
          <w:szCs w:val="24"/>
          <w:lang w:val="fr-CA"/>
        </w:rPr>
      </w:pPr>
    </w:p>
    <w:p w14:paraId="5B3B7F35" w14:textId="32C9F905" w:rsidR="00D31C6C" w:rsidRDefault="00D31C6C" w:rsidP="001557BB">
      <w:pPr>
        <w:pStyle w:val="Commentaire"/>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Il faut aussi noter les actions spécifiques réalisées dan</w:t>
      </w:r>
      <w:r w:rsidR="001A457E">
        <w:rPr>
          <w:rFonts w:ascii="Times New Roman" w:hAnsi="Times New Roman" w:cs="Times New Roman"/>
          <w:iCs/>
          <w:sz w:val="24"/>
          <w:szCs w:val="24"/>
          <w:lang w:val="fr-CA"/>
        </w:rPr>
        <w:t>s le cadre du (</w:t>
      </w:r>
      <w:r w:rsidRPr="001557BB">
        <w:rPr>
          <w:rFonts w:ascii="Times New Roman" w:hAnsi="Times New Roman" w:cs="Times New Roman"/>
          <w:iCs/>
          <w:sz w:val="24"/>
          <w:szCs w:val="24"/>
          <w:lang w:val="fr-CA"/>
        </w:rPr>
        <w:t>PRAPT</w:t>
      </w:r>
      <w:r w:rsidR="001A457E">
        <w:rPr>
          <w:rFonts w:ascii="Times New Roman" w:hAnsi="Times New Roman" w:cs="Times New Roman"/>
          <w:iCs/>
          <w:sz w:val="24"/>
          <w:szCs w:val="24"/>
          <w:lang w:val="fr-CA"/>
        </w:rPr>
        <w:t>)</w:t>
      </w:r>
      <w:r w:rsidRPr="001557BB">
        <w:rPr>
          <w:rFonts w:ascii="Times New Roman" w:hAnsi="Times New Roman" w:cs="Times New Roman"/>
          <w:iCs/>
          <w:sz w:val="24"/>
          <w:szCs w:val="24"/>
          <w:lang w:val="fr-CA"/>
        </w:rPr>
        <w:t>. Il s’agit</w:t>
      </w:r>
      <w:r w:rsidR="001A457E">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de :</w:t>
      </w:r>
    </w:p>
    <w:p w14:paraId="13E8C534" w14:textId="77777777" w:rsidR="007A605E" w:rsidRPr="007A605E" w:rsidRDefault="007A605E" w:rsidP="001557BB">
      <w:pPr>
        <w:pStyle w:val="Commentaire"/>
        <w:spacing w:after="0"/>
        <w:jc w:val="both"/>
        <w:rPr>
          <w:rFonts w:ascii="Times New Roman" w:hAnsi="Times New Roman" w:cs="Times New Roman"/>
          <w:iCs/>
          <w:sz w:val="8"/>
          <w:szCs w:val="24"/>
          <w:lang w:val="fr-CA"/>
        </w:rPr>
      </w:pPr>
    </w:p>
    <w:p w14:paraId="148BEFD2" w14:textId="63E20D91" w:rsidR="001557BB" w:rsidRDefault="00D31C6C" w:rsidP="00E50666">
      <w:pPr>
        <w:pStyle w:val="Commentaire"/>
        <w:numPr>
          <w:ilvl w:val="0"/>
          <w:numId w:val="26"/>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l’organisation d’une réunion du comité de pilotage et la validation du plan de travail biennal (2017-2018) qui avait pour objet de relancer les activités du projet en 2017 tout en tenant compte (i) d’un recentrage de la gestion du projet sur le parc Fazao-Malfakassa comme site du projet en remplacement du complexe Oti-Kéran-Mandouri conformément aux orientations du gouvernement, et (ii) de l’extension du projet qui court jusqu’à juin 2018 telle qu’approuvé par le Fonds pour l’Environnement Mondial (FEM)</w:t>
      </w:r>
      <w:r w:rsidR="007A605E">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w:t>
      </w:r>
    </w:p>
    <w:p w14:paraId="577BFD6A" w14:textId="77777777" w:rsidR="001557BB" w:rsidRDefault="00D31C6C" w:rsidP="00E50666">
      <w:pPr>
        <w:pStyle w:val="Commentaire"/>
        <w:numPr>
          <w:ilvl w:val="0"/>
          <w:numId w:val="26"/>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l’organisation des formations des différentes parties prenantes notamment les membres du Comité local de gestion du parc Fazao-Malfakassa et les membres de certaines UAVGAPs pour contribuer à assurer les fonctions vitales de surveillance et de respect des AP, à mieux comprendre les notions de cogestion et de la vie associative et en recherche de financement ;</w:t>
      </w:r>
    </w:p>
    <w:p w14:paraId="4AB5B934" w14:textId="77777777" w:rsidR="001557BB" w:rsidRDefault="00D31C6C" w:rsidP="00E50666">
      <w:pPr>
        <w:pStyle w:val="Commentaire"/>
        <w:numPr>
          <w:ilvl w:val="0"/>
          <w:numId w:val="26"/>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l’élaboration et la validation d’un plan d’aménagement et de gestion à Fazao-Malfakassa ;</w:t>
      </w:r>
    </w:p>
    <w:p w14:paraId="388ED6BC" w14:textId="722F5DEC" w:rsidR="001557BB" w:rsidRDefault="00D31C6C" w:rsidP="00E50666">
      <w:pPr>
        <w:pStyle w:val="Commentaire"/>
        <w:numPr>
          <w:ilvl w:val="0"/>
          <w:numId w:val="26"/>
        </w:numPr>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l’élaboration et mise en place du dispositif de suivi écologique dans cette aire protégée</w:t>
      </w:r>
      <w:r w:rsidR="007A605E">
        <w:rPr>
          <w:rFonts w:ascii="Times New Roman" w:hAnsi="Times New Roman" w:cs="Times New Roman"/>
          <w:iCs/>
          <w:sz w:val="24"/>
          <w:szCs w:val="24"/>
          <w:lang w:val="fr-CA"/>
        </w:rPr>
        <w:t xml:space="preserve"> </w:t>
      </w:r>
      <w:r w:rsidRPr="001557BB">
        <w:rPr>
          <w:rFonts w:ascii="Times New Roman" w:hAnsi="Times New Roman" w:cs="Times New Roman"/>
          <w:iCs/>
          <w:sz w:val="24"/>
          <w:szCs w:val="24"/>
          <w:lang w:val="fr-CA"/>
        </w:rPr>
        <w:t>;</w:t>
      </w:r>
    </w:p>
    <w:p w14:paraId="5AD0B1C7" w14:textId="77777777" w:rsidR="00D31C6C" w:rsidRPr="001557BB" w:rsidRDefault="001557BB" w:rsidP="00E50666">
      <w:pPr>
        <w:pStyle w:val="Commentaire"/>
        <w:numPr>
          <w:ilvl w:val="0"/>
          <w:numId w:val="26"/>
        </w:numPr>
        <w:spacing w:after="0"/>
        <w:jc w:val="both"/>
        <w:rPr>
          <w:rFonts w:ascii="Times New Roman" w:hAnsi="Times New Roman" w:cs="Times New Roman"/>
          <w:iCs/>
          <w:sz w:val="24"/>
          <w:szCs w:val="24"/>
          <w:lang w:val="fr-CA"/>
        </w:rPr>
      </w:pPr>
      <w:r>
        <w:rPr>
          <w:rFonts w:ascii="Times New Roman" w:hAnsi="Times New Roman" w:cs="Times New Roman"/>
          <w:iCs/>
          <w:sz w:val="24"/>
          <w:szCs w:val="24"/>
          <w:lang w:val="fr-CA"/>
        </w:rPr>
        <w:t xml:space="preserve">la </w:t>
      </w:r>
      <w:r w:rsidR="00D31C6C" w:rsidRPr="001557BB">
        <w:rPr>
          <w:rFonts w:ascii="Times New Roman" w:hAnsi="Times New Roman" w:cs="Times New Roman"/>
          <w:iCs/>
          <w:sz w:val="24"/>
          <w:szCs w:val="24"/>
          <w:lang w:val="fr-CA"/>
        </w:rPr>
        <w:t xml:space="preserve">sensibilisation de plus de 1000 personnes des villages riverains du parc Fazao-Malfakassa. Au cours de la mise en œuvre de ces activités, les parties </w:t>
      </w:r>
      <w:r>
        <w:rPr>
          <w:rFonts w:ascii="Times New Roman" w:hAnsi="Times New Roman" w:cs="Times New Roman"/>
          <w:iCs/>
          <w:sz w:val="24"/>
          <w:szCs w:val="24"/>
          <w:lang w:val="fr-CA"/>
        </w:rPr>
        <w:t>prenantes ont souhaité participer</w:t>
      </w:r>
      <w:r w:rsidR="00D31C6C" w:rsidRPr="001557BB">
        <w:rPr>
          <w:rFonts w:ascii="Times New Roman" w:hAnsi="Times New Roman" w:cs="Times New Roman"/>
          <w:iCs/>
          <w:sz w:val="24"/>
          <w:szCs w:val="24"/>
          <w:lang w:val="fr-CA"/>
        </w:rPr>
        <w:t xml:space="preserve"> effectivement à la prise de décisions et à la conserv</w:t>
      </w:r>
      <w:r>
        <w:rPr>
          <w:rFonts w:ascii="Times New Roman" w:hAnsi="Times New Roman" w:cs="Times New Roman"/>
          <w:iCs/>
          <w:sz w:val="24"/>
          <w:szCs w:val="24"/>
          <w:lang w:val="fr-CA"/>
        </w:rPr>
        <w:t>ation du parc Fazao-Malfakassa.</w:t>
      </w:r>
    </w:p>
    <w:p w14:paraId="13410413" w14:textId="77777777" w:rsidR="00D31C6C" w:rsidRPr="001557BB" w:rsidRDefault="00D31C6C" w:rsidP="001557BB">
      <w:pPr>
        <w:pStyle w:val="Commentaire"/>
        <w:spacing w:after="0"/>
        <w:jc w:val="both"/>
        <w:rPr>
          <w:rFonts w:ascii="Times New Roman" w:hAnsi="Times New Roman" w:cs="Times New Roman"/>
          <w:iCs/>
          <w:sz w:val="24"/>
          <w:szCs w:val="24"/>
          <w:lang w:val="fr-CA"/>
        </w:rPr>
      </w:pPr>
    </w:p>
    <w:p w14:paraId="40460C24" w14:textId="0F6D1691" w:rsidR="00A05444" w:rsidRPr="00F971D4" w:rsidRDefault="00D31C6C" w:rsidP="001557BB">
      <w:pPr>
        <w:pStyle w:val="Commentaire"/>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Il faut par ailleurs préciser que le delta du Mono a été officiellement reconnu en juin 2017 par l’UNESCO comme réserve d</w:t>
      </w:r>
      <w:r w:rsidR="001A457E">
        <w:rPr>
          <w:rFonts w:ascii="Times New Roman" w:hAnsi="Times New Roman" w:cs="Times New Roman"/>
          <w:iCs/>
          <w:sz w:val="24"/>
          <w:szCs w:val="24"/>
          <w:lang w:val="fr-CA"/>
        </w:rPr>
        <w:t xml:space="preserve">e biosphère transfrontalière qui </w:t>
      </w:r>
      <w:r w:rsidRPr="001557BB">
        <w:rPr>
          <w:rFonts w:ascii="Times New Roman" w:hAnsi="Times New Roman" w:cs="Times New Roman"/>
          <w:iCs/>
          <w:sz w:val="24"/>
          <w:szCs w:val="24"/>
          <w:lang w:val="fr-CA"/>
        </w:rPr>
        <w:t xml:space="preserve">intègre le réseau mondial des réserves de biosphère de l’UNESCO. D’une superficie totale de 146 088 hectares, la réserve </w:t>
      </w:r>
      <w:r w:rsidR="001A457E">
        <w:rPr>
          <w:rFonts w:ascii="Times New Roman" w:hAnsi="Times New Roman" w:cs="Times New Roman"/>
          <w:iCs/>
          <w:sz w:val="24"/>
          <w:szCs w:val="24"/>
          <w:lang w:val="fr-CA"/>
        </w:rPr>
        <w:t xml:space="preserve">de </w:t>
      </w:r>
      <w:r w:rsidRPr="001557BB">
        <w:rPr>
          <w:rFonts w:ascii="Times New Roman" w:hAnsi="Times New Roman" w:cs="Times New Roman"/>
          <w:iCs/>
          <w:sz w:val="24"/>
          <w:szCs w:val="24"/>
          <w:lang w:val="fr-CA"/>
        </w:rPr>
        <w:t xml:space="preserve">biosphère transfrontalière du Delta du Mono est un patrimoine communautaire de conservation de biodiversité que le Bénin a en partage avec le Togo. En effet, </w:t>
      </w:r>
      <w:r w:rsidR="001A457E">
        <w:rPr>
          <w:rFonts w:ascii="Times New Roman" w:hAnsi="Times New Roman" w:cs="Times New Roman"/>
          <w:iCs/>
          <w:sz w:val="24"/>
          <w:szCs w:val="24"/>
          <w:lang w:val="fr-CA"/>
        </w:rPr>
        <w:t xml:space="preserve">elle </w:t>
      </w:r>
      <w:r w:rsidRPr="001557BB">
        <w:rPr>
          <w:rFonts w:ascii="Times New Roman" w:hAnsi="Times New Roman" w:cs="Times New Roman"/>
          <w:iCs/>
          <w:sz w:val="24"/>
          <w:szCs w:val="24"/>
          <w:lang w:val="fr-CA"/>
        </w:rPr>
        <w:t>abrite une grande variété d’espèces animales, dont certaines sont fortement menacées. Ainsi, cette région aux multiples facettes où se côtoient rivières, lacs, marécages, savanes, forêts galeries, mangroves et plages</w:t>
      </w:r>
      <w:r w:rsidR="00F036AC">
        <w:rPr>
          <w:rFonts w:ascii="Times New Roman" w:hAnsi="Times New Roman" w:cs="Times New Roman"/>
          <w:iCs/>
          <w:sz w:val="24"/>
          <w:szCs w:val="24"/>
          <w:lang w:val="fr-CA"/>
        </w:rPr>
        <w:t>,</w:t>
      </w:r>
      <w:r w:rsidRPr="001557BB">
        <w:rPr>
          <w:rFonts w:ascii="Times New Roman" w:hAnsi="Times New Roman" w:cs="Times New Roman"/>
          <w:iCs/>
          <w:sz w:val="24"/>
          <w:szCs w:val="24"/>
          <w:lang w:val="fr-CA"/>
        </w:rPr>
        <w:t xml:space="preserve"> forme un habitat pour des hippopotames, des lamantins, des singes à ventre roux </w:t>
      </w:r>
      <w:r w:rsidR="001A457E">
        <w:rPr>
          <w:rFonts w:ascii="Times New Roman" w:hAnsi="Times New Roman" w:cs="Times New Roman"/>
          <w:iCs/>
          <w:sz w:val="24"/>
          <w:szCs w:val="24"/>
          <w:lang w:val="fr-CA"/>
        </w:rPr>
        <w:t>(</w:t>
      </w:r>
      <w:r w:rsidR="00F036AC">
        <w:rPr>
          <w:rFonts w:ascii="Times New Roman" w:hAnsi="Times New Roman" w:cs="Times New Roman"/>
          <w:i/>
          <w:iCs/>
          <w:sz w:val="24"/>
          <w:szCs w:val="24"/>
          <w:lang w:val="fr-CA"/>
        </w:rPr>
        <w:t>Cercopithecus, erythr</w:t>
      </w:r>
      <w:r w:rsidR="00F036AC" w:rsidRPr="001557BB">
        <w:rPr>
          <w:rFonts w:ascii="Times New Roman" w:hAnsi="Times New Roman" w:cs="Times New Roman"/>
          <w:i/>
          <w:iCs/>
          <w:sz w:val="24"/>
          <w:szCs w:val="24"/>
          <w:lang w:val="fr-CA"/>
        </w:rPr>
        <w:t>ogaster</w:t>
      </w:r>
      <w:r w:rsidR="00F036AC">
        <w:rPr>
          <w:rFonts w:ascii="Times New Roman" w:hAnsi="Times New Roman" w:cs="Times New Roman"/>
          <w:i/>
          <w:iCs/>
          <w:sz w:val="24"/>
          <w:szCs w:val="24"/>
          <w:lang w:val="fr-CA"/>
        </w:rPr>
        <w:t>, erytha</w:t>
      </w:r>
      <w:r w:rsidRPr="001557BB">
        <w:rPr>
          <w:rFonts w:ascii="Times New Roman" w:hAnsi="Times New Roman" w:cs="Times New Roman"/>
          <w:i/>
          <w:iCs/>
          <w:sz w:val="24"/>
          <w:szCs w:val="24"/>
          <w:lang w:val="fr-CA"/>
        </w:rPr>
        <w:t>ogaster</w:t>
      </w:r>
      <w:r w:rsidR="001A457E">
        <w:rPr>
          <w:rFonts w:ascii="Times New Roman" w:hAnsi="Times New Roman" w:cs="Times New Roman"/>
          <w:i/>
          <w:iCs/>
          <w:sz w:val="24"/>
          <w:szCs w:val="24"/>
          <w:lang w:val="fr-CA"/>
        </w:rPr>
        <w:t>)</w:t>
      </w:r>
      <w:r w:rsidRPr="001557BB">
        <w:rPr>
          <w:rFonts w:ascii="Times New Roman" w:hAnsi="Times New Roman" w:cs="Times New Roman"/>
          <w:iCs/>
          <w:sz w:val="24"/>
          <w:szCs w:val="24"/>
          <w:lang w:val="fr-CA"/>
        </w:rPr>
        <w:t xml:space="preserve">, une espèce de singe endémique dans le sud du Nigeria, Bénin et Togo), des antilopes, des buffles ainsi que de nombreux oiseaux aquatiques </w:t>
      </w:r>
      <w:r w:rsidRPr="00C059F3">
        <w:rPr>
          <w:rFonts w:ascii="Times New Roman" w:hAnsi="Times New Roman" w:cs="Times New Roman"/>
          <w:iCs/>
          <w:sz w:val="24"/>
          <w:szCs w:val="24"/>
          <w:lang w:val="fr-CA"/>
        </w:rPr>
        <w:t>(</w:t>
      </w:r>
      <w:hyperlink r:id="rId39" w:history="1">
        <w:r w:rsidRPr="00F971D4">
          <w:rPr>
            <w:rStyle w:val="Lienhypertexte"/>
            <w:rFonts w:ascii="Times New Roman" w:hAnsi="Times New Roman" w:cs="Times New Roman"/>
            <w:iCs/>
            <w:color w:val="auto"/>
            <w:sz w:val="24"/>
            <w:szCs w:val="24"/>
            <w:u w:val="none"/>
            <w:lang w:val="fr-CA"/>
          </w:rPr>
          <w:t>https://www.giz.de/en/worldwide/31822.html</w:t>
        </w:r>
      </w:hyperlink>
      <w:r w:rsidRPr="00F971D4">
        <w:rPr>
          <w:rFonts w:ascii="Times New Roman" w:hAnsi="Times New Roman" w:cs="Times New Roman"/>
          <w:iCs/>
          <w:sz w:val="24"/>
          <w:szCs w:val="24"/>
          <w:lang w:val="fr-CA"/>
        </w:rPr>
        <w:t>).</w:t>
      </w:r>
    </w:p>
    <w:p w14:paraId="5A4CA69B" w14:textId="77777777" w:rsidR="00A05444" w:rsidRDefault="00A05444" w:rsidP="001557BB">
      <w:pPr>
        <w:pStyle w:val="Commentaire"/>
        <w:spacing w:after="0"/>
        <w:jc w:val="both"/>
        <w:rPr>
          <w:rFonts w:ascii="Times New Roman" w:hAnsi="Times New Roman" w:cs="Times New Roman"/>
          <w:iCs/>
          <w:sz w:val="24"/>
          <w:szCs w:val="24"/>
          <w:lang w:val="fr-CA"/>
        </w:rPr>
      </w:pPr>
    </w:p>
    <w:p w14:paraId="49A066DE" w14:textId="13BD2E85" w:rsidR="001557BB" w:rsidRDefault="00D31C6C" w:rsidP="001557BB">
      <w:pPr>
        <w:pStyle w:val="Commentaire"/>
        <w:spacing w:after="0"/>
        <w:jc w:val="both"/>
        <w:rPr>
          <w:rFonts w:ascii="Times New Roman" w:hAnsi="Times New Roman" w:cs="Times New Roman"/>
          <w:iCs/>
          <w:sz w:val="24"/>
          <w:szCs w:val="24"/>
          <w:lang w:val="fr-CA"/>
        </w:rPr>
      </w:pPr>
      <w:r w:rsidRPr="001557BB">
        <w:rPr>
          <w:rFonts w:ascii="Times New Roman" w:hAnsi="Times New Roman" w:cs="Times New Roman"/>
          <w:iCs/>
          <w:sz w:val="24"/>
          <w:szCs w:val="24"/>
          <w:lang w:val="fr-CA"/>
        </w:rPr>
        <w:t>Les règles de gestion s’appliquent et des rôles sont distribués aux différentes catégories d’acteurs selon les dispositions des textes de la législation environnementale. Il est aussi important de noter que certaines mesures prises pour la gestion des aires protégées concernent l’élaboration des plans d’aménagement et/ou des plans de gestion. Pour la réserve de biosphère transfrontalière du Mono, les plans simples de g</w:t>
      </w:r>
      <w:r w:rsidR="00F036AC">
        <w:rPr>
          <w:rFonts w:ascii="Times New Roman" w:hAnsi="Times New Roman" w:cs="Times New Roman"/>
          <w:iCs/>
          <w:sz w:val="24"/>
          <w:szCs w:val="24"/>
          <w:lang w:val="fr-CA"/>
        </w:rPr>
        <w:t>estion ont été élaborés pour  les</w:t>
      </w:r>
      <w:r w:rsidRPr="001557BB">
        <w:rPr>
          <w:rFonts w:ascii="Times New Roman" w:hAnsi="Times New Roman" w:cs="Times New Roman"/>
          <w:iCs/>
          <w:sz w:val="24"/>
          <w:szCs w:val="24"/>
          <w:lang w:val="fr-CA"/>
        </w:rPr>
        <w:t xml:space="preserve"> forêt</w:t>
      </w:r>
      <w:r w:rsidR="00F036AC">
        <w:rPr>
          <w:rFonts w:ascii="Times New Roman" w:hAnsi="Times New Roman" w:cs="Times New Roman"/>
          <w:iCs/>
          <w:sz w:val="24"/>
          <w:szCs w:val="24"/>
          <w:lang w:val="fr-CA"/>
        </w:rPr>
        <w:t>s sacrées</w:t>
      </w:r>
      <w:r w:rsidRPr="001557BB">
        <w:rPr>
          <w:rFonts w:ascii="Times New Roman" w:hAnsi="Times New Roman" w:cs="Times New Roman"/>
          <w:iCs/>
          <w:sz w:val="24"/>
          <w:szCs w:val="24"/>
          <w:lang w:val="fr-CA"/>
        </w:rPr>
        <w:t xml:space="preserve"> d’Akissa, </w:t>
      </w:r>
      <w:r w:rsidR="00F036AC">
        <w:rPr>
          <w:rFonts w:ascii="Times New Roman" w:hAnsi="Times New Roman" w:cs="Times New Roman"/>
          <w:iCs/>
          <w:sz w:val="24"/>
          <w:szCs w:val="24"/>
          <w:lang w:val="fr-CA"/>
        </w:rPr>
        <w:t>de</w:t>
      </w:r>
      <w:r w:rsidRPr="001557BB">
        <w:rPr>
          <w:rFonts w:ascii="Times New Roman" w:hAnsi="Times New Roman" w:cs="Times New Roman"/>
          <w:iCs/>
          <w:sz w:val="24"/>
          <w:szCs w:val="24"/>
          <w:lang w:val="fr-CA"/>
        </w:rPr>
        <w:t xml:space="preserve"> Godjé-Godjin, le chenal de Gbaga, et les mares d’Afito</w:t>
      </w:r>
      <w:r w:rsidR="00F036AC">
        <w:rPr>
          <w:rFonts w:ascii="Times New Roman" w:hAnsi="Times New Roman" w:cs="Times New Roman"/>
          <w:iCs/>
          <w:sz w:val="24"/>
          <w:szCs w:val="24"/>
          <w:lang w:val="fr-CA"/>
        </w:rPr>
        <w:t xml:space="preserve"> et le plan d’aménagement et de gestion pour le complexe d’aires protégées </w:t>
      </w:r>
      <w:r w:rsidR="00F036AC" w:rsidRPr="001557BB">
        <w:rPr>
          <w:rFonts w:ascii="Times New Roman" w:hAnsi="Times New Roman" w:cs="Times New Roman"/>
          <w:iCs/>
          <w:sz w:val="24"/>
          <w:szCs w:val="24"/>
          <w:lang w:val="fr-CA"/>
        </w:rPr>
        <w:t>de Togodo</w:t>
      </w:r>
      <w:r w:rsidRPr="001557BB">
        <w:rPr>
          <w:rFonts w:ascii="Times New Roman" w:hAnsi="Times New Roman" w:cs="Times New Roman"/>
          <w:iCs/>
          <w:sz w:val="24"/>
          <w:szCs w:val="24"/>
          <w:lang w:val="fr-CA"/>
        </w:rPr>
        <w:t>. Il faut signaler aussi l’élaboration et validation  en 2017 des plans d’aménagement et de gestion de trois aires protégées (Amou-Mono, Abdoulaye et Alédjo) Initié par la direction des Ressources Forestières à travers le projet de Gestion Intégrée des Catastrophes et des Terres (PGICT).</w:t>
      </w:r>
    </w:p>
    <w:p w14:paraId="29973555" w14:textId="77777777" w:rsidR="001557BB" w:rsidRDefault="001557BB" w:rsidP="001557BB">
      <w:pPr>
        <w:pStyle w:val="Commentaire"/>
        <w:spacing w:after="0"/>
        <w:jc w:val="both"/>
        <w:rPr>
          <w:rFonts w:ascii="Times New Roman" w:hAnsi="Times New Roman" w:cs="Times New Roman"/>
          <w:iCs/>
          <w:sz w:val="24"/>
          <w:szCs w:val="24"/>
          <w:lang w:val="fr-CA"/>
        </w:rPr>
      </w:pPr>
    </w:p>
    <w:p w14:paraId="28E5B9D3" w14:textId="30C5672C" w:rsidR="00D31C6C" w:rsidRDefault="00D31C6C" w:rsidP="001557BB">
      <w:pPr>
        <w:pStyle w:val="Commentaire"/>
        <w:spacing w:after="0"/>
        <w:jc w:val="both"/>
        <w:rPr>
          <w:rFonts w:ascii="Times New Roman" w:hAnsi="Times New Roman" w:cs="Times New Roman"/>
          <w:sz w:val="24"/>
          <w:szCs w:val="24"/>
        </w:rPr>
      </w:pPr>
      <w:r w:rsidRPr="001557BB">
        <w:rPr>
          <w:rFonts w:ascii="Times New Roman" w:hAnsi="Times New Roman" w:cs="Times New Roman"/>
          <w:iCs/>
          <w:sz w:val="24"/>
          <w:szCs w:val="24"/>
          <w:lang w:val="fr-CA"/>
        </w:rPr>
        <w:t xml:space="preserve">D’autres actions pour la gestion des aires protégées ont concerné le </w:t>
      </w:r>
      <w:r w:rsidRPr="001557BB">
        <w:rPr>
          <w:rFonts w:ascii="Times New Roman" w:hAnsi="Times New Roman" w:cs="Times New Roman"/>
          <w:sz w:val="24"/>
          <w:szCs w:val="24"/>
        </w:rPr>
        <w:t>suivi des feux de végétation, le développement des statistiques sur les occurrences de feux et les superficies brûlées de 2003 à 2016 sur toute l’étendue du territoire et par préfecture, l’élaboration des bulletins de veille environnementale sur les feux de végétation, sensibilisation sur les feux de végétat</w:t>
      </w:r>
      <w:r w:rsidR="00F036AC">
        <w:rPr>
          <w:rFonts w:ascii="Times New Roman" w:hAnsi="Times New Roman" w:cs="Times New Roman"/>
          <w:sz w:val="24"/>
          <w:szCs w:val="24"/>
        </w:rPr>
        <w:t>ion, f</w:t>
      </w:r>
      <w:r w:rsidRPr="001557BB">
        <w:rPr>
          <w:rFonts w:ascii="Times New Roman" w:hAnsi="Times New Roman" w:cs="Times New Roman"/>
          <w:sz w:val="24"/>
          <w:szCs w:val="24"/>
        </w:rPr>
        <w:t>ormation et équipement des brigades (comités</w:t>
      </w:r>
      <w:r w:rsidR="00F036AC">
        <w:rPr>
          <w:rFonts w:ascii="Times New Roman" w:hAnsi="Times New Roman" w:cs="Times New Roman"/>
          <w:sz w:val="24"/>
          <w:szCs w:val="24"/>
        </w:rPr>
        <w:t xml:space="preserve"> lutte anti-feux)</w:t>
      </w:r>
      <w:r w:rsidRPr="001557BB">
        <w:rPr>
          <w:rFonts w:ascii="Times New Roman" w:hAnsi="Times New Roman" w:cs="Times New Roman"/>
          <w:sz w:val="24"/>
          <w:szCs w:val="24"/>
        </w:rPr>
        <w:t>.</w:t>
      </w:r>
    </w:p>
    <w:p w14:paraId="1016931F" w14:textId="77777777" w:rsidR="001557BB" w:rsidRPr="001557BB" w:rsidRDefault="001557BB" w:rsidP="001557BB">
      <w:pPr>
        <w:pStyle w:val="Commentaire"/>
        <w:spacing w:after="0"/>
        <w:jc w:val="both"/>
        <w:rPr>
          <w:rFonts w:ascii="Times New Roman" w:hAnsi="Times New Roman" w:cs="Times New Roman"/>
          <w:sz w:val="24"/>
          <w:szCs w:val="24"/>
        </w:rPr>
      </w:pPr>
    </w:p>
    <w:p w14:paraId="4D16B9F8" w14:textId="57E889B2" w:rsidR="00D31C6C" w:rsidRPr="001557BB"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Par ailleurs, dans le cadre de la mise en œuvre du </w:t>
      </w:r>
      <w:r w:rsidRPr="001557BB">
        <w:rPr>
          <w:rFonts w:ascii="Times New Roman" w:hAnsi="Times New Roman" w:cs="Times New Roman"/>
          <w:bCs/>
          <w:sz w:val="24"/>
          <w:szCs w:val="24"/>
        </w:rPr>
        <w:t xml:space="preserve">projet de création de la réserve de biosphère transfrontalière du Mono (ProMONO), une délimitation provisoire d’une zone marine </w:t>
      </w:r>
      <w:r w:rsidR="00F036AC">
        <w:rPr>
          <w:rFonts w:ascii="Times New Roman" w:hAnsi="Times New Roman" w:cs="Times New Roman"/>
          <w:bCs/>
          <w:sz w:val="24"/>
          <w:szCs w:val="24"/>
        </w:rPr>
        <w:t>protégée</w:t>
      </w:r>
      <w:r w:rsidRPr="001557BB">
        <w:rPr>
          <w:rFonts w:ascii="Times New Roman" w:hAnsi="Times New Roman" w:cs="Times New Roman"/>
          <w:bCs/>
          <w:sz w:val="24"/>
          <w:szCs w:val="24"/>
        </w:rPr>
        <w:t xml:space="preserve">  intégrant le lac </w:t>
      </w:r>
      <w:r w:rsidRPr="001557BB">
        <w:rPr>
          <w:rFonts w:ascii="Times New Roman" w:hAnsi="Times New Roman" w:cs="Times New Roman"/>
          <w:bCs/>
          <w:sz w:val="24"/>
          <w:szCs w:val="24"/>
          <w:lang w:val="fr-CA"/>
        </w:rPr>
        <w:t>Togo et le chenal de Gbaga a été faite.</w:t>
      </w:r>
    </w:p>
    <w:p w14:paraId="7BE93149"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3C14C7B0" w14:textId="655CAF3D"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r w:rsidRPr="001557BB">
        <w:rPr>
          <w:rFonts w:ascii="Times New Roman" w:hAnsi="Times New Roman" w:cs="Times New Roman"/>
          <w:b/>
          <w:iCs/>
          <w:kern w:val="22"/>
          <w:sz w:val="24"/>
          <w:szCs w:val="24"/>
          <w:lang w:val="fr-CA"/>
        </w:rPr>
        <w:t>Objectif 12</w:t>
      </w:r>
      <w:r w:rsidRPr="001557BB">
        <w:rPr>
          <w:rFonts w:ascii="Times New Roman" w:hAnsi="Times New Roman" w:cs="Times New Roman"/>
          <w:b/>
          <w:kern w:val="22"/>
          <w:sz w:val="24"/>
          <w:szCs w:val="24"/>
          <w:lang w:val="fr-CA"/>
        </w:rPr>
        <w:t xml:space="preserve"> d’Aichi pour la biodiversité</w:t>
      </w:r>
      <w:r w:rsidR="00F036AC">
        <w:rPr>
          <w:rFonts w:ascii="Times New Roman" w:hAnsi="Times New Roman" w:cs="Times New Roman"/>
          <w:b/>
          <w:iCs/>
          <w:kern w:val="22"/>
          <w:sz w:val="24"/>
          <w:szCs w:val="24"/>
          <w:lang w:val="fr-CA"/>
        </w:rPr>
        <w:t xml:space="preserve"> : r</w:t>
      </w:r>
      <w:r w:rsidRPr="001557BB">
        <w:rPr>
          <w:rFonts w:ascii="Times New Roman" w:hAnsi="Times New Roman" w:cs="Times New Roman"/>
          <w:b/>
          <w:iCs/>
          <w:kern w:val="22"/>
          <w:sz w:val="24"/>
          <w:szCs w:val="24"/>
          <w:lang w:val="fr-CA"/>
        </w:rPr>
        <w:t>éduction des risques d’extinction</w:t>
      </w:r>
    </w:p>
    <w:p w14:paraId="043D82AF"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sz w:val="24"/>
          <w:szCs w:val="24"/>
        </w:rPr>
      </w:pPr>
    </w:p>
    <w:p w14:paraId="46CB1B96" w14:textId="1A8EDE50" w:rsidR="00A05444" w:rsidRDefault="00D31C6C" w:rsidP="001557BB">
      <w:pPr>
        <w:autoSpaceDE w:val="0"/>
        <w:autoSpaceDN w:val="0"/>
        <w:adjustRightInd w:val="0"/>
        <w:spacing w:after="0" w:line="240" w:lineRule="auto"/>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shd w:val="clear" w:color="auto" w:fill="FFFFFF"/>
        </w:rPr>
        <w:t xml:space="preserve">La flore togolaise se compose d’espèces terrestres et espèces aquatiques représentant tous les groupes systématiques. Une seule espèce végétale, </w:t>
      </w:r>
      <w:r w:rsidRPr="001557BB">
        <w:rPr>
          <w:rFonts w:ascii="Times New Roman" w:hAnsi="Times New Roman" w:cs="Times New Roman"/>
          <w:i/>
          <w:color w:val="000000"/>
          <w:sz w:val="24"/>
          <w:szCs w:val="24"/>
          <w:shd w:val="clear" w:color="auto" w:fill="FFFFFF"/>
        </w:rPr>
        <w:t>Phyllanthus rouxii</w:t>
      </w:r>
      <w:r w:rsidRPr="001557BB">
        <w:rPr>
          <w:rFonts w:ascii="Times New Roman" w:hAnsi="Times New Roman" w:cs="Times New Roman"/>
          <w:color w:val="000000"/>
          <w:sz w:val="24"/>
          <w:szCs w:val="24"/>
          <w:shd w:val="clear" w:color="auto" w:fill="FFFFFF"/>
        </w:rPr>
        <w:t xml:space="preserve"> (Euphorbiaceae) poussant sur les collines ferrugineuses au Nord de Bassa</w:t>
      </w:r>
      <w:r w:rsidR="001A457E">
        <w:rPr>
          <w:rFonts w:ascii="Times New Roman" w:hAnsi="Times New Roman" w:cs="Times New Roman"/>
          <w:color w:val="000000"/>
          <w:sz w:val="24"/>
          <w:szCs w:val="24"/>
          <w:shd w:val="clear" w:color="auto" w:fill="FFFFFF"/>
        </w:rPr>
        <w:t>r</w:t>
      </w:r>
      <w:r w:rsidRPr="001557BB">
        <w:rPr>
          <w:rFonts w:ascii="Times New Roman" w:hAnsi="Times New Roman" w:cs="Times New Roman"/>
          <w:color w:val="000000"/>
          <w:sz w:val="24"/>
          <w:szCs w:val="24"/>
          <w:shd w:val="clear" w:color="auto" w:fill="FFFFFF"/>
        </w:rPr>
        <w:t xml:space="preserve"> (Région de la Kara dans la zone écologique 2) est signalée comme endémique. Plusieurs espèces sont menacées d’extinction,  en danger ou vulnérables au Togo. Ces espèces sont dans la majorité des cas, celles </w:t>
      </w:r>
      <w:r w:rsidR="001A457E">
        <w:rPr>
          <w:rFonts w:ascii="Times New Roman" w:hAnsi="Times New Roman" w:cs="Times New Roman"/>
          <w:color w:val="000000"/>
          <w:sz w:val="24"/>
          <w:szCs w:val="24"/>
          <w:shd w:val="clear" w:color="auto" w:fill="FFFFFF"/>
        </w:rPr>
        <w:t xml:space="preserve">qui  </w:t>
      </w:r>
      <w:r w:rsidRPr="001557BB">
        <w:rPr>
          <w:rFonts w:ascii="Times New Roman" w:eastAsia="MS Mincho" w:hAnsi="Times New Roman" w:cs="Times New Roman"/>
          <w:sz w:val="24"/>
          <w:szCs w:val="24"/>
          <w:lang w:eastAsia="fr-FR"/>
        </w:rPr>
        <w:t>entrent dans les activités économiques, socioculturelles et celles qui occupent des places de choix dans la satisfaction des besoins de santé des hommes (Touré, 2001). Parmi ces espèces, l’une très exploitée actue</w:t>
      </w:r>
      <w:r w:rsidR="004D13FE">
        <w:rPr>
          <w:rFonts w:ascii="Times New Roman" w:eastAsia="MS Mincho" w:hAnsi="Times New Roman" w:cs="Times New Roman"/>
          <w:sz w:val="24"/>
          <w:szCs w:val="24"/>
          <w:lang w:eastAsia="fr-FR"/>
        </w:rPr>
        <w:t>llement au Togo et dans la sous-</w:t>
      </w:r>
      <w:r w:rsidRPr="001557BB">
        <w:rPr>
          <w:rFonts w:ascii="Times New Roman" w:eastAsia="MS Mincho" w:hAnsi="Times New Roman" w:cs="Times New Roman"/>
          <w:sz w:val="24"/>
          <w:szCs w:val="24"/>
          <w:lang w:eastAsia="fr-FR"/>
        </w:rPr>
        <w:t xml:space="preserve">région ouest-africaine est </w:t>
      </w:r>
      <w:r w:rsidRPr="001557BB">
        <w:rPr>
          <w:rFonts w:ascii="Times New Roman" w:eastAsia="MS Mincho" w:hAnsi="Times New Roman" w:cs="Times New Roman"/>
          <w:i/>
          <w:sz w:val="24"/>
          <w:szCs w:val="24"/>
          <w:lang w:eastAsia="fr-FR"/>
        </w:rPr>
        <w:t>Pterocarpus erinaceus</w:t>
      </w:r>
      <w:r w:rsidR="004D13FE">
        <w:rPr>
          <w:rFonts w:ascii="Times New Roman" w:eastAsia="MS Mincho" w:hAnsi="Times New Roman" w:cs="Times New Roman"/>
          <w:i/>
          <w:sz w:val="24"/>
          <w:szCs w:val="24"/>
          <w:lang w:eastAsia="fr-FR"/>
        </w:rPr>
        <w:t xml:space="preserve">. </w:t>
      </w:r>
      <w:r w:rsidR="004D13FE" w:rsidRPr="004D13FE">
        <w:rPr>
          <w:rFonts w:ascii="Times New Roman" w:eastAsia="MS Mincho" w:hAnsi="Times New Roman" w:cs="Times New Roman"/>
          <w:sz w:val="24"/>
          <w:szCs w:val="24"/>
          <w:lang w:eastAsia="fr-FR"/>
        </w:rPr>
        <w:t>Cette espèce</w:t>
      </w:r>
      <w:r w:rsidRPr="001557BB">
        <w:rPr>
          <w:rFonts w:ascii="Times New Roman" w:eastAsia="MS Mincho" w:hAnsi="Times New Roman" w:cs="Times New Roman"/>
          <w:sz w:val="24"/>
          <w:szCs w:val="24"/>
          <w:lang w:eastAsia="fr-FR"/>
        </w:rPr>
        <w:t xml:space="preserve"> est extrêmement exploité</w:t>
      </w:r>
      <w:r w:rsidR="004D13FE">
        <w:rPr>
          <w:rFonts w:ascii="Times New Roman" w:eastAsia="MS Mincho" w:hAnsi="Times New Roman" w:cs="Times New Roman"/>
          <w:sz w:val="24"/>
          <w:szCs w:val="24"/>
          <w:lang w:eastAsia="fr-FR"/>
        </w:rPr>
        <w:t>e</w:t>
      </w:r>
      <w:r w:rsidRPr="001557BB">
        <w:rPr>
          <w:rFonts w:ascii="Times New Roman" w:eastAsia="MS Mincho" w:hAnsi="Times New Roman" w:cs="Times New Roman"/>
          <w:sz w:val="24"/>
          <w:szCs w:val="24"/>
          <w:lang w:eastAsia="fr-FR"/>
        </w:rPr>
        <w:t xml:space="preserve"> comme bois d’œuvre et bois de service. Elle est également très utilisée comme bois énergie de premières catégories (Kokou et al., 2009). </w:t>
      </w:r>
      <w:r w:rsidRPr="001557BB">
        <w:rPr>
          <w:rFonts w:ascii="Times New Roman" w:hAnsi="Times New Roman" w:cs="Times New Roman"/>
          <w:color w:val="000000"/>
          <w:sz w:val="24"/>
          <w:szCs w:val="24"/>
        </w:rPr>
        <w:t>En 2008, le Togo a exporté près de 3500 m</w:t>
      </w:r>
      <w:r w:rsidRPr="001557BB">
        <w:rPr>
          <w:rFonts w:ascii="Times New Roman" w:hAnsi="Times New Roman" w:cs="Times New Roman"/>
          <w:color w:val="000000"/>
          <w:sz w:val="24"/>
          <w:szCs w:val="24"/>
          <w:vertAlign w:val="superscript"/>
        </w:rPr>
        <w:t>3</w:t>
      </w:r>
      <w:r w:rsidRPr="001557BB">
        <w:rPr>
          <w:rFonts w:ascii="Times New Roman" w:hAnsi="Times New Roman" w:cs="Times New Roman"/>
          <w:color w:val="000000"/>
          <w:sz w:val="24"/>
          <w:szCs w:val="24"/>
        </w:rPr>
        <w:t xml:space="preserve"> de madriers à base de </w:t>
      </w:r>
      <w:r w:rsidRPr="001557BB">
        <w:rPr>
          <w:rFonts w:ascii="Times New Roman" w:hAnsi="Times New Roman" w:cs="Times New Roman"/>
          <w:i/>
          <w:color w:val="000000"/>
          <w:sz w:val="24"/>
          <w:szCs w:val="24"/>
        </w:rPr>
        <w:t>P. erinaceus</w:t>
      </w:r>
      <w:r w:rsidRPr="001557BB">
        <w:rPr>
          <w:rFonts w:ascii="Times New Roman" w:hAnsi="Times New Roman" w:cs="Times New Roman"/>
          <w:color w:val="000000"/>
          <w:sz w:val="24"/>
          <w:szCs w:val="24"/>
        </w:rPr>
        <w:t xml:space="preserve"> dont seulement 500 m</w:t>
      </w:r>
      <w:r w:rsidRPr="001557BB">
        <w:rPr>
          <w:rFonts w:ascii="Times New Roman" w:hAnsi="Times New Roman" w:cs="Times New Roman"/>
          <w:color w:val="000000"/>
          <w:sz w:val="24"/>
          <w:szCs w:val="24"/>
          <w:vertAlign w:val="superscript"/>
        </w:rPr>
        <w:t>3</w:t>
      </w:r>
      <w:r w:rsidRPr="001557BB">
        <w:rPr>
          <w:rFonts w:ascii="Times New Roman" w:hAnsi="Times New Roman" w:cs="Times New Roman"/>
          <w:color w:val="000000"/>
          <w:sz w:val="24"/>
          <w:szCs w:val="24"/>
        </w:rPr>
        <w:t xml:space="preserve"> ont été exploités légalement (MERF/OIBT, 2010). Entre fin 2011-2012, l’exportation du </w:t>
      </w:r>
      <w:r w:rsidRPr="001557BB">
        <w:rPr>
          <w:rFonts w:ascii="Times New Roman" w:hAnsi="Times New Roman" w:cs="Times New Roman"/>
          <w:i/>
          <w:color w:val="000000"/>
          <w:sz w:val="24"/>
          <w:szCs w:val="24"/>
        </w:rPr>
        <w:t>P. erinaceus</w:t>
      </w:r>
      <w:r w:rsidRPr="001557BB">
        <w:rPr>
          <w:rFonts w:ascii="Times New Roman" w:hAnsi="Times New Roman" w:cs="Times New Roman"/>
          <w:color w:val="000000"/>
          <w:sz w:val="24"/>
          <w:szCs w:val="24"/>
        </w:rPr>
        <w:t xml:space="preserve"> renseignée au Togo est passée à 9690 m</w:t>
      </w:r>
      <w:r w:rsidRPr="001557BB">
        <w:rPr>
          <w:rFonts w:ascii="Times New Roman" w:hAnsi="Times New Roman" w:cs="Times New Roman"/>
          <w:color w:val="000000"/>
          <w:sz w:val="24"/>
          <w:szCs w:val="24"/>
          <w:vertAlign w:val="superscript"/>
        </w:rPr>
        <w:t>3</w:t>
      </w:r>
      <w:r w:rsidRPr="001557BB">
        <w:rPr>
          <w:rFonts w:ascii="Times New Roman" w:hAnsi="Times New Roman" w:cs="Times New Roman"/>
          <w:color w:val="000000"/>
          <w:sz w:val="24"/>
          <w:szCs w:val="24"/>
        </w:rPr>
        <w:t xml:space="preserve"> (Segla </w:t>
      </w:r>
      <w:r w:rsidRPr="001557BB">
        <w:rPr>
          <w:rFonts w:ascii="Times New Roman" w:hAnsi="Times New Roman" w:cs="Times New Roman"/>
          <w:i/>
          <w:color w:val="000000"/>
          <w:sz w:val="24"/>
          <w:szCs w:val="24"/>
        </w:rPr>
        <w:t>et al.</w:t>
      </w:r>
      <w:r w:rsidR="00A05444">
        <w:rPr>
          <w:rFonts w:ascii="Times New Roman" w:hAnsi="Times New Roman" w:cs="Times New Roman"/>
          <w:color w:val="000000"/>
          <w:sz w:val="24"/>
          <w:szCs w:val="24"/>
        </w:rPr>
        <w:t>, 2015).</w:t>
      </w:r>
    </w:p>
    <w:p w14:paraId="78EE232E" w14:textId="77777777" w:rsidR="00A05444" w:rsidRDefault="00A05444" w:rsidP="001557BB">
      <w:pPr>
        <w:autoSpaceDE w:val="0"/>
        <w:autoSpaceDN w:val="0"/>
        <w:adjustRightInd w:val="0"/>
        <w:spacing w:after="0" w:line="240" w:lineRule="auto"/>
        <w:jc w:val="both"/>
        <w:rPr>
          <w:rFonts w:ascii="Times New Roman" w:hAnsi="Times New Roman" w:cs="Times New Roman"/>
          <w:color w:val="000000"/>
          <w:sz w:val="24"/>
          <w:szCs w:val="24"/>
        </w:rPr>
      </w:pPr>
    </w:p>
    <w:p w14:paraId="62C885CF" w14:textId="248FFD0E" w:rsidR="00A05444" w:rsidRDefault="00D31C6C" w:rsidP="001557BB">
      <w:pPr>
        <w:autoSpaceDE w:val="0"/>
        <w:autoSpaceDN w:val="0"/>
        <w:adjustRightInd w:val="0"/>
        <w:spacing w:after="0" w:line="240" w:lineRule="auto"/>
        <w:jc w:val="both"/>
        <w:rPr>
          <w:rFonts w:ascii="Times New Roman" w:hAnsi="Times New Roman" w:cs="Times New Roman"/>
          <w:color w:val="000000"/>
          <w:sz w:val="24"/>
          <w:szCs w:val="24"/>
        </w:rPr>
      </w:pPr>
      <w:r w:rsidRPr="001557BB">
        <w:rPr>
          <w:rFonts w:ascii="Times New Roman" w:hAnsi="Times New Roman" w:cs="Times New Roman"/>
          <w:sz w:val="24"/>
          <w:szCs w:val="24"/>
        </w:rPr>
        <w:t>Face à ces situations, plusieurs actions ont</w:t>
      </w:r>
      <w:r w:rsidR="001A457E">
        <w:rPr>
          <w:rFonts w:ascii="Times New Roman" w:hAnsi="Times New Roman" w:cs="Times New Roman"/>
          <w:sz w:val="24"/>
          <w:szCs w:val="24"/>
        </w:rPr>
        <w:t xml:space="preserve"> été menées en faveur</w:t>
      </w:r>
      <w:r w:rsidRPr="001557BB">
        <w:rPr>
          <w:rFonts w:ascii="Times New Roman" w:hAnsi="Times New Roman" w:cs="Times New Roman"/>
          <w:sz w:val="24"/>
          <w:szCs w:val="24"/>
        </w:rPr>
        <w:t xml:space="preserve"> de l’espèce. En Mars 2016, une conférence régionale sur le commerce international du bois et son impact sur les différentes espèces dont celle du </w:t>
      </w:r>
      <w:r w:rsidRPr="001557BB">
        <w:rPr>
          <w:rFonts w:ascii="Times New Roman" w:hAnsi="Times New Roman" w:cs="Times New Roman"/>
          <w:i/>
          <w:sz w:val="24"/>
          <w:szCs w:val="24"/>
        </w:rPr>
        <w:t>Pterocarpus erinaceus</w:t>
      </w:r>
      <w:r w:rsidR="004D13FE">
        <w:rPr>
          <w:rFonts w:ascii="Times New Roman" w:hAnsi="Times New Roman" w:cs="Times New Roman"/>
          <w:sz w:val="24"/>
          <w:szCs w:val="24"/>
        </w:rPr>
        <w:t xml:space="preserve"> a eu lieu en Guinée-</w:t>
      </w:r>
      <w:r w:rsidRPr="001557BB">
        <w:rPr>
          <w:rFonts w:ascii="Times New Roman" w:hAnsi="Times New Roman" w:cs="Times New Roman"/>
          <w:sz w:val="24"/>
          <w:szCs w:val="24"/>
        </w:rPr>
        <w:t>Bissau et a enregistré la participation des représentants de</w:t>
      </w:r>
      <w:r w:rsidR="004D13FE">
        <w:rPr>
          <w:rFonts w:ascii="Times New Roman" w:hAnsi="Times New Roman" w:cs="Times New Roman"/>
          <w:sz w:val="24"/>
          <w:szCs w:val="24"/>
        </w:rPr>
        <w:t>s</w:t>
      </w:r>
      <w:r w:rsidRPr="001557BB">
        <w:rPr>
          <w:rFonts w:ascii="Times New Roman" w:hAnsi="Times New Roman" w:cs="Times New Roman"/>
          <w:sz w:val="24"/>
          <w:szCs w:val="24"/>
        </w:rPr>
        <w:t xml:space="preserve"> pays de la sous-région en charge des forêts, de la justice et des douanes ainsi que d’Interpol. Cette rencontre s’est penchée sur l’exploitation illégale et le commerce du bois de </w:t>
      </w:r>
      <w:r w:rsidRPr="001557BB">
        <w:rPr>
          <w:rFonts w:ascii="Times New Roman" w:hAnsi="Times New Roman" w:cs="Times New Roman"/>
          <w:i/>
          <w:sz w:val="24"/>
          <w:szCs w:val="24"/>
        </w:rPr>
        <w:t>P. erinaceus</w:t>
      </w:r>
      <w:r w:rsidRPr="001557BB">
        <w:rPr>
          <w:rFonts w:ascii="Times New Roman" w:hAnsi="Times New Roman" w:cs="Times New Roman"/>
          <w:sz w:val="24"/>
          <w:szCs w:val="24"/>
        </w:rPr>
        <w:t>, principalement tourné vers la Chine. Ainsi</w:t>
      </w:r>
      <w:r w:rsidR="004D13FE">
        <w:rPr>
          <w:rFonts w:ascii="Times New Roman" w:hAnsi="Times New Roman" w:cs="Times New Roman"/>
          <w:sz w:val="24"/>
          <w:szCs w:val="24"/>
        </w:rPr>
        <w:t>,</w:t>
      </w:r>
      <w:r w:rsidRPr="001557BB">
        <w:rPr>
          <w:rFonts w:ascii="Times New Roman" w:hAnsi="Times New Roman" w:cs="Times New Roman"/>
          <w:sz w:val="24"/>
          <w:szCs w:val="24"/>
        </w:rPr>
        <w:t xml:space="preserve"> les échanges ont porté sur les bonnes pratiques mises en œuvre, les leçons apprises et la préparation d’un agenda régional visant à faire face aux </w:t>
      </w:r>
      <w:r w:rsidRPr="001557BB">
        <w:rPr>
          <w:rFonts w:ascii="Times New Roman" w:hAnsi="Times New Roman" w:cs="Times New Roman"/>
          <w:color w:val="000000"/>
          <w:sz w:val="24"/>
          <w:szCs w:val="24"/>
        </w:rPr>
        <w:t>impacts du commerce illégal et non durable des produits forestiers issus des forêts sèches de l’Afrique de l’Ouest. A l’issue de l’atelier, les participants se sont accordés sur plusieurs points, notamment la consolidat</w:t>
      </w:r>
      <w:r w:rsidR="004D13FE">
        <w:rPr>
          <w:rFonts w:ascii="Times New Roman" w:hAnsi="Times New Roman" w:cs="Times New Roman"/>
          <w:color w:val="000000"/>
          <w:sz w:val="24"/>
          <w:szCs w:val="24"/>
        </w:rPr>
        <w:t>ion du soutien des Etats de la s</w:t>
      </w:r>
      <w:r w:rsidRPr="001557BB">
        <w:rPr>
          <w:rFonts w:ascii="Times New Roman" w:hAnsi="Times New Roman" w:cs="Times New Roman"/>
          <w:color w:val="000000"/>
          <w:sz w:val="24"/>
          <w:szCs w:val="24"/>
        </w:rPr>
        <w:t xml:space="preserve">ous-région pour l’inscription de bois de </w:t>
      </w:r>
      <w:r w:rsidRPr="001557BB">
        <w:rPr>
          <w:rFonts w:ascii="Times New Roman" w:hAnsi="Times New Roman" w:cs="Times New Roman"/>
          <w:i/>
          <w:color w:val="000000"/>
          <w:sz w:val="24"/>
          <w:szCs w:val="24"/>
        </w:rPr>
        <w:t>P. erinaceus</w:t>
      </w:r>
      <w:r w:rsidRPr="001557BB">
        <w:rPr>
          <w:rFonts w:ascii="Times New Roman" w:hAnsi="Times New Roman" w:cs="Times New Roman"/>
          <w:color w:val="000000"/>
          <w:sz w:val="24"/>
          <w:szCs w:val="24"/>
        </w:rPr>
        <w:t xml:space="preserve"> à l’Ann</w:t>
      </w:r>
      <w:r w:rsidR="004D13FE">
        <w:rPr>
          <w:rFonts w:ascii="Times New Roman" w:hAnsi="Times New Roman" w:cs="Times New Roman"/>
          <w:color w:val="000000"/>
          <w:sz w:val="24"/>
          <w:szCs w:val="24"/>
        </w:rPr>
        <w:t>exe II de la convention sur le c</w:t>
      </w:r>
      <w:r w:rsidRPr="001557BB">
        <w:rPr>
          <w:rFonts w:ascii="Times New Roman" w:hAnsi="Times New Roman" w:cs="Times New Roman"/>
          <w:color w:val="000000"/>
          <w:sz w:val="24"/>
          <w:szCs w:val="24"/>
        </w:rPr>
        <w:t>ommerce international des espèces de faune et de fl</w:t>
      </w:r>
      <w:r w:rsidR="001A457E">
        <w:rPr>
          <w:rFonts w:ascii="Times New Roman" w:hAnsi="Times New Roman" w:cs="Times New Roman"/>
          <w:color w:val="000000"/>
          <w:sz w:val="24"/>
          <w:szCs w:val="24"/>
        </w:rPr>
        <w:t xml:space="preserve">ore </w:t>
      </w:r>
      <w:r w:rsidR="004D13FE">
        <w:rPr>
          <w:rFonts w:ascii="Times New Roman" w:hAnsi="Times New Roman" w:cs="Times New Roman"/>
          <w:color w:val="000000"/>
          <w:sz w:val="24"/>
          <w:szCs w:val="24"/>
        </w:rPr>
        <w:t xml:space="preserve">sauvages </w:t>
      </w:r>
      <w:r w:rsidR="001A457E">
        <w:rPr>
          <w:rFonts w:ascii="Times New Roman" w:hAnsi="Times New Roman" w:cs="Times New Roman"/>
          <w:color w:val="000000"/>
          <w:sz w:val="24"/>
          <w:szCs w:val="24"/>
        </w:rPr>
        <w:t>menacées d’extinction (</w:t>
      </w:r>
      <w:r w:rsidRPr="001557BB">
        <w:rPr>
          <w:rFonts w:ascii="Times New Roman" w:hAnsi="Times New Roman" w:cs="Times New Roman"/>
          <w:color w:val="000000"/>
          <w:sz w:val="24"/>
          <w:szCs w:val="24"/>
        </w:rPr>
        <w:t>CITES</w:t>
      </w:r>
      <w:r w:rsidR="001A457E">
        <w:rPr>
          <w:rFonts w:ascii="Times New Roman" w:hAnsi="Times New Roman" w:cs="Times New Roman"/>
          <w:color w:val="000000"/>
          <w:sz w:val="24"/>
          <w:szCs w:val="24"/>
        </w:rPr>
        <w:t>)</w:t>
      </w:r>
      <w:r w:rsidRPr="001557BB">
        <w:rPr>
          <w:rFonts w:ascii="Times New Roman" w:hAnsi="Times New Roman" w:cs="Times New Roman"/>
          <w:color w:val="000000"/>
          <w:sz w:val="24"/>
          <w:szCs w:val="24"/>
        </w:rPr>
        <w:t>.</w:t>
      </w:r>
    </w:p>
    <w:p w14:paraId="41C237D5" w14:textId="77777777" w:rsidR="00A05444" w:rsidRDefault="00A05444" w:rsidP="001557BB">
      <w:pPr>
        <w:autoSpaceDE w:val="0"/>
        <w:autoSpaceDN w:val="0"/>
        <w:adjustRightInd w:val="0"/>
        <w:spacing w:after="0" w:line="240" w:lineRule="auto"/>
        <w:jc w:val="both"/>
        <w:rPr>
          <w:rFonts w:ascii="Times New Roman" w:hAnsi="Times New Roman" w:cs="Times New Roman"/>
          <w:color w:val="000000"/>
          <w:sz w:val="24"/>
          <w:szCs w:val="24"/>
        </w:rPr>
      </w:pPr>
    </w:p>
    <w:p w14:paraId="52E4B3DB" w14:textId="5419F9ED" w:rsidR="00D31C6C" w:rsidRDefault="00D31C6C" w:rsidP="001557BB">
      <w:pPr>
        <w:autoSpaceDE w:val="0"/>
        <w:autoSpaceDN w:val="0"/>
        <w:adjustRightInd w:val="0"/>
        <w:spacing w:after="0" w:line="240" w:lineRule="auto"/>
        <w:jc w:val="both"/>
        <w:rPr>
          <w:rFonts w:ascii="Times New Roman" w:eastAsia="MS Mincho" w:hAnsi="Times New Roman" w:cs="Times New Roman"/>
          <w:color w:val="000000"/>
          <w:sz w:val="24"/>
          <w:szCs w:val="24"/>
          <w:lang w:eastAsia="fr-FR"/>
        </w:rPr>
      </w:pPr>
      <w:r w:rsidRPr="001557BB">
        <w:rPr>
          <w:rFonts w:ascii="Times New Roman" w:eastAsia="MS Mincho" w:hAnsi="Times New Roman" w:cs="Times New Roman"/>
          <w:color w:val="000000"/>
          <w:sz w:val="24"/>
          <w:szCs w:val="24"/>
          <w:lang w:eastAsia="fr-FR"/>
        </w:rPr>
        <w:t xml:space="preserve">En </w:t>
      </w:r>
      <w:r w:rsidRPr="001557BB">
        <w:rPr>
          <w:rFonts w:ascii="Times New Roman" w:hAnsi="Times New Roman" w:cs="Times New Roman"/>
          <w:color w:val="000000"/>
          <w:sz w:val="24"/>
          <w:szCs w:val="24"/>
        </w:rPr>
        <w:t>juin 2016</w:t>
      </w:r>
      <w:r w:rsidR="001A457E">
        <w:rPr>
          <w:rFonts w:ascii="Times New Roman" w:hAnsi="Times New Roman" w:cs="Times New Roman"/>
          <w:color w:val="000000"/>
          <w:sz w:val="24"/>
          <w:szCs w:val="24"/>
        </w:rPr>
        <w:t>,</w:t>
      </w:r>
      <w:r w:rsidRPr="001557BB">
        <w:rPr>
          <w:rFonts w:ascii="Times New Roman" w:hAnsi="Times New Roman" w:cs="Times New Roman"/>
          <w:color w:val="000000"/>
          <w:sz w:val="24"/>
          <w:szCs w:val="24"/>
        </w:rPr>
        <w:t xml:space="preserve"> le </w:t>
      </w:r>
      <w:r w:rsidR="004D13FE">
        <w:rPr>
          <w:rFonts w:ascii="Times New Roman" w:hAnsi="Times New Roman" w:cs="Times New Roman"/>
          <w:color w:val="000000"/>
          <w:sz w:val="24"/>
          <w:szCs w:val="24"/>
        </w:rPr>
        <w:t xml:space="preserve">gouvernement </w:t>
      </w:r>
      <w:r w:rsidRPr="001557BB">
        <w:rPr>
          <w:rFonts w:ascii="Times New Roman" w:hAnsi="Times New Roman" w:cs="Times New Roman"/>
          <w:color w:val="000000"/>
          <w:sz w:val="24"/>
          <w:szCs w:val="24"/>
        </w:rPr>
        <w:t>togolais a pris un moratoire interd</w:t>
      </w:r>
      <w:r w:rsidR="004D13FE">
        <w:rPr>
          <w:rFonts w:ascii="Times New Roman" w:hAnsi="Times New Roman" w:cs="Times New Roman"/>
          <w:color w:val="000000"/>
          <w:sz w:val="24"/>
          <w:szCs w:val="24"/>
        </w:rPr>
        <w:t xml:space="preserve">isant l’exportation de cette </w:t>
      </w:r>
      <w:r w:rsidRPr="001557BB">
        <w:rPr>
          <w:rFonts w:ascii="Times New Roman" w:hAnsi="Times New Roman" w:cs="Times New Roman"/>
          <w:color w:val="000000"/>
          <w:sz w:val="24"/>
          <w:szCs w:val="24"/>
        </w:rPr>
        <w:t>espèce au Togo pour une période 10 ans afin d’éviter son extinction locale et permettre aux peuplements naturels de pouvoir se régénérer</w:t>
      </w:r>
      <w:r w:rsidRPr="001557BB">
        <w:rPr>
          <w:rFonts w:ascii="Times New Roman" w:eastAsia="MS Mincho" w:hAnsi="Times New Roman" w:cs="Times New Roman"/>
          <w:color w:val="000000"/>
          <w:sz w:val="24"/>
          <w:szCs w:val="24"/>
          <w:lang w:eastAsia="fr-FR"/>
        </w:rPr>
        <w:t>. Actuellement</w:t>
      </w:r>
      <w:r w:rsidR="004D13FE">
        <w:rPr>
          <w:rFonts w:ascii="Times New Roman" w:eastAsia="MS Mincho" w:hAnsi="Times New Roman" w:cs="Times New Roman"/>
          <w:color w:val="000000"/>
          <w:sz w:val="24"/>
          <w:szCs w:val="24"/>
          <w:lang w:eastAsia="fr-FR"/>
        </w:rPr>
        <w:t>,</w:t>
      </w:r>
      <w:r w:rsidRPr="001557BB">
        <w:rPr>
          <w:rFonts w:ascii="Times New Roman" w:eastAsia="MS Mincho" w:hAnsi="Times New Roman" w:cs="Times New Roman"/>
          <w:color w:val="000000"/>
          <w:sz w:val="24"/>
          <w:szCs w:val="24"/>
          <w:lang w:eastAsia="fr-FR"/>
        </w:rPr>
        <w:t xml:space="preserve"> le Laboratoire de Recherche Forestière de l’Université de Lomé est entrain de mener des travaux de recherche sur la mise au point d’une stratégie de reconstitution des peuplements naturels de </w:t>
      </w:r>
      <w:r w:rsidRPr="001557BB">
        <w:rPr>
          <w:rFonts w:ascii="Times New Roman" w:eastAsia="MS Mincho" w:hAnsi="Times New Roman" w:cs="Times New Roman"/>
          <w:i/>
          <w:color w:val="000000"/>
          <w:sz w:val="24"/>
          <w:szCs w:val="24"/>
          <w:lang w:eastAsia="fr-FR"/>
        </w:rPr>
        <w:t>Pterocarpus erinaceus</w:t>
      </w:r>
      <w:r w:rsidR="001557BB">
        <w:rPr>
          <w:rFonts w:ascii="Times New Roman" w:eastAsia="MS Mincho" w:hAnsi="Times New Roman" w:cs="Times New Roman"/>
          <w:color w:val="000000"/>
          <w:sz w:val="24"/>
          <w:szCs w:val="24"/>
          <w:lang w:eastAsia="fr-FR"/>
        </w:rPr>
        <w:t>.</w:t>
      </w:r>
    </w:p>
    <w:p w14:paraId="2AD4AB5B" w14:textId="77777777" w:rsidR="001557BB" w:rsidRPr="001557BB" w:rsidRDefault="001557BB" w:rsidP="001557BB">
      <w:pPr>
        <w:autoSpaceDE w:val="0"/>
        <w:autoSpaceDN w:val="0"/>
        <w:adjustRightInd w:val="0"/>
        <w:spacing w:after="0" w:line="240" w:lineRule="auto"/>
        <w:jc w:val="both"/>
        <w:rPr>
          <w:rFonts w:ascii="Times New Roman" w:eastAsia="MS Mincho" w:hAnsi="Times New Roman" w:cs="Times New Roman"/>
          <w:color w:val="000000"/>
          <w:sz w:val="24"/>
          <w:szCs w:val="24"/>
          <w:lang w:eastAsia="fr-FR"/>
        </w:rPr>
      </w:pPr>
    </w:p>
    <w:p w14:paraId="3BBE90E2" w14:textId="2C13FAE6" w:rsidR="00D31C6C" w:rsidRPr="001557BB" w:rsidRDefault="00D31C6C" w:rsidP="001557BB">
      <w:pPr>
        <w:autoSpaceDE w:val="0"/>
        <w:autoSpaceDN w:val="0"/>
        <w:adjustRightInd w:val="0"/>
        <w:spacing w:after="0" w:line="240" w:lineRule="auto"/>
        <w:jc w:val="both"/>
        <w:rPr>
          <w:rFonts w:ascii="Times New Roman" w:hAnsi="Times New Roman" w:cs="Times New Roman"/>
          <w:color w:val="000000"/>
          <w:sz w:val="24"/>
          <w:szCs w:val="24"/>
        </w:rPr>
      </w:pPr>
      <w:r w:rsidRPr="001557BB">
        <w:rPr>
          <w:rFonts w:ascii="Times New Roman" w:eastAsia="MS Mincho" w:hAnsi="Times New Roman" w:cs="Times New Roman"/>
          <w:color w:val="000000"/>
          <w:sz w:val="24"/>
          <w:szCs w:val="24"/>
          <w:lang w:eastAsia="fr-FR"/>
        </w:rPr>
        <w:t xml:space="preserve">Pour ce qui concerne les espèces animales, </w:t>
      </w:r>
      <w:r w:rsidRPr="001557BB">
        <w:rPr>
          <w:rFonts w:ascii="Times New Roman" w:hAnsi="Times New Roman" w:cs="Times New Roman"/>
          <w:color w:val="000000"/>
          <w:sz w:val="24"/>
          <w:szCs w:val="24"/>
        </w:rPr>
        <w:t>trois sont endémiques. Il s’agit de l’escargot géant (</w:t>
      </w:r>
      <w:r w:rsidRPr="001557BB">
        <w:rPr>
          <w:rFonts w:ascii="Times New Roman" w:hAnsi="Times New Roman" w:cs="Times New Roman"/>
          <w:i/>
          <w:iCs/>
          <w:color w:val="000000"/>
          <w:sz w:val="24"/>
          <w:szCs w:val="24"/>
        </w:rPr>
        <w:t xml:space="preserve">Achatina togoensis, </w:t>
      </w:r>
      <w:r w:rsidRPr="001557BB">
        <w:rPr>
          <w:rFonts w:ascii="Times New Roman" w:hAnsi="Times New Roman" w:cs="Times New Roman"/>
          <w:color w:val="000000"/>
          <w:sz w:val="24"/>
          <w:szCs w:val="24"/>
        </w:rPr>
        <w:t>Mollus</w:t>
      </w:r>
      <w:r w:rsidR="004757EA">
        <w:rPr>
          <w:rFonts w:ascii="Times New Roman" w:hAnsi="Times New Roman" w:cs="Times New Roman"/>
          <w:color w:val="000000"/>
          <w:sz w:val="24"/>
          <w:szCs w:val="24"/>
        </w:rPr>
        <w:t>que) dans le massif d’Adélé et deux (2)</w:t>
      </w:r>
      <w:r w:rsidRPr="001557BB">
        <w:rPr>
          <w:rFonts w:ascii="Times New Roman" w:hAnsi="Times New Roman" w:cs="Times New Roman"/>
          <w:color w:val="000000"/>
          <w:sz w:val="24"/>
          <w:szCs w:val="24"/>
        </w:rPr>
        <w:t xml:space="preserve"> Amphibiens </w:t>
      </w:r>
      <w:r w:rsidR="004757EA">
        <w:rPr>
          <w:rFonts w:ascii="Times New Roman" w:hAnsi="Times New Roman" w:cs="Times New Roman"/>
          <w:color w:val="000000"/>
          <w:sz w:val="24"/>
          <w:szCs w:val="24"/>
        </w:rPr>
        <w:t xml:space="preserve">dont </w:t>
      </w:r>
      <w:r w:rsidRPr="001557BB">
        <w:rPr>
          <w:rFonts w:ascii="Times New Roman" w:hAnsi="Times New Roman" w:cs="Times New Roman"/>
          <w:i/>
          <w:iCs/>
          <w:color w:val="000000"/>
          <w:sz w:val="24"/>
          <w:szCs w:val="24"/>
        </w:rPr>
        <w:t xml:space="preserve">Conraua derooi </w:t>
      </w:r>
      <w:r w:rsidRPr="001557BB">
        <w:rPr>
          <w:rFonts w:ascii="Times New Roman" w:hAnsi="Times New Roman" w:cs="Times New Roman"/>
          <w:color w:val="000000"/>
          <w:sz w:val="24"/>
          <w:szCs w:val="24"/>
        </w:rPr>
        <w:t>dans les forêts semi-décidues du K</w:t>
      </w:r>
      <w:r w:rsidR="004757EA">
        <w:rPr>
          <w:rFonts w:ascii="Times New Roman" w:hAnsi="Times New Roman" w:cs="Times New Roman"/>
          <w:color w:val="000000"/>
          <w:sz w:val="24"/>
          <w:szCs w:val="24"/>
        </w:rPr>
        <w:t>loto (Région des Plateaux) et</w:t>
      </w:r>
      <w:r w:rsidRPr="001557BB">
        <w:rPr>
          <w:rFonts w:ascii="Times New Roman" w:hAnsi="Times New Roman" w:cs="Times New Roman"/>
          <w:color w:val="000000"/>
          <w:sz w:val="24"/>
          <w:szCs w:val="24"/>
        </w:rPr>
        <w:t xml:space="preserve"> </w:t>
      </w:r>
      <w:r w:rsidRPr="001557BB">
        <w:rPr>
          <w:rFonts w:ascii="Times New Roman" w:hAnsi="Times New Roman" w:cs="Times New Roman"/>
          <w:i/>
          <w:iCs/>
          <w:color w:val="000000"/>
          <w:sz w:val="24"/>
          <w:szCs w:val="24"/>
        </w:rPr>
        <w:t xml:space="preserve">Bufo togoensis </w:t>
      </w:r>
      <w:r w:rsidRPr="001557BB">
        <w:rPr>
          <w:rFonts w:ascii="Times New Roman" w:hAnsi="Times New Roman" w:cs="Times New Roman"/>
          <w:color w:val="000000"/>
          <w:sz w:val="24"/>
          <w:szCs w:val="24"/>
        </w:rPr>
        <w:t xml:space="preserve">dans le Massif d’Adélé (Région Centrale). Il faut par ailleurs noter qu’au Togo, certaines espèces de Vertébrés sont devenues vulnérables, en danger, en danger critique ou quasiment menacées et </w:t>
      </w:r>
      <w:r w:rsidR="004757EA">
        <w:rPr>
          <w:rFonts w:ascii="Times New Roman" w:hAnsi="Times New Roman" w:cs="Times New Roman"/>
          <w:color w:val="000000"/>
          <w:sz w:val="24"/>
          <w:szCs w:val="24"/>
        </w:rPr>
        <w:t>figurent par conséquent sur la l</w:t>
      </w:r>
      <w:r w:rsidRPr="001557BB">
        <w:rPr>
          <w:rFonts w:ascii="Times New Roman" w:hAnsi="Times New Roman" w:cs="Times New Roman"/>
          <w:color w:val="000000"/>
          <w:sz w:val="24"/>
          <w:szCs w:val="24"/>
        </w:rPr>
        <w:t>iste rouge des espèces de l’IUCN. Un total de 48 espèces de Vertébrés d</w:t>
      </w:r>
      <w:r w:rsidR="004757EA">
        <w:rPr>
          <w:rFonts w:ascii="Times New Roman" w:hAnsi="Times New Roman" w:cs="Times New Roman"/>
          <w:color w:val="000000"/>
          <w:sz w:val="24"/>
          <w:szCs w:val="24"/>
        </w:rPr>
        <w:t>u Togo se retrouvent sur cette l</w:t>
      </w:r>
      <w:r w:rsidRPr="001557BB">
        <w:rPr>
          <w:rFonts w:ascii="Times New Roman" w:hAnsi="Times New Roman" w:cs="Times New Roman"/>
          <w:color w:val="000000"/>
          <w:sz w:val="24"/>
          <w:szCs w:val="24"/>
        </w:rPr>
        <w:t>iste soit</w:t>
      </w:r>
      <w:r w:rsidR="004757EA">
        <w:rPr>
          <w:rFonts w:ascii="Times New Roman" w:hAnsi="Times New Roman" w:cs="Times New Roman"/>
          <w:color w:val="000000"/>
          <w:sz w:val="24"/>
          <w:szCs w:val="24"/>
        </w:rPr>
        <w:t>,</w:t>
      </w:r>
      <w:r w:rsidRPr="001557BB">
        <w:rPr>
          <w:rFonts w:ascii="Times New Roman" w:hAnsi="Times New Roman" w:cs="Times New Roman"/>
          <w:color w:val="000000"/>
          <w:sz w:val="24"/>
          <w:szCs w:val="24"/>
        </w:rPr>
        <w:t xml:space="preserve"> 2,72% des espèces de Vertébrés recensées au Togo. Parmi ces espèces de Vertébrés de la Liste rouge, les espèces vulnérables (26) sont les plus importantes et s’observent parmi les Poissons, les Reptiles, les Oiseaux et les Mammifères. Les espèces en danger (10) s’observent parmi les Amphibiens, les Reptiles, les Oiseaux et les Mammifères alors que celles en danger critique se recrutent parmi les Amphibiens et les Mammifères.</w:t>
      </w:r>
    </w:p>
    <w:p w14:paraId="18C90B3D"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color w:val="000000"/>
          <w:sz w:val="24"/>
          <w:szCs w:val="24"/>
        </w:rPr>
      </w:pPr>
    </w:p>
    <w:p w14:paraId="73C0F488" w14:textId="6A511F44" w:rsidR="00A05444" w:rsidRDefault="00D31C6C" w:rsidP="001557BB">
      <w:pPr>
        <w:spacing w:after="0" w:line="240" w:lineRule="auto"/>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 xml:space="preserve">Depuis l’adoption </w:t>
      </w:r>
      <w:r w:rsidRPr="001557BB">
        <w:rPr>
          <w:rFonts w:ascii="Times New Roman" w:hAnsi="Times New Roman" w:cs="Times New Roman"/>
          <w:iCs/>
          <w:color w:val="000000"/>
          <w:sz w:val="24"/>
          <w:szCs w:val="24"/>
          <w:lang w:val="fr-CA"/>
        </w:rPr>
        <w:t>du Plan stratégique 2011-2020 pour la diversité biologique</w:t>
      </w:r>
      <w:r w:rsidR="001A457E">
        <w:rPr>
          <w:rFonts w:ascii="Times New Roman" w:hAnsi="Times New Roman" w:cs="Times New Roman"/>
          <w:iCs/>
          <w:color w:val="000000"/>
          <w:sz w:val="24"/>
          <w:szCs w:val="24"/>
          <w:lang w:val="fr-CA"/>
        </w:rPr>
        <w:t>,</w:t>
      </w:r>
      <w:r w:rsidRPr="001557BB">
        <w:rPr>
          <w:rFonts w:ascii="Times New Roman" w:hAnsi="Times New Roman" w:cs="Times New Roman"/>
          <w:color w:val="000000"/>
          <w:sz w:val="24"/>
          <w:szCs w:val="24"/>
        </w:rPr>
        <w:t xml:space="preserve"> aucune espèce végétale comme animale n’a disparu au Togo. En dehors des actions menées en faveur de </w:t>
      </w:r>
      <w:r w:rsidRPr="001557BB">
        <w:rPr>
          <w:rFonts w:ascii="Times New Roman" w:hAnsi="Times New Roman" w:cs="Times New Roman"/>
          <w:i/>
          <w:color w:val="000000"/>
          <w:sz w:val="24"/>
          <w:szCs w:val="24"/>
        </w:rPr>
        <w:t>P. erinaceus</w:t>
      </w:r>
      <w:r w:rsidRPr="001557BB">
        <w:rPr>
          <w:rFonts w:ascii="Times New Roman" w:hAnsi="Times New Roman" w:cs="Times New Roman"/>
          <w:color w:val="000000"/>
          <w:sz w:val="24"/>
          <w:szCs w:val="24"/>
        </w:rPr>
        <w:t>, d’autres actions menées ont concerné comme pour la plupart des objectifs d’Aichi, la sensibilisation des acteurs sur la conservation de la biodiversité, la mise en place et</w:t>
      </w:r>
      <w:r w:rsidR="001A457E">
        <w:rPr>
          <w:rFonts w:ascii="Times New Roman" w:hAnsi="Times New Roman" w:cs="Times New Roman"/>
          <w:color w:val="000000"/>
          <w:sz w:val="24"/>
          <w:szCs w:val="24"/>
        </w:rPr>
        <w:t xml:space="preserve"> la</w:t>
      </w:r>
      <w:r w:rsidRPr="001557BB">
        <w:rPr>
          <w:rFonts w:ascii="Times New Roman" w:hAnsi="Times New Roman" w:cs="Times New Roman"/>
          <w:color w:val="000000"/>
          <w:sz w:val="24"/>
          <w:szCs w:val="24"/>
        </w:rPr>
        <w:t xml:space="preserve"> redynamisation des comités anti- feux au niveau des communautés, l’élaboration et diffusion des fiches techniques de sylviculture des espèces forestières locales menacées, le Dénombrement des oiseaux migrateurs, le lancement de l’étude des espèces de faune faisant l’objet de</w:t>
      </w:r>
      <w:r w:rsidR="00A05444">
        <w:rPr>
          <w:rFonts w:ascii="Times New Roman" w:hAnsi="Times New Roman" w:cs="Times New Roman"/>
          <w:color w:val="000000"/>
          <w:sz w:val="24"/>
          <w:szCs w:val="24"/>
        </w:rPr>
        <w:t xml:space="preserve"> commerce international, …</w:t>
      </w:r>
    </w:p>
    <w:p w14:paraId="4C71E949" w14:textId="77777777" w:rsidR="00A05444" w:rsidRDefault="00A05444" w:rsidP="001557BB">
      <w:pPr>
        <w:spacing w:after="0" w:line="240" w:lineRule="auto"/>
        <w:jc w:val="both"/>
        <w:rPr>
          <w:rFonts w:ascii="Times New Roman" w:hAnsi="Times New Roman" w:cs="Times New Roman"/>
          <w:color w:val="000000"/>
          <w:sz w:val="24"/>
          <w:szCs w:val="24"/>
        </w:rPr>
      </w:pPr>
    </w:p>
    <w:p w14:paraId="490F744E" w14:textId="2F18F4E6" w:rsidR="00D31C6C" w:rsidRPr="001557BB"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color w:val="000000"/>
          <w:sz w:val="24"/>
          <w:szCs w:val="24"/>
        </w:rPr>
        <w:t>Par ailleurs, l</w:t>
      </w:r>
      <w:r w:rsidRPr="001557BB">
        <w:rPr>
          <w:rFonts w:ascii="Times New Roman" w:hAnsi="Times New Roman" w:cs="Times New Roman"/>
          <w:sz w:val="24"/>
          <w:szCs w:val="24"/>
        </w:rPr>
        <w:t>e ministère de l’environnement et des ressources forestières a réalisé en 2016, l’étude portant sur quatre espèces de faune faisant l’objet du commerce international au Togo dans le but de fournir les informations nécessaires à l’Union Européenne (UE) lui permettant d’autoriser l’importation sur le territoire UE desdites espèces d’une part et de respecter les notifications d</w:t>
      </w:r>
      <w:r w:rsidR="004757EA">
        <w:rPr>
          <w:rFonts w:ascii="Times New Roman" w:hAnsi="Times New Roman" w:cs="Times New Roman"/>
          <w:sz w:val="24"/>
          <w:szCs w:val="24"/>
        </w:rPr>
        <w:t>e la</w:t>
      </w:r>
      <w:r w:rsidRPr="001557BB">
        <w:rPr>
          <w:rFonts w:ascii="Times New Roman" w:hAnsi="Times New Roman" w:cs="Times New Roman"/>
          <w:sz w:val="24"/>
          <w:szCs w:val="24"/>
        </w:rPr>
        <w:t xml:space="preserve"> CITES d’autre part. Il s’agit du perroquet d’Afrique (</w:t>
      </w:r>
      <w:r w:rsidRPr="001557BB">
        <w:rPr>
          <w:rFonts w:ascii="Times New Roman" w:hAnsi="Times New Roman" w:cs="Times New Roman"/>
          <w:i/>
          <w:sz w:val="24"/>
          <w:szCs w:val="24"/>
        </w:rPr>
        <w:t xml:space="preserve">Psittacus erithacus), </w:t>
      </w:r>
      <w:r w:rsidRPr="001557BB">
        <w:rPr>
          <w:rFonts w:ascii="Times New Roman" w:hAnsi="Times New Roman" w:cs="Times New Roman"/>
          <w:sz w:val="24"/>
          <w:szCs w:val="24"/>
        </w:rPr>
        <w:t xml:space="preserve">du caméléon gracile </w:t>
      </w:r>
      <w:r w:rsidRPr="001557BB">
        <w:rPr>
          <w:rFonts w:ascii="Times New Roman" w:hAnsi="Times New Roman" w:cs="Times New Roman"/>
          <w:i/>
          <w:sz w:val="24"/>
          <w:szCs w:val="24"/>
        </w:rPr>
        <w:t xml:space="preserve">(Chamaeleo gracilis), </w:t>
      </w:r>
      <w:r w:rsidR="004757EA">
        <w:rPr>
          <w:rFonts w:ascii="Times New Roman" w:hAnsi="Times New Roman" w:cs="Times New Roman"/>
          <w:sz w:val="24"/>
          <w:szCs w:val="24"/>
        </w:rPr>
        <w:t xml:space="preserve"> de la</w:t>
      </w:r>
      <w:r w:rsidRPr="001557BB">
        <w:rPr>
          <w:rFonts w:ascii="Times New Roman" w:hAnsi="Times New Roman" w:cs="Times New Roman"/>
          <w:sz w:val="24"/>
          <w:szCs w:val="24"/>
        </w:rPr>
        <w:t xml:space="preserve"> tortue de Home Home’s</w:t>
      </w:r>
      <w:r w:rsidRPr="001557BB">
        <w:rPr>
          <w:rFonts w:ascii="Times New Roman" w:hAnsi="Times New Roman" w:cs="Times New Roman"/>
          <w:i/>
          <w:sz w:val="24"/>
          <w:szCs w:val="24"/>
        </w:rPr>
        <w:t xml:space="preserve"> (Kinixys homeana) et </w:t>
      </w:r>
      <w:r w:rsidRPr="001557BB">
        <w:rPr>
          <w:rFonts w:ascii="Times New Roman" w:hAnsi="Times New Roman" w:cs="Times New Roman"/>
          <w:sz w:val="24"/>
          <w:szCs w:val="24"/>
        </w:rPr>
        <w:t>du scorpion noir (</w:t>
      </w:r>
      <w:r w:rsidRPr="001557BB">
        <w:rPr>
          <w:rFonts w:ascii="Times New Roman" w:hAnsi="Times New Roman" w:cs="Times New Roman"/>
          <w:i/>
          <w:sz w:val="24"/>
          <w:szCs w:val="24"/>
        </w:rPr>
        <w:t>Pandinus imperator</w:t>
      </w:r>
      <w:r w:rsidRPr="001557BB">
        <w:rPr>
          <w:rFonts w:ascii="Times New Roman" w:hAnsi="Times New Roman" w:cs="Times New Roman"/>
          <w:sz w:val="24"/>
          <w:szCs w:val="24"/>
        </w:rPr>
        <w:t xml:space="preserve">). Cette étude a été réalisée pour répondre aux dispositions de la </w:t>
      </w:r>
      <w:r w:rsidR="004757EA">
        <w:rPr>
          <w:rFonts w:ascii="Times New Roman" w:hAnsi="Times New Roman" w:cs="Times New Roman"/>
          <w:sz w:val="24"/>
          <w:szCs w:val="24"/>
        </w:rPr>
        <w:t>CITES</w:t>
      </w:r>
      <w:r w:rsidRPr="001557BB">
        <w:rPr>
          <w:rFonts w:ascii="Times New Roman" w:hAnsi="Times New Roman" w:cs="Times New Roman"/>
          <w:sz w:val="24"/>
          <w:szCs w:val="24"/>
        </w:rPr>
        <w:t>. Les résultats de cette étude ont permis d’établir les quotas</w:t>
      </w:r>
      <w:r w:rsidR="004757EA">
        <w:rPr>
          <w:rFonts w:ascii="Times New Roman" w:hAnsi="Times New Roman" w:cs="Times New Roman"/>
          <w:sz w:val="24"/>
          <w:szCs w:val="24"/>
        </w:rPr>
        <w:t xml:space="preserve"> d’exportation</w:t>
      </w:r>
      <w:r w:rsidRPr="001557BB">
        <w:rPr>
          <w:rFonts w:ascii="Times New Roman" w:hAnsi="Times New Roman" w:cs="Times New Roman"/>
          <w:sz w:val="24"/>
          <w:szCs w:val="24"/>
        </w:rPr>
        <w:t xml:space="preserve">. En addition à cette étude, il a été procédé de 2011 à 2016 au suivi écologique des mouvements des oiseaux migrateurs. </w:t>
      </w:r>
    </w:p>
    <w:p w14:paraId="70EDA58E" w14:textId="77777777" w:rsidR="00D31C6C" w:rsidRPr="001557BB" w:rsidRDefault="00D31C6C" w:rsidP="001557BB">
      <w:pPr>
        <w:spacing w:after="0" w:line="240" w:lineRule="auto"/>
        <w:jc w:val="both"/>
        <w:rPr>
          <w:rFonts w:ascii="Times New Roman" w:hAnsi="Times New Roman" w:cs="Times New Roman"/>
          <w:sz w:val="24"/>
          <w:szCs w:val="24"/>
        </w:rPr>
      </w:pPr>
    </w:p>
    <w:p w14:paraId="67F534E4"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D’ici à 2020, le gouvernement entend conduire, avec l’appui des partenaires, des études en vue de l’élaboration du statut de conservation des espèces de faune et de flore au Togo.</w:t>
      </w:r>
    </w:p>
    <w:p w14:paraId="44FAF5DB"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6AB6A308" w14:textId="13B07415"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r w:rsidRPr="001557BB">
        <w:rPr>
          <w:rFonts w:ascii="Times New Roman" w:hAnsi="Times New Roman" w:cs="Times New Roman"/>
          <w:b/>
          <w:iCs/>
          <w:kern w:val="22"/>
          <w:sz w:val="24"/>
          <w:szCs w:val="24"/>
          <w:lang w:val="fr-CA"/>
        </w:rPr>
        <w:t xml:space="preserve">Objectif 13 </w:t>
      </w:r>
      <w:r w:rsidRPr="001557BB">
        <w:rPr>
          <w:rFonts w:ascii="Times New Roman" w:hAnsi="Times New Roman" w:cs="Times New Roman"/>
          <w:b/>
          <w:kern w:val="22"/>
          <w:sz w:val="24"/>
          <w:szCs w:val="24"/>
          <w:lang w:val="fr-CA"/>
        </w:rPr>
        <w:t xml:space="preserve">d’Aichi pour la biodiversité </w:t>
      </w:r>
      <w:r w:rsidR="004757EA">
        <w:rPr>
          <w:rFonts w:ascii="Times New Roman" w:hAnsi="Times New Roman" w:cs="Times New Roman"/>
          <w:b/>
          <w:iCs/>
          <w:kern w:val="22"/>
          <w:sz w:val="24"/>
          <w:szCs w:val="24"/>
          <w:lang w:val="fr-CA"/>
        </w:rPr>
        <w:t>: s</w:t>
      </w:r>
      <w:r w:rsidRPr="001557BB">
        <w:rPr>
          <w:rFonts w:ascii="Times New Roman" w:hAnsi="Times New Roman" w:cs="Times New Roman"/>
          <w:b/>
          <w:iCs/>
          <w:kern w:val="22"/>
          <w:sz w:val="24"/>
          <w:szCs w:val="24"/>
          <w:lang w:val="fr-CA"/>
        </w:rPr>
        <w:t>auvegarder la diversité génétique</w:t>
      </w:r>
    </w:p>
    <w:p w14:paraId="7B9946E4"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bCs/>
          <w:color w:val="000000"/>
          <w:sz w:val="24"/>
          <w:szCs w:val="24"/>
        </w:rPr>
      </w:pPr>
    </w:p>
    <w:p w14:paraId="424182A1" w14:textId="77777777" w:rsidR="00A05444"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La biodiversité pour l’alimentation et l’agriculture est assez variée au Togo. Elle renferme plusieurs composantes que sont les ressources génétiques végétales, animales, forestières, aquatiques, la biodiversité associée et les aliments sauvages. Les ressources génétiques végétales qui sont la base de l’agriculture et de l’alimentation, sont les plus utilisées (PAM, 2018). Elles comprennent les céréales, les légumineuses à graines, les plantes à racines et à tubercules, les légumes, les épices, le coton, le café, le cacao, les oléagineux, les fibres et textiles, les plantes aromatiques, les fruitiers cultivés et sauvages, les plantes fourragères, les plantes </w:t>
      </w:r>
      <w:r w:rsidR="00A05444">
        <w:rPr>
          <w:rFonts w:ascii="Times New Roman" w:hAnsi="Times New Roman" w:cs="Times New Roman"/>
          <w:sz w:val="24"/>
          <w:szCs w:val="24"/>
        </w:rPr>
        <w:t>médicinales et les champignons.</w:t>
      </w:r>
    </w:p>
    <w:p w14:paraId="663D203F" w14:textId="77777777" w:rsidR="00A05444" w:rsidRDefault="00A05444" w:rsidP="001557BB">
      <w:pPr>
        <w:autoSpaceDE w:val="0"/>
        <w:autoSpaceDN w:val="0"/>
        <w:adjustRightInd w:val="0"/>
        <w:spacing w:after="0" w:line="240" w:lineRule="auto"/>
        <w:jc w:val="both"/>
        <w:rPr>
          <w:rFonts w:ascii="Times New Roman" w:hAnsi="Times New Roman" w:cs="Times New Roman"/>
          <w:sz w:val="24"/>
          <w:szCs w:val="24"/>
        </w:rPr>
      </w:pPr>
    </w:p>
    <w:p w14:paraId="520AEED9" w14:textId="0BFA9C74" w:rsidR="00D31C6C"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Ces ressources sont utilisées de manière intense et le plus souvent, avec pas assez de rationalité dans les nombreux systèmes de production du pays. </w:t>
      </w:r>
      <w:r w:rsidR="004757EA">
        <w:rPr>
          <w:rFonts w:ascii="Times New Roman" w:hAnsi="Times New Roman" w:cs="Times New Roman"/>
          <w:sz w:val="24"/>
          <w:szCs w:val="24"/>
        </w:rPr>
        <w:t>Elles</w:t>
      </w:r>
      <w:r w:rsidRPr="001557BB">
        <w:rPr>
          <w:rFonts w:ascii="Times New Roman" w:hAnsi="Times New Roman" w:cs="Times New Roman"/>
          <w:sz w:val="24"/>
          <w:szCs w:val="24"/>
        </w:rPr>
        <w:t xml:space="preserve"> restent sous la responsabilité de l’Institut togolais de recherche agronomique (ITRA), une structure à caractère public. La gestion des ressources phytogénétiques est faite sous forme de collections vivantes ex situ et in vivo, et leur utilisation et valorisation par le biais d’activités de recherche et de production de semences. En effet, la recherche a démarré la collection des écotypes locaux depuis 1980 mais par manque de moyens humains, technologi</w:t>
      </w:r>
      <w:r w:rsidR="004757EA">
        <w:rPr>
          <w:rFonts w:ascii="Times New Roman" w:hAnsi="Times New Roman" w:cs="Times New Roman"/>
          <w:sz w:val="24"/>
          <w:szCs w:val="24"/>
        </w:rPr>
        <w:t>qu</w:t>
      </w:r>
      <w:r w:rsidRPr="001557BB">
        <w:rPr>
          <w:rFonts w:ascii="Times New Roman" w:hAnsi="Times New Roman" w:cs="Times New Roman"/>
          <w:sz w:val="24"/>
          <w:szCs w:val="24"/>
        </w:rPr>
        <w:t>es et matériels, plusieurs ressources phytogénétiques sont perdues. La chambre froide construite et équipée grâce au soutien financier de l’ADRAO (actuel AfricaRice) est tombée en panne depuis 1990 perturbant ainsi les conservations de longue durée.</w:t>
      </w:r>
    </w:p>
    <w:p w14:paraId="0879CC22" w14:textId="77777777" w:rsidR="00322B73" w:rsidRPr="001557BB" w:rsidRDefault="00322B73" w:rsidP="001557BB">
      <w:pPr>
        <w:autoSpaceDE w:val="0"/>
        <w:autoSpaceDN w:val="0"/>
        <w:adjustRightInd w:val="0"/>
        <w:spacing w:after="0" w:line="240" w:lineRule="auto"/>
        <w:jc w:val="both"/>
        <w:rPr>
          <w:rFonts w:ascii="Times New Roman" w:hAnsi="Times New Roman" w:cs="Times New Roman"/>
          <w:sz w:val="24"/>
          <w:szCs w:val="24"/>
        </w:rPr>
      </w:pPr>
    </w:p>
    <w:p w14:paraId="4398EAE6" w14:textId="2850D6F9" w:rsidR="00A05444"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L’ITRA a identifié et encouragé la conservation in-situ des ignames sauvages dans la région des Plateaux. Une technique améliorée de production de semenceaux d’ignames qui limite le gaspillage des semences d’ignames est vulgarisée. Par rapport aux légumineuses à graines, il existe des banques de gènes qui sont maintenues in situ. Il s’agit notamment des accessions de soja, d’arachide, de niébé et de voandzou. L’objectif visé étant le maintien de ces spéculations dans leur pureté génétique en vue d’une utilisation dans les programmes d'amélioration variétale. Mais</w:t>
      </w:r>
      <w:r w:rsidR="004757EA">
        <w:rPr>
          <w:rFonts w:ascii="Times New Roman" w:hAnsi="Times New Roman" w:cs="Times New Roman"/>
          <w:sz w:val="24"/>
          <w:szCs w:val="24"/>
        </w:rPr>
        <w:t>,</w:t>
      </w:r>
      <w:r w:rsidRPr="001557BB">
        <w:rPr>
          <w:rFonts w:ascii="Times New Roman" w:hAnsi="Times New Roman" w:cs="Times New Roman"/>
          <w:sz w:val="24"/>
          <w:szCs w:val="24"/>
        </w:rPr>
        <w:t xml:space="preserve"> la méthode de conservation desdites cultures à travers la régénération d’accessions, chaque année et ce à défaut de chambre froide, affaiblit leur potenti</w:t>
      </w:r>
      <w:r w:rsidR="00A05444">
        <w:rPr>
          <w:rFonts w:ascii="Times New Roman" w:hAnsi="Times New Roman" w:cs="Times New Roman"/>
          <w:sz w:val="24"/>
          <w:szCs w:val="24"/>
        </w:rPr>
        <w:t>alité génétique au fil des ans.</w:t>
      </w:r>
    </w:p>
    <w:p w14:paraId="5C785C62" w14:textId="77777777" w:rsidR="00A05444" w:rsidRDefault="00A05444" w:rsidP="001557BB">
      <w:pPr>
        <w:autoSpaceDE w:val="0"/>
        <w:autoSpaceDN w:val="0"/>
        <w:adjustRightInd w:val="0"/>
        <w:spacing w:after="0" w:line="240" w:lineRule="auto"/>
        <w:jc w:val="both"/>
        <w:rPr>
          <w:rFonts w:ascii="Times New Roman" w:hAnsi="Times New Roman" w:cs="Times New Roman"/>
          <w:sz w:val="24"/>
          <w:szCs w:val="24"/>
        </w:rPr>
      </w:pPr>
    </w:p>
    <w:p w14:paraId="107D0BD9" w14:textId="77777777" w:rsidR="00D31C6C"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Quant à la sélection variétale, elle est réalisée sur les stations de recherche notamment la station d’Ativémè (Région Maritime), la Ferme Semencière de Sotouboua (Région Centrale), la station d’Abouda (Région de la Kara) et sur la station d’Ogaro (Région des Savanes) pour les principales cultures vivrières à savoir le maïs, le riz, le sorgho, le niébé et le soja. Elle vise à mettre au point de nouvelles variétés plus productives, résistantes aux diverses pathologies, performantes et adaptatives aux divers environnements et en relation aux effets des changements climatiques. Le système de recherche adaptative, actuellement appliqué, est fait sur la base des contraintes relevées par les paysans et leur forte implication au processus de sélection variétale en vue d’un meilleur transfert de technologies et d'adoption. Le matériel génétique est le plus souvent acquis auprès des institutions de recherche agricole et des universités de la sous-région (ICRISAT, CIMMYT, IITA, INERA, etc.).</w:t>
      </w:r>
    </w:p>
    <w:p w14:paraId="283C3B0E" w14:textId="77777777" w:rsidR="00322B73" w:rsidRPr="001557BB" w:rsidRDefault="00322B73" w:rsidP="001557BB">
      <w:pPr>
        <w:autoSpaceDE w:val="0"/>
        <w:autoSpaceDN w:val="0"/>
        <w:adjustRightInd w:val="0"/>
        <w:spacing w:after="0" w:line="240" w:lineRule="auto"/>
        <w:jc w:val="both"/>
        <w:rPr>
          <w:rFonts w:ascii="Times New Roman" w:hAnsi="Times New Roman" w:cs="Times New Roman"/>
          <w:sz w:val="24"/>
          <w:szCs w:val="24"/>
        </w:rPr>
      </w:pPr>
    </w:p>
    <w:p w14:paraId="29B25CE8" w14:textId="6033BD79" w:rsidR="00A05444"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Pour ce qui concerne les </w:t>
      </w:r>
      <w:r w:rsidRPr="001557BB">
        <w:rPr>
          <w:rFonts w:ascii="Times New Roman" w:hAnsi="Times New Roman" w:cs="Times New Roman"/>
          <w:iCs/>
          <w:sz w:val="24"/>
          <w:szCs w:val="24"/>
          <w:lang w:val="fr-CA"/>
        </w:rPr>
        <w:t>espèces sauvages apparentées et des espèces vulnérables sur les plans socioéconomique et culturel</w:t>
      </w:r>
      <w:r w:rsidR="001A457E">
        <w:rPr>
          <w:rFonts w:ascii="Times New Roman" w:hAnsi="Times New Roman" w:cs="Times New Roman"/>
          <w:iCs/>
          <w:sz w:val="24"/>
          <w:szCs w:val="24"/>
          <w:lang w:val="fr-CA"/>
        </w:rPr>
        <w:t>,</w:t>
      </w:r>
      <w:r w:rsidRPr="001557BB">
        <w:rPr>
          <w:rFonts w:ascii="Times New Roman" w:hAnsi="Times New Roman" w:cs="Times New Roman"/>
          <w:iCs/>
          <w:sz w:val="24"/>
          <w:szCs w:val="24"/>
          <w:lang w:val="fr-CA"/>
        </w:rPr>
        <w:t xml:space="preserve"> elles sont dans la majorité des cas conservées dans les aires protégées in situ. En effet</w:t>
      </w:r>
      <w:r w:rsidR="004757EA">
        <w:rPr>
          <w:rFonts w:ascii="Times New Roman" w:hAnsi="Times New Roman" w:cs="Times New Roman"/>
          <w:iCs/>
          <w:sz w:val="24"/>
          <w:szCs w:val="24"/>
          <w:lang w:val="fr-CA"/>
        </w:rPr>
        <w:t>,</w:t>
      </w:r>
      <w:r w:rsidRPr="001557BB">
        <w:rPr>
          <w:rFonts w:ascii="Times New Roman" w:hAnsi="Times New Roman" w:cs="Times New Roman"/>
          <w:iCs/>
          <w:sz w:val="24"/>
          <w:szCs w:val="24"/>
          <w:lang w:val="fr-CA"/>
        </w:rPr>
        <w:t xml:space="preserve"> L’approche de conservation la plus répandue pour la maintenir in situ dans des conditions naturelles est la création d’aires protégées (Terborgh et al., 2002</w:t>
      </w:r>
      <w:r w:rsidR="004757EA">
        <w:rPr>
          <w:rFonts w:ascii="Times New Roman" w:hAnsi="Times New Roman" w:cs="Times New Roman"/>
          <w:iCs/>
          <w:sz w:val="24"/>
          <w:szCs w:val="24"/>
          <w:lang w:val="fr-CA"/>
        </w:rPr>
        <w:t>,</w:t>
      </w:r>
      <w:r w:rsidRPr="001557BB">
        <w:rPr>
          <w:rFonts w:ascii="Times New Roman" w:hAnsi="Times New Roman" w:cs="Times New Roman"/>
          <w:iCs/>
          <w:sz w:val="24"/>
          <w:szCs w:val="24"/>
          <w:lang w:val="fr-CA"/>
        </w:rPr>
        <w:t xml:space="preserve"> Naughton-Treves et al., 2005). </w:t>
      </w:r>
      <w:r w:rsidRPr="001557BB">
        <w:rPr>
          <w:rFonts w:ascii="Times New Roman" w:hAnsi="Times New Roman" w:cs="Times New Roman"/>
          <w:sz w:val="24"/>
          <w:szCs w:val="24"/>
        </w:rPr>
        <w:t>Au Togo, théoriquement, le dispositif d’aires protégées inclut officiellement 83 forêts classées d’une superficie totale d'environ 773 811 ha, dont 628 000 ha ont été convertis en parcs nationaux et réserves de faune au cours des années 70 et 80. Parmi ces  forêts,  15 forêts classées formant un ensemble de 11 aires protégées ont été considérées comme directement éligibles pour l’institution du système nation</w:t>
      </w:r>
      <w:r w:rsidR="00A05444">
        <w:rPr>
          <w:rFonts w:ascii="Times New Roman" w:hAnsi="Times New Roman" w:cs="Times New Roman"/>
          <w:sz w:val="24"/>
          <w:szCs w:val="24"/>
        </w:rPr>
        <w:t>al des aires protégées du Togo.</w:t>
      </w:r>
    </w:p>
    <w:p w14:paraId="3AA2FB6F" w14:textId="77777777" w:rsidR="00A05444" w:rsidRDefault="00A05444" w:rsidP="001557BB">
      <w:pPr>
        <w:autoSpaceDE w:val="0"/>
        <w:autoSpaceDN w:val="0"/>
        <w:adjustRightInd w:val="0"/>
        <w:spacing w:after="0" w:line="240" w:lineRule="auto"/>
        <w:jc w:val="both"/>
        <w:rPr>
          <w:rFonts w:ascii="Times New Roman" w:hAnsi="Times New Roman" w:cs="Times New Roman"/>
          <w:sz w:val="24"/>
          <w:szCs w:val="24"/>
        </w:rPr>
      </w:pPr>
    </w:p>
    <w:p w14:paraId="1994B249" w14:textId="3AE59539" w:rsidR="00D31C6C" w:rsidRDefault="00D31C6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En dehors des aires protégées, les forêts sacrées constituent au Togo des zones de conservation de la biodiversité. Plusieurs espèces végéta</w:t>
      </w:r>
      <w:r w:rsidR="004757EA">
        <w:rPr>
          <w:rFonts w:ascii="Times New Roman" w:hAnsi="Times New Roman" w:cs="Times New Roman"/>
          <w:sz w:val="24"/>
          <w:szCs w:val="24"/>
        </w:rPr>
        <w:t>les sont utilisées au cours d</w:t>
      </w:r>
      <w:r w:rsidRPr="001557BB">
        <w:rPr>
          <w:rFonts w:ascii="Times New Roman" w:hAnsi="Times New Roman" w:cs="Times New Roman"/>
          <w:sz w:val="24"/>
          <w:szCs w:val="24"/>
        </w:rPr>
        <w:t>es cultes et servent également à la pharmacopée locale. C’est ce patrimoine riche et diversifié qui a permis aux prêtres, de pouvoir asseoir des règles de gestion et de conservation de ces forêts depuis presqu’un millénaire et d’avoir pu en sauvegarder l’essentiel. En dehors des aires protégées classiques de l’Etat, on a enregistré ces dernières années un engouement des communautés avec l’appui des ONG et de l’Etat à constituer des forêts communautaires dont la valeur en biodiversité est importante. Ces initiatives sont soutenues par le programme de micro financement du FEM, le comité UICN France, la FAO, la GIZ à travers le programme ProREDD et ont permis de mettre en place et de renforcer la gestion d’une dizaine de forêts communautaires (Ando-Kpomey, Alibi-1, Natchabouanga; Kemeni, Péssaré, Namab, etc.) au Togo.</w:t>
      </w:r>
    </w:p>
    <w:p w14:paraId="78884FA4" w14:textId="77777777" w:rsidR="00322B73" w:rsidRPr="001557BB" w:rsidRDefault="00322B73" w:rsidP="001557BB">
      <w:pPr>
        <w:autoSpaceDE w:val="0"/>
        <w:autoSpaceDN w:val="0"/>
        <w:adjustRightInd w:val="0"/>
        <w:spacing w:after="0" w:line="240" w:lineRule="auto"/>
        <w:jc w:val="both"/>
        <w:rPr>
          <w:rFonts w:ascii="Times New Roman" w:hAnsi="Times New Roman" w:cs="Times New Roman"/>
          <w:sz w:val="24"/>
          <w:szCs w:val="24"/>
        </w:rPr>
      </w:pPr>
    </w:p>
    <w:p w14:paraId="20643E77" w14:textId="6BD355E3" w:rsidR="00D31C6C" w:rsidRPr="00C059F3" w:rsidRDefault="00D31C6C" w:rsidP="001557BB">
      <w:pPr>
        <w:pStyle w:val="Commentaire"/>
        <w:spacing w:after="0"/>
        <w:jc w:val="both"/>
        <w:rPr>
          <w:rFonts w:ascii="Times New Roman" w:hAnsi="Times New Roman" w:cs="Times New Roman"/>
          <w:sz w:val="24"/>
          <w:szCs w:val="24"/>
        </w:rPr>
      </w:pPr>
      <w:r w:rsidRPr="001557BB">
        <w:rPr>
          <w:rFonts w:ascii="Times New Roman" w:hAnsi="Times New Roman" w:cs="Times New Roman"/>
          <w:sz w:val="24"/>
          <w:szCs w:val="24"/>
        </w:rPr>
        <w:t xml:space="preserve">Par ailleurs, </w:t>
      </w:r>
      <w:r w:rsidR="004757EA">
        <w:rPr>
          <w:rFonts w:ascii="Times New Roman" w:eastAsia="MS Mincho" w:hAnsi="Times New Roman" w:cs="Times New Roman"/>
          <w:sz w:val="24"/>
          <w:szCs w:val="24"/>
          <w:lang w:eastAsia="fr-FR"/>
        </w:rPr>
        <w:t>l</w:t>
      </w:r>
      <w:r w:rsidRPr="001557BB">
        <w:rPr>
          <w:rFonts w:ascii="Times New Roman" w:eastAsia="MS Mincho" w:hAnsi="Times New Roman" w:cs="Times New Roman"/>
          <w:sz w:val="24"/>
          <w:szCs w:val="24"/>
          <w:lang w:eastAsia="fr-FR"/>
        </w:rPr>
        <w:t>’Université de Lomé</w:t>
      </w:r>
      <w:r w:rsidR="004757EA">
        <w:rPr>
          <w:rFonts w:ascii="Times New Roman" w:eastAsia="MS Mincho" w:hAnsi="Times New Roman" w:cs="Times New Roman"/>
          <w:sz w:val="24"/>
          <w:szCs w:val="24"/>
          <w:lang w:eastAsia="fr-FR"/>
        </w:rPr>
        <w:t>,</w:t>
      </w:r>
      <w:r w:rsidRPr="001557BB">
        <w:rPr>
          <w:rFonts w:ascii="Times New Roman" w:eastAsia="MS Mincho" w:hAnsi="Times New Roman" w:cs="Times New Roman"/>
          <w:sz w:val="24"/>
          <w:szCs w:val="24"/>
          <w:lang w:eastAsia="fr-FR"/>
        </w:rPr>
        <w:t xml:space="preserve"> en partenariat avec l’INFA de Tové, av</w:t>
      </w:r>
      <w:r w:rsidR="004757EA">
        <w:rPr>
          <w:rFonts w:ascii="Times New Roman" w:eastAsia="MS Mincho" w:hAnsi="Times New Roman" w:cs="Times New Roman"/>
          <w:sz w:val="24"/>
          <w:szCs w:val="24"/>
          <w:lang w:eastAsia="fr-FR"/>
        </w:rPr>
        <w:t>ai</w:t>
      </w:r>
      <w:r w:rsidRPr="001557BB">
        <w:rPr>
          <w:rFonts w:ascii="Times New Roman" w:eastAsia="MS Mincho" w:hAnsi="Times New Roman" w:cs="Times New Roman"/>
          <w:sz w:val="24"/>
          <w:szCs w:val="24"/>
          <w:lang w:eastAsia="fr-FR"/>
        </w:rPr>
        <w:t xml:space="preserve">t engagé dans le cadre de Sud Expert Plante phase 1, des travaux d’aménagement du Jardin Botanique de l’INFA avec l’enrichissement d’une parcelle à base d’essences forestières menacées de disparition. L’une des activités menées était de collectionner des plantes vivantes de la flore forestière menacée de disparition, de les sauvegarder dans l’arboretum du jardin botanique de Tové et de mettre en place un dispositif de gestion des collections réalisées afin de pouvoir les conserver </w:t>
      </w:r>
      <w:r w:rsidRPr="00202D29">
        <w:rPr>
          <w:rFonts w:ascii="Times New Roman" w:eastAsia="MS Mincho" w:hAnsi="Times New Roman" w:cs="Times New Roman"/>
          <w:i/>
          <w:sz w:val="24"/>
          <w:szCs w:val="24"/>
          <w:lang w:eastAsia="fr-FR"/>
        </w:rPr>
        <w:t>in situ</w:t>
      </w:r>
      <w:r w:rsidRPr="001557BB">
        <w:rPr>
          <w:rFonts w:ascii="Times New Roman" w:eastAsia="MS Mincho" w:hAnsi="Times New Roman" w:cs="Times New Roman"/>
          <w:sz w:val="24"/>
          <w:szCs w:val="24"/>
          <w:lang w:eastAsia="fr-FR"/>
        </w:rPr>
        <w:t xml:space="preserve"> et </w:t>
      </w:r>
      <w:r w:rsidRPr="00202D29">
        <w:rPr>
          <w:rFonts w:ascii="Times New Roman" w:eastAsia="MS Mincho" w:hAnsi="Times New Roman" w:cs="Times New Roman"/>
          <w:i/>
          <w:sz w:val="24"/>
          <w:szCs w:val="24"/>
          <w:lang w:eastAsia="fr-FR"/>
        </w:rPr>
        <w:t>ex situ</w:t>
      </w:r>
      <w:r w:rsidRPr="001557BB">
        <w:rPr>
          <w:rFonts w:ascii="Times New Roman" w:eastAsia="MS Mincho" w:hAnsi="Times New Roman" w:cs="Times New Roman"/>
          <w:sz w:val="24"/>
          <w:szCs w:val="24"/>
          <w:lang w:eastAsia="fr-FR"/>
        </w:rPr>
        <w:t>. Les collections proviennent essentiellement des écosystèmes de forêts humides du Togo sous une forte emprise de pressions anthropiques. D’autres actions réalisées et en lien avec la sauvegarde de la diversité biologique concerne l’é</w:t>
      </w:r>
      <w:r w:rsidRPr="001557BB">
        <w:rPr>
          <w:rFonts w:ascii="Times New Roman" w:hAnsi="Times New Roman" w:cs="Times New Roman"/>
          <w:sz w:val="24"/>
          <w:szCs w:val="24"/>
        </w:rPr>
        <w:t>levage de plus de 200 crocodiles dans une marre dont les berges sont reboisée</w:t>
      </w:r>
      <w:r w:rsidR="004757EA">
        <w:rPr>
          <w:rFonts w:ascii="Times New Roman" w:hAnsi="Times New Roman" w:cs="Times New Roman"/>
          <w:sz w:val="24"/>
          <w:szCs w:val="24"/>
        </w:rPr>
        <w:t>s</w:t>
      </w:r>
      <w:r w:rsidRPr="001557BB">
        <w:rPr>
          <w:rFonts w:ascii="Times New Roman" w:hAnsi="Times New Roman" w:cs="Times New Roman"/>
          <w:sz w:val="24"/>
          <w:szCs w:val="24"/>
        </w:rPr>
        <w:t xml:space="preserve"> en mangrove, l’élevage de tortue marine, terrestres et lacustres, l’élevage de poissons en cage et dans une dizaine de bassins piscicoles, production de volailles de race locales et élevage d’animaux sauvages à l’état naturel.</w:t>
      </w:r>
    </w:p>
    <w:p w14:paraId="40BD26AF" w14:textId="77777777" w:rsidR="00D31C6C" w:rsidRPr="001557BB" w:rsidRDefault="00D31C6C" w:rsidP="001557BB">
      <w:pPr>
        <w:pStyle w:val="Commentaire"/>
        <w:spacing w:after="0"/>
        <w:jc w:val="both"/>
        <w:rPr>
          <w:rFonts w:ascii="Times New Roman" w:hAnsi="Times New Roman" w:cs="Times New Roman"/>
          <w:i/>
          <w:iCs/>
          <w:sz w:val="24"/>
          <w:szCs w:val="24"/>
          <w:lang w:val="fr-CA"/>
        </w:rPr>
      </w:pPr>
    </w:p>
    <w:p w14:paraId="3381DE0B"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iCs/>
          <w:kern w:val="22"/>
          <w:sz w:val="24"/>
          <w:szCs w:val="24"/>
          <w:lang w:val="fr-CA"/>
        </w:rPr>
      </w:pPr>
      <w:r w:rsidRPr="001557BB">
        <w:rPr>
          <w:rFonts w:ascii="Times New Roman" w:hAnsi="Times New Roman" w:cs="Times New Roman"/>
          <w:b/>
          <w:iCs/>
          <w:kern w:val="22"/>
          <w:sz w:val="24"/>
          <w:szCs w:val="24"/>
          <w:lang w:val="fr-CA"/>
        </w:rPr>
        <w:t xml:space="preserve">Objectif 14 </w:t>
      </w:r>
      <w:r w:rsidRPr="001557BB">
        <w:rPr>
          <w:rFonts w:ascii="Times New Roman" w:hAnsi="Times New Roman" w:cs="Times New Roman"/>
          <w:b/>
          <w:kern w:val="22"/>
          <w:sz w:val="24"/>
          <w:szCs w:val="24"/>
          <w:lang w:val="fr-CA"/>
        </w:rPr>
        <w:t xml:space="preserve">d’Aichi pour la biodiversité </w:t>
      </w:r>
      <w:r w:rsidRPr="001557BB">
        <w:rPr>
          <w:rFonts w:ascii="Times New Roman" w:hAnsi="Times New Roman" w:cs="Times New Roman"/>
          <w:b/>
          <w:iCs/>
          <w:kern w:val="22"/>
          <w:sz w:val="24"/>
          <w:szCs w:val="24"/>
          <w:lang w:val="fr-CA"/>
        </w:rPr>
        <w:t xml:space="preserve">: </w:t>
      </w:r>
      <w:r w:rsidR="00202D29">
        <w:rPr>
          <w:rFonts w:ascii="Times New Roman" w:hAnsi="Times New Roman" w:cs="Times New Roman"/>
          <w:b/>
          <w:iCs/>
          <w:kern w:val="22"/>
          <w:sz w:val="24"/>
          <w:szCs w:val="24"/>
          <w:lang w:val="fr-CA"/>
        </w:rPr>
        <w:t>l</w:t>
      </w:r>
      <w:r w:rsidRPr="001557BB">
        <w:rPr>
          <w:rFonts w:ascii="Times New Roman" w:hAnsi="Times New Roman" w:cs="Times New Roman"/>
          <w:b/>
          <w:iCs/>
          <w:kern w:val="22"/>
          <w:sz w:val="24"/>
          <w:szCs w:val="24"/>
          <w:lang w:val="fr-CA"/>
        </w:rPr>
        <w:t>es services écosystémiques</w:t>
      </w:r>
    </w:p>
    <w:p w14:paraId="18301701"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kern w:val="22"/>
          <w:sz w:val="24"/>
          <w:szCs w:val="24"/>
          <w:lang w:val="fr-CA"/>
        </w:rPr>
      </w:pPr>
    </w:p>
    <w:p w14:paraId="07EF2E06" w14:textId="3C805CEC" w:rsidR="00A05444"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L’importance des services écosystémiques pour le Togo peut être appréciée par la contribution des différents écosystèmes à l’amélioration des conditions de vie et de pauvreté des populations, par leur quote-part dans l’essor économique du pays mais aussi par la représentation que se font ces populations de ses ressources naturelles. Ils fournissent de nombreux produits alimentaires, de la matière première pour l’industrie, des médicaments, des matériaux de construction, etc. ils sont à la base de la production agricole et suscitent une activité économique liée à l’écotourisme. Les écosystèmes disposent d’une valeur socioculturelle très importante aux yeux des populations. Ils fournissent également à l’humanité une variété et une beauté de paysages, appréciées de tous, par les multiples arrangements d’espèces qu’ils permettent en fonction des climats et des sols ou la présence d’espèces patrimoniales ou emblématique</w:t>
      </w:r>
      <w:r w:rsidR="004757EA">
        <w:rPr>
          <w:rFonts w:ascii="Times New Roman" w:hAnsi="Times New Roman" w:cs="Times New Roman"/>
          <w:sz w:val="24"/>
          <w:szCs w:val="24"/>
        </w:rPr>
        <w:t>s, le plus souvent des mammifères, des o</w:t>
      </w:r>
      <w:r w:rsidRPr="001557BB">
        <w:rPr>
          <w:rFonts w:ascii="Times New Roman" w:hAnsi="Times New Roman" w:cs="Times New Roman"/>
          <w:sz w:val="24"/>
          <w:szCs w:val="24"/>
        </w:rPr>
        <w:t>iseaux</w:t>
      </w:r>
      <w:r w:rsidR="00A05444">
        <w:rPr>
          <w:rFonts w:ascii="Times New Roman" w:hAnsi="Times New Roman" w:cs="Times New Roman"/>
          <w:sz w:val="24"/>
          <w:szCs w:val="24"/>
        </w:rPr>
        <w:t>, insectes ou de grands arbres.</w:t>
      </w:r>
    </w:p>
    <w:p w14:paraId="7DC5598B" w14:textId="77777777" w:rsidR="00A05444" w:rsidRDefault="00A05444" w:rsidP="001557BB">
      <w:pPr>
        <w:spacing w:after="0" w:line="240" w:lineRule="auto"/>
        <w:jc w:val="both"/>
        <w:rPr>
          <w:rFonts w:ascii="Times New Roman" w:hAnsi="Times New Roman" w:cs="Times New Roman"/>
          <w:sz w:val="24"/>
          <w:szCs w:val="24"/>
        </w:rPr>
      </w:pPr>
    </w:p>
    <w:p w14:paraId="170920A3" w14:textId="6F238FEC" w:rsidR="00D31C6C"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Malheureusement</w:t>
      </w:r>
      <w:r w:rsidR="001A457E">
        <w:rPr>
          <w:rFonts w:ascii="Times New Roman" w:hAnsi="Times New Roman" w:cs="Times New Roman"/>
          <w:sz w:val="24"/>
          <w:szCs w:val="24"/>
        </w:rPr>
        <w:t xml:space="preserve">, </w:t>
      </w:r>
      <w:r w:rsidRPr="001557BB">
        <w:rPr>
          <w:rFonts w:ascii="Times New Roman" w:hAnsi="Times New Roman" w:cs="Times New Roman"/>
          <w:sz w:val="24"/>
          <w:szCs w:val="24"/>
        </w:rPr>
        <w:t xml:space="preserve">ces écosystèmes subissent plusieurs pressions qui entrainent </w:t>
      </w:r>
      <w:r w:rsidR="00A05444">
        <w:rPr>
          <w:rFonts w:ascii="Times New Roman" w:hAnsi="Times New Roman" w:cs="Times New Roman"/>
          <w:bCs/>
          <w:sz w:val="24"/>
          <w:szCs w:val="24"/>
        </w:rPr>
        <w:t>leur</w:t>
      </w:r>
      <w:r w:rsidRPr="001557BB">
        <w:rPr>
          <w:rFonts w:ascii="Times New Roman" w:hAnsi="Times New Roman" w:cs="Times New Roman"/>
          <w:bCs/>
          <w:sz w:val="24"/>
          <w:szCs w:val="24"/>
        </w:rPr>
        <w:t xml:space="preserve"> dysfonctionnement</w:t>
      </w:r>
      <w:r w:rsidRPr="001557BB">
        <w:rPr>
          <w:rFonts w:ascii="Times New Roman" w:hAnsi="Times New Roman" w:cs="Times New Roman"/>
          <w:sz w:val="24"/>
          <w:szCs w:val="24"/>
        </w:rPr>
        <w:t xml:space="preserve"> et la destruction des habitats et de la diversité biologique et par conséquent les empêchent de jouer pleinement leurs rôles</w:t>
      </w:r>
      <w:r w:rsidRPr="001557BB">
        <w:rPr>
          <w:rFonts w:ascii="Times New Roman" w:hAnsi="Times New Roman" w:cs="Times New Roman"/>
          <w:bCs/>
          <w:sz w:val="24"/>
          <w:szCs w:val="24"/>
        </w:rPr>
        <w:t xml:space="preserve">. </w:t>
      </w:r>
      <w:r w:rsidRPr="001557BB">
        <w:rPr>
          <w:rFonts w:ascii="Times New Roman" w:hAnsi="Times New Roman" w:cs="Times New Roman"/>
          <w:sz w:val="24"/>
          <w:szCs w:val="24"/>
        </w:rPr>
        <w:t xml:space="preserve">Les défis majeurs sont ceux liés à </w:t>
      </w:r>
      <w:r w:rsidRPr="001557BB">
        <w:rPr>
          <w:rFonts w:ascii="Times New Roman" w:hAnsi="Times New Roman" w:cs="Times New Roman"/>
          <w:b/>
          <w:sz w:val="24"/>
          <w:szCs w:val="24"/>
        </w:rPr>
        <w:t>(1)</w:t>
      </w:r>
      <w:r w:rsidRPr="001557BB">
        <w:rPr>
          <w:rFonts w:ascii="Times New Roman" w:hAnsi="Times New Roman" w:cs="Times New Roman"/>
          <w:sz w:val="24"/>
          <w:szCs w:val="24"/>
        </w:rPr>
        <w:t xml:space="preserve"> la dégradation des écosystèmes suite aux diverses pressions anthropiques (agriculture itinérante sur brûlis, exploitation forestière, élevage et transhumance, feux de végétation, envahissement et colonisation des aires protégées, pollution chimique par les déchets ménagers, industriels et agricoles, pollution organique, braconnage de la faune terrestre, commerce des animaux sauvages, surexploitation des ressources halieutiques, etc.)</w:t>
      </w:r>
      <w:r w:rsidR="004757EA">
        <w:rPr>
          <w:rFonts w:ascii="Times New Roman" w:hAnsi="Times New Roman" w:cs="Times New Roman"/>
          <w:sz w:val="24"/>
          <w:szCs w:val="24"/>
        </w:rPr>
        <w:t>,</w:t>
      </w:r>
      <w:r w:rsidRPr="001557BB">
        <w:rPr>
          <w:rFonts w:ascii="Times New Roman" w:hAnsi="Times New Roman" w:cs="Times New Roman"/>
          <w:sz w:val="24"/>
          <w:szCs w:val="24"/>
        </w:rPr>
        <w:t xml:space="preserve"> à </w:t>
      </w:r>
      <w:r w:rsidRPr="001557BB">
        <w:rPr>
          <w:rFonts w:ascii="Times New Roman" w:hAnsi="Times New Roman" w:cs="Times New Roman"/>
          <w:b/>
          <w:bCs/>
          <w:sz w:val="24"/>
          <w:szCs w:val="24"/>
        </w:rPr>
        <w:t>(2)</w:t>
      </w:r>
      <w:bookmarkStart w:id="67" w:name="_Toc370210548"/>
      <w:r w:rsidRPr="001557BB">
        <w:rPr>
          <w:rFonts w:ascii="Times New Roman" w:hAnsi="Times New Roman" w:cs="Times New Roman"/>
          <w:bCs/>
          <w:sz w:val="24"/>
          <w:szCs w:val="24"/>
        </w:rPr>
        <w:t xml:space="preserve"> la prolifération des espèces exotiques envahissantes</w:t>
      </w:r>
      <w:bookmarkEnd w:id="67"/>
      <w:r w:rsidRPr="001557BB">
        <w:rPr>
          <w:rFonts w:ascii="Times New Roman" w:hAnsi="Times New Roman" w:cs="Times New Roman"/>
          <w:bCs/>
          <w:sz w:val="24"/>
          <w:szCs w:val="24"/>
        </w:rPr>
        <w:t xml:space="preserve"> à</w:t>
      </w:r>
      <w:r w:rsidR="004757EA">
        <w:rPr>
          <w:rFonts w:ascii="Times New Roman" w:hAnsi="Times New Roman" w:cs="Times New Roman"/>
          <w:bCs/>
          <w:sz w:val="24"/>
          <w:szCs w:val="24"/>
        </w:rPr>
        <w:t>,</w:t>
      </w:r>
      <w:r w:rsidRPr="001557BB">
        <w:rPr>
          <w:rFonts w:ascii="Times New Roman" w:hAnsi="Times New Roman" w:cs="Times New Roman"/>
          <w:bCs/>
          <w:sz w:val="24"/>
          <w:szCs w:val="24"/>
        </w:rPr>
        <w:t xml:space="preserve"> </w:t>
      </w:r>
      <w:r w:rsidRPr="001557BB">
        <w:rPr>
          <w:rFonts w:ascii="Times New Roman" w:hAnsi="Times New Roman" w:cs="Times New Roman"/>
          <w:b/>
          <w:bCs/>
          <w:sz w:val="24"/>
          <w:szCs w:val="24"/>
        </w:rPr>
        <w:t>(3)</w:t>
      </w:r>
      <w:bookmarkStart w:id="68" w:name="_Toc370210549"/>
      <w:r w:rsidR="001A457E">
        <w:rPr>
          <w:rFonts w:ascii="Times New Roman" w:hAnsi="Times New Roman" w:cs="Times New Roman"/>
          <w:b/>
          <w:bCs/>
          <w:sz w:val="24"/>
          <w:szCs w:val="24"/>
        </w:rPr>
        <w:t xml:space="preserve"> </w:t>
      </w:r>
      <w:r w:rsidRPr="001557BB">
        <w:rPr>
          <w:rFonts w:ascii="Times New Roman" w:hAnsi="Times New Roman" w:cs="Times New Roman"/>
          <w:sz w:val="24"/>
          <w:szCs w:val="24"/>
        </w:rPr>
        <w:t>l’exploitation abusive des ressources végétales</w:t>
      </w:r>
      <w:bookmarkEnd w:id="68"/>
      <w:r w:rsidRPr="001557BB">
        <w:rPr>
          <w:rFonts w:ascii="Times New Roman" w:hAnsi="Times New Roman" w:cs="Times New Roman"/>
          <w:sz w:val="24"/>
          <w:szCs w:val="24"/>
        </w:rPr>
        <w:t xml:space="preserve"> aux</w:t>
      </w:r>
      <w:r w:rsidR="001A457E">
        <w:rPr>
          <w:rFonts w:ascii="Times New Roman" w:hAnsi="Times New Roman" w:cs="Times New Roman"/>
          <w:sz w:val="24"/>
          <w:szCs w:val="24"/>
        </w:rPr>
        <w:t xml:space="preserve"> </w:t>
      </w:r>
      <w:r w:rsidRPr="001557BB">
        <w:rPr>
          <w:rFonts w:ascii="Times New Roman" w:hAnsi="Times New Roman" w:cs="Times New Roman"/>
          <w:b/>
          <w:bCs/>
          <w:sz w:val="24"/>
          <w:szCs w:val="24"/>
        </w:rPr>
        <w:t>(4)</w:t>
      </w:r>
      <w:r w:rsidRPr="001557BB">
        <w:rPr>
          <w:rFonts w:ascii="Times New Roman" w:hAnsi="Times New Roman" w:cs="Times New Roman"/>
          <w:bCs/>
          <w:sz w:val="24"/>
          <w:szCs w:val="24"/>
        </w:rPr>
        <w:t xml:space="preserve"> faiblesses de la gouvernance environnementale et à </w:t>
      </w:r>
      <w:r w:rsidRPr="001557BB">
        <w:rPr>
          <w:rFonts w:ascii="Times New Roman" w:hAnsi="Times New Roman" w:cs="Times New Roman"/>
          <w:b/>
          <w:bCs/>
          <w:sz w:val="24"/>
          <w:szCs w:val="24"/>
        </w:rPr>
        <w:t>(5)</w:t>
      </w:r>
      <w:bookmarkStart w:id="69" w:name="_Toc370210551"/>
      <w:r w:rsidRPr="001557BB">
        <w:rPr>
          <w:rFonts w:ascii="Times New Roman" w:hAnsi="Times New Roman" w:cs="Times New Roman"/>
          <w:sz w:val="24"/>
          <w:szCs w:val="24"/>
        </w:rPr>
        <w:t xml:space="preserve"> l’érosion de la faune</w:t>
      </w:r>
      <w:bookmarkEnd w:id="69"/>
      <w:r w:rsidRPr="001557BB">
        <w:rPr>
          <w:rFonts w:ascii="Times New Roman" w:hAnsi="Times New Roman" w:cs="Times New Roman"/>
          <w:sz w:val="24"/>
          <w:szCs w:val="24"/>
        </w:rPr>
        <w:t>. Les pressions se font plus sentir sur les flancs de montagnes, les berges des cours d’eau, les zones humides, la zone côtière (mangroves). Il faut préciser aussi les différentes pressions qui pèsent sur les aires protégées qui constituent les zones de conservation de la biodiversité. En effet, les limites des aires protégées sont remises en causes par les populations riveraines au début des années 90 suite aux troubles socio-politiques que le pays a t</w:t>
      </w:r>
      <w:r w:rsidR="004757EA">
        <w:rPr>
          <w:rFonts w:ascii="Times New Roman" w:hAnsi="Times New Roman" w:cs="Times New Roman"/>
          <w:sz w:val="24"/>
          <w:szCs w:val="24"/>
        </w:rPr>
        <w:t>raversés et s’est accentuée au fil</w:t>
      </w:r>
      <w:r w:rsidRPr="001557BB">
        <w:rPr>
          <w:rFonts w:ascii="Times New Roman" w:hAnsi="Times New Roman" w:cs="Times New Roman"/>
          <w:sz w:val="24"/>
          <w:szCs w:val="24"/>
        </w:rPr>
        <w:t xml:space="preserve"> des années. Cette action a été ensuite marquée par l’occupation de certaines aires protégées et l’abattage massif de la faune. Aussi, le braconnage a-t-il provoqué la disparition ou la raréfaction de nombreuses espèces au Togo.</w:t>
      </w:r>
    </w:p>
    <w:p w14:paraId="5435B97F" w14:textId="77777777" w:rsidR="00C47F5F" w:rsidRPr="001557BB" w:rsidRDefault="00C47F5F" w:rsidP="001557BB">
      <w:pPr>
        <w:spacing w:after="0" w:line="240" w:lineRule="auto"/>
        <w:jc w:val="both"/>
        <w:rPr>
          <w:rFonts w:ascii="Times New Roman" w:hAnsi="Times New Roman" w:cs="Times New Roman"/>
          <w:sz w:val="24"/>
          <w:szCs w:val="24"/>
        </w:rPr>
      </w:pPr>
    </w:p>
    <w:p w14:paraId="2C1A2464" w14:textId="12CE7AEA" w:rsidR="00A05444"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Pour palier ces défis, plusieurs actions ont été menées en vue de la gestion de ces différents écosystèmes. Ces actions sont liées à la restauration des paysages fo</w:t>
      </w:r>
      <w:r w:rsidR="004757EA">
        <w:rPr>
          <w:rFonts w:ascii="Times New Roman" w:hAnsi="Times New Roman" w:cs="Times New Roman"/>
          <w:sz w:val="24"/>
          <w:szCs w:val="24"/>
        </w:rPr>
        <w:t xml:space="preserve">restiers à travers des projets et </w:t>
      </w:r>
      <w:r w:rsidRPr="001557BB">
        <w:rPr>
          <w:rFonts w:ascii="Times New Roman" w:hAnsi="Times New Roman" w:cs="Times New Roman"/>
          <w:sz w:val="24"/>
          <w:szCs w:val="24"/>
        </w:rPr>
        <w:t>programmes. Ainsi</w:t>
      </w:r>
      <w:r w:rsidR="001A457E">
        <w:rPr>
          <w:rFonts w:ascii="Times New Roman" w:hAnsi="Times New Roman" w:cs="Times New Roman"/>
          <w:sz w:val="24"/>
          <w:szCs w:val="24"/>
        </w:rPr>
        <w:t>,</w:t>
      </w:r>
      <w:r w:rsidRPr="001557BB">
        <w:rPr>
          <w:rFonts w:ascii="Times New Roman" w:hAnsi="Times New Roman" w:cs="Times New Roman"/>
          <w:sz w:val="24"/>
          <w:szCs w:val="24"/>
        </w:rPr>
        <w:t xml:space="preserve"> plusieurs modèles de restauration ont été déjà testés au Togo. La consultation des parties prenantes et l’analyse documentaire signalent l’implication des populations locales particulièrement les femmes dans la mise en œuvre de ces projets. Sur le plan socioéconomique</w:t>
      </w:r>
      <w:r w:rsidR="001A457E">
        <w:rPr>
          <w:rFonts w:ascii="Times New Roman" w:hAnsi="Times New Roman" w:cs="Times New Roman"/>
          <w:sz w:val="24"/>
          <w:szCs w:val="24"/>
        </w:rPr>
        <w:t>,</w:t>
      </w:r>
      <w:r w:rsidRPr="001557BB">
        <w:rPr>
          <w:rFonts w:ascii="Times New Roman" w:hAnsi="Times New Roman" w:cs="Times New Roman"/>
          <w:sz w:val="24"/>
          <w:szCs w:val="24"/>
        </w:rPr>
        <w:t xml:space="preserve"> la mise en œuvre de ces actions constitue d’abord une source importante de revenus à travers les gains que vont tirer les populations sous forme de salaires. </w:t>
      </w:r>
    </w:p>
    <w:p w14:paraId="01F2CF59" w14:textId="77777777" w:rsidR="00A05444" w:rsidRDefault="00A05444" w:rsidP="001557BB">
      <w:pPr>
        <w:spacing w:after="0" w:line="240" w:lineRule="auto"/>
        <w:jc w:val="both"/>
        <w:rPr>
          <w:rFonts w:ascii="Times New Roman" w:hAnsi="Times New Roman" w:cs="Times New Roman"/>
          <w:sz w:val="24"/>
          <w:szCs w:val="24"/>
        </w:rPr>
      </w:pPr>
    </w:p>
    <w:p w14:paraId="5B093397" w14:textId="058AD6BA" w:rsidR="00A05444"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Ensuite</w:t>
      </w:r>
      <w:r w:rsidR="00766554">
        <w:rPr>
          <w:rFonts w:ascii="Times New Roman" w:hAnsi="Times New Roman" w:cs="Times New Roman"/>
          <w:sz w:val="24"/>
          <w:szCs w:val="24"/>
        </w:rPr>
        <w:t>,</w:t>
      </w:r>
      <w:r w:rsidRPr="001557BB">
        <w:rPr>
          <w:rFonts w:ascii="Times New Roman" w:hAnsi="Times New Roman" w:cs="Times New Roman"/>
          <w:sz w:val="24"/>
          <w:szCs w:val="24"/>
        </w:rPr>
        <w:t xml:space="preserve"> la reconstitution du potentiel de production ligneuse permettra, à plus ou moi</w:t>
      </w:r>
      <w:r w:rsidR="00766554">
        <w:rPr>
          <w:rFonts w:ascii="Times New Roman" w:hAnsi="Times New Roman" w:cs="Times New Roman"/>
          <w:sz w:val="24"/>
          <w:szCs w:val="24"/>
        </w:rPr>
        <w:t xml:space="preserve">ns long terme, d’améliorer les </w:t>
      </w:r>
      <w:r w:rsidRPr="001557BB">
        <w:rPr>
          <w:rFonts w:ascii="Times New Roman" w:hAnsi="Times New Roman" w:cs="Times New Roman"/>
          <w:sz w:val="24"/>
          <w:szCs w:val="24"/>
        </w:rPr>
        <w:t xml:space="preserve">entrées d’argent par la reprise de l’exploitation du bois à maturité. Par exemple, dans le cadre des activités de restauration coordonnées par l’ODEF, il est prévu, un partage du bénéfice entre la population et l’ODEF représentant l’Etat aux taux respectifs de 1/3 et 2/3. La participation des populations aux travaux sous forme de cultures agroforestières (reliques forestières) et de Taungya (reliques forestières et Savanes incultes) permettra de minimiser les coûts d’entretien et donc de réalisation des plantations. Par ailleurs, la gestion de ces écosystèmes a par ailleurs impliqué la création des activités génératrices à l’endroit des populations locales. Parmi ces activités, se trouve l’apiculture, la pisciculture, </w:t>
      </w:r>
      <w:r w:rsidR="00766554">
        <w:rPr>
          <w:rFonts w:ascii="Times New Roman" w:hAnsi="Times New Roman" w:cs="Times New Roman"/>
          <w:sz w:val="24"/>
          <w:szCs w:val="24"/>
        </w:rPr>
        <w:t xml:space="preserve">la </w:t>
      </w:r>
      <w:r w:rsidRPr="001557BB">
        <w:rPr>
          <w:rFonts w:ascii="Times New Roman" w:hAnsi="Times New Roman" w:cs="Times New Roman"/>
          <w:sz w:val="24"/>
          <w:szCs w:val="24"/>
        </w:rPr>
        <w:t xml:space="preserve">riziculture, </w:t>
      </w:r>
      <w:r w:rsidR="00766554">
        <w:rPr>
          <w:rFonts w:ascii="Times New Roman" w:hAnsi="Times New Roman" w:cs="Times New Roman"/>
          <w:sz w:val="24"/>
          <w:szCs w:val="24"/>
        </w:rPr>
        <w:t>l’</w:t>
      </w:r>
      <w:r w:rsidRPr="001557BB">
        <w:rPr>
          <w:rFonts w:ascii="Times New Roman" w:hAnsi="Times New Roman" w:cs="Times New Roman"/>
          <w:sz w:val="24"/>
          <w:szCs w:val="24"/>
        </w:rPr>
        <w:t>élevage, le maraichage (mise en place d’un systèm</w:t>
      </w:r>
      <w:r w:rsidR="00766554">
        <w:rPr>
          <w:rFonts w:ascii="Times New Roman" w:hAnsi="Times New Roman" w:cs="Times New Roman"/>
          <w:sz w:val="24"/>
          <w:szCs w:val="24"/>
        </w:rPr>
        <w:t>e d’irrigation), l’écotourisme, etc.</w:t>
      </w:r>
    </w:p>
    <w:p w14:paraId="0B0D12C9" w14:textId="77777777" w:rsidR="00A05444" w:rsidRDefault="00A05444" w:rsidP="001557BB">
      <w:pPr>
        <w:spacing w:after="0" w:line="240" w:lineRule="auto"/>
        <w:jc w:val="both"/>
        <w:rPr>
          <w:rFonts w:ascii="Times New Roman" w:hAnsi="Times New Roman" w:cs="Times New Roman"/>
          <w:sz w:val="24"/>
          <w:szCs w:val="24"/>
        </w:rPr>
      </w:pPr>
    </w:p>
    <w:p w14:paraId="0F9654DB" w14:textId="6CCAE619" w:rsidR="00D31C6C" w:rsidRPr="001557BB" w:rsidRDefault="00D31C6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Toutes ces activités ont été citées par les populations locales et différentes structures consultées. </w:t>
      </w:r>
      <w:r w:rsidR="00766554">
        <w:rPr>
          <w:rFonts w:ascii="Times New Roman" w:hAnsi="Times New Roman" w:cs="Times New Roman"/>
          <w:sz w:val="24"/>
          <w:szCs w:val="24"/>
        </w:rPr>
        <w:t>Elles</w:t>
      </w:r>
      <w:r w:rsidRPr="001557BB">
        <w:rPr>
          <w:rFonts w:ascii="Times New Roman" w:hAnsi="Times New Roman" w:cs="Times New Roman"/>
          <w:sz w:val="24"/>
          <w:szCs w:val="24"/>
        </w:rPr>
        <w:t xml:space="preserve"> serviront à la mobilisation sociale au profit d’un développement local durable en favorisant la lutte contre la pauvreté à travers la protection de l’environnement. Elles permettront ainsi de renverser la tendance actuelle qui enferme la population dans une exploitation anarchique et illicite des ressources de la forêt et favorisera la promotion d’un système économique écologiquement viable qui garantisse des conditions et un cadre de vie acceptables pour les générations présentes et futures au niveau local. </w:t>
      </w:r>
    </w:p>
    <w:p w14:paraId="15421301"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b/>
          <w:kern w:val="22"/>
          <w:sz w:val="24"/>
          <w:szCs w:val="24"/>
          <w:lang w:val="fr-CA"/>
        </w:rPr>
      </w:pPr>
    </w:p>
    <w:p w14:paraId="0566C9C4" w14:textId="77777777" w:rsidR="0038037D" w:rsidRDefault="0038037D">
      <w:pPr>
        <w:rPr>
          <w:rFonts w:ascii="Times New Roman" w:hAnsi="Times New Roman" w:cs="Times New Roman"/>
          <w:b/>
          <w:kern w:val="22"/>
          <w:sz w:val="24"/>
          <w:szCs w:val="24"/>
          <w:lang w:val="fr-CA"/>
        </w:rPr>
      </w:pPr>
      <w:r>
        <w:rPr>
          <w:rFonts w:ascii="Times New Roman" w:hAnsi="Times New Roman" w:cs="Times New Roman"/>
          <w:b/>
          <w:kern w:val="22"/>
          <w:sz w:val="24"/>
          <w:szCs w:val="24"/>
          <w:lang w:val="fr-CA"/>
        </w:rPr>
        <w:br w:type="page"/>
      </w:r>
    </w:p>
    <w:p w14:paraId="22DFBEBE" w14:textId="2F85854B" w:rsidR="00D31C6C" w:rsidRPr="001557BB" w:rsidRDefault="00D31C6C" w:rsidP="001557BB">
      <w:pPr>
        <w:autoSpaceDE w:val="0"/>
        <w:autoSpaceDN w:val="0"/>
        <w:adjustRightInd w:val="0"/>
        <w:spacing w:after="0" w:line="240" w:lineRule="auto"/>
        <w:jc w:val="both"/>
        <w:rPr>
          <w:rFonts w:ascii="Times New Roman" w:hAnsi="Times New Roman" w:cs="Times New Roman"/>
          <w:b/>
          <w:kern w:val="22"/>
          <w:sz w:val="24"/>
          <w:szCs w:val="24"/>
          <w:lang w:val="fr-CA"/>
        </w:rPr>
      </w:pPr>
      <w:r w:rsidRPr="001557BB">
        <w:rPr>
          <w:rFonts w:ascii="Times New Roman" w:hAnsi="Times New Roman" w:cs="Times New Roman"/>
          <w:b/>
          <w:kern w:val="22"/>
          <w:sz w:val="24"/>
          <w:szCs w:val="24"/>
          <w:lang w:val="fr-CA"/>
        </w:rPr>
        <w:t xml:space="preserve">Objectif 15 </w:t>
      </w:r>
      <w:r w:rsidR="00766554">
        <w:rPr>
          <w:rFonts w:ascii="Times New Roman" w:hAnsi="Times New Roman" w:cs="Times New Roman"/>
          <w:b/>
          <w:kern w:val="22"/>
          <w:sz w:val="24"/>
          <w:szCs w:val="24"/>
          <w:lang w:val="fr-CA"/>
        </w:rPr>
        <w:t>d’Aichi pour la biodiversité : r</w:t>
      </w:r>
      <w:r w:rsidRPr="001557BB">
        <w:rPr>
          <w:rFonts w:ascii="Times New Roman" w:hAnsi="Times New Roman" w:cs="Times New Roman"/>
          <w:b/>
          <w:kern w:val="22"/>
          <w:sz w:val="24"/>
          <w:szCs w:val="24"/>
          <w:lang w:val="fr-CA"/>
        </w:rPr>
        <w:t>estauration et résilience des écosystèmes</w:t>
      </w:r>
    </w:p>
    <w:p w14:paraId="7CA54D65" w14:textId="77777777" w:rsidR="00D31C6C" w:rsidRPr="001557BB" w:rsidRDefault="00D31C6C" w:rsidP="001557BB">
      <w:pPr>
        <w:spacing w:after="0" w:line="240" w:lineRule="auto"/>
        <w:jc w:val="both"/>
        <w:rPr>
          <w:rFonts w:ascii="Times New Roman" w:hAnsi="Times New Roman" w:cs="Times New Roman"/>
          <w:i/>
          <w:iCs/>
          <w:sz w:val="24"/>
          <w:szCs w:val="24"/>
          <w:lang w:val="fr-CA"/>
        </w:rPr>
      </w:pPr>
    </w:p>
    <w:p w14:paraId="6C971BBE" w14:textId="1CD7907F" w:rsidR="00D31C6C" w:rsidRPr="001557BB" w:rsidRDefault="00D31C6C" w:rsidP="001557BB">
      <w:pPr>
        <w:spacing w:after="0" w:line="240" w:lineRule="auto"/>
        <w:jc w:val="both"/>
        <w:rPr>
          <w:rFonts w:ascii="Times New Roman" w:hAnsi="Times New Roman" w:cs="Times New Roman"/>
          <w:sz w:val="24"/>
          <w:szCs w:val="24"/>
          <w:lang w:eastAsia="de-DE"/>
        </w:rPr>
      </w:pPr>
      <w:r w:rsidRPr="001557BB">
        <w:rPr>
          <w:rFonts w:ascii="Times New Roman" w:hAnsi="Times New Roman" w:cs="Times New Roman"/>
          <w:iCs/>
          <w:sz w:val="24"/>
          <w:szCs w:val="24"/>
          <w:lang w:val="fr-CA"/>
        </w:rPr>
        <w:t>La restauration des paysages forestiers (RPF) vise</w:t>
      </w:r>
      <w:r w:rsidR="00766554">
        <w:rPr>
          <w:rFonts w:ascii="Times New Roman" w:hAnsi="Times New Roman" w:cs="Times New Roman"/>
          <w:iCs/>
          <w:sz w:val="24"/>
          <w:szCs w:val="24"/>
          <w:lang w:val="fr-CA"/>
        </w:rPr>
        <w:t xml:space="preserve"> à rétablir la fonctionnalité des </w:t>
      </w:r>
      <w:r w:rsidRPr="001557BB">
        <w:rPr>
          <w:rFonts w:ascii="Times New Roman" w:hAnsi="Times New Roman" w:cs="Times New Roman"/>
          <w:iCs/>
          <w:sz w:val="24"/>
          <w:szCs w:val="24"/>
          <w:lang w:val="fr-CA"/>
        </w:rPr>
        <w:t>écosystèmes déboisés et dégradés, tout en contribuant à améliorer les bases d’existences locales, les activités économiques, la p</w:t>
      </w:r>
      <w:r w:rsidR="00766554">
        <w:rPr>
          <w:rFonts w:ascii="Times New Roman" w:hAnsi="Times New Roman" w:cs="Times New Roman"/>
          <w:iCs/>
          <w:sz w:val="24"/>
          <w:szCs w:val="24"/>
          <w:lang w:val="fr-CA"/>
        </w:rPr>
        <w:t>roduction d’aliments et de bois-</w:t>
      </w:r>
      <w:r w:rsidRPr="001557BB">
        <w:rPr>
          <w:rFonts w:ascii="Times New Roman" w:hAnsi="Times New Roman" w:cs="Times New Roman"/>
          <w:iCs/>
          <w:sz w:val="24"/>
          <w:szCs w:val="24"/>
          <w:lang w:val="fr-CA"/>
        </w:rPr>
        <w:t>énergie, la sécurité de l’eau, l’atténuation du changement climatique et l’adaptation à ces changements. Au Togo, l</w:t>
      </w:r>
      <w:r w:rsidRPr="001557BB">
        <w:rPr>
          <w:rFonts w:ascii="Times New Roman" w:hAnsi="Times New Roman" w:cs="Times New Roman"/>
          <w:sz w:val="24"/>
          <w:szCs w:val="24"/>
          <w:lang w:eastAsia="de-DE"/>
        </w:rPr>
        <w:t>es politiques, stratégies, et programmes de développement actuellement en cours ou mis en œuvre (OMD, SCAPE, PNIERN, PNR, PNADE, PNIASA, PAFN, PFT, etc.) ont mis un accent particulier sur la restauration et la conservation des forêts. Ces orientations préconisent une participation engagé</w:t>
      </w:r>
      <w:r w:rsidR="00766554">
        <w:rPr>
          <w:rFonts w:ascii="Times New Roman" w:hAnsi="Times New Roman" w:cs="Times New Roman"/>
          <w:sz w:val="24"/>
          <w:szCs w:val="24"/>
          <w:lang w:eastAsia="de-DE"/>
        </w:rPr>
        <w:t>e et active de tous les acteurs</w:t>
      </w:r>
      <w:r w:rsidRPr="001557BB">
        <w:rPr>
          <w:rFonts w:ascii="Times New Roman" w:hAnsi="Times New Roman" w:cs="Times New Roman"/>
          <w:sz w:val="24"/>
          <w:szCs w:val="24"/>
          <w:lang w:eastAsia="de-DE"/>
        </w:rPr>
        <w:t xml:space="preserve"> étatiques et non-étatiques à la gestion durable du patrimoine forestier pour le bien-être des générations présentes et futures :</w:t>
      </w:r>
    </w:p>
    <w:p w14:paraId="7C103232" w14:textId="77777777"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1557BB">
        <w:rPr>
          <w:rFonts w:ascii="Times New Roman" w:hAnsi="Times New Roman"/>
          <w:sz w:val="24"/>
          <w:szCs w:val="24"/>
          <w:lang w:val="fr-FR"/>
        </w:rPr>
        <w:t>la Stratégie de croissance accélérée et de promotion de l’emploi (SCAPE) 2013-2017) qui stipule que la réduction de la pression sur les ressources naturelles passe par une rationalisation de leur exploitation ;</w:t>
      </w:r>
    </w:p>
    <w:p w14:paraId="245B5881" w14:textId="2E67F1E8"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 xml:space="preserve">la Politique Forestière du Togo (PFT) qui s’inscrit dans cette série de plans stratégiques a dégagé dans trois axes stratégiques la nécessité de mise en œuvre de la RFP à travers des actions bien ciblées telles que la restauration des peuplements dégradés et </w:t>
      </w:r>
      <w:r w:rsidR="00766554">
        <w:rPr>
          <w:rFonts w:ascii="Times New Roman" w:hAnsi="Times New Roman"/>
          <w:sz w:val="24"/>
          <w:szCs w:val="24"/>
          <w:lang w:val="fr-FR"/>
        </w:rPr>
        <w:t xml:space="preserve">la </w:t>
      </w:r>
      <w:r w:rsidRPr="00322B73">
        <w:rPr>
          <w:rFonts w:ascii="Times New Roman" w:hAnsi="Times New Roman"/>
          <w:sz w:val="24"/>
          <w:szCs w:val="24"/>
          <w:lang w:val="fr-FR"/>
        </w:rPr>
        <w:t>conservation de la biodiversité, le développement de la foresterie privée</w:t>
      </w:r>
      <w:r w:rsidR="00766554">
        <w:rPr>
          <w:rFonts w:ascii="Times New Roman" w:hAnsi="Times New Roman"/>
          <w:sz w:val="24"/>
          <w:szCs w:val="24"/>
          <w:lang w:val="fr-FR"/>
        </w:rPr>
        <w:t> ;</w:t>
      </w:r>
    </w:p>
    <w:p w14:paraId="5F5F22E1" w14:textId="64B82978"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le Plan d’Action Forestier National (PAFN, 2011-2019) qui s’inscrit dans le prolongement des politiques, stratégies et plans existants dans le secteur de la Gestion de l’Environnement et des Ressources Naturelles a aussi capitalisé tous les projets et programmes réalisés dans le domaine forestier avec un accent particulier</w:t>
      </w:r>
      <w:r w:rsidR="00766554">
        <w:rPr>
          <w:rFonts w:ascii="Times New Roman" w:hAnsi="Times New Roman"/>
          <w:sz w:val="24"/>
          <w:szCs w:val="24"/>
          <w:lang w:val="fr-FR"/>
        </w:rPr>
        <w:t>,</w:t>
      </w:r>
      <w:r w:rsidRPr="00322B73">
        <w:rPr>
          <w:rFonts w:ascii="Times New Roman" w:hAnsi="Times New Roman"/>
          <w:sz w:val="24"/>
          <w:szCs w:val="24"/>
          <w:lang w:val="fr-FR"/>
        </w:rPr>
        <w:t xml:space="preserve"> surtout dans les activités de reboisement ou de re</w:t>
      </w:r>
      <w:r w:rsidR="00322B73">
        <w:rPr>
          <w:rFonts w:ascii="Times New Roman" w:hAnsi="Times New Roman"/>
          <w:sz w:val="24"/>
          <w:szCs w:val="24"/>
          <w:lang w:val="fr-FR"/>
        </w:rPr>
        <w:t>stauration du paysage forestier ;</w:t>
      </w:r>
    </w:p>
    <w:p w14:paraId="5FC9FFA8" w14:textId="77777777"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le Programme National d'Investissements pour l'Environnement et les Ressources Naturelles (PNIERN), lequel prévoit, entre autres, le financement des projets forestiers maje</w:t>
      </w:r>
      <w:r w:rsidR="00322B73">
        <w:rPr>
          <w:rFonts w:ascii="Times New Roman" w:hAnsi="Times New Roman"/>
          <w:sz w:val="24"/>
          <w:szCs w:val="24"/>
          <w:lang w:val="fr-FR"/>
        </w:rPr>
        <w:t>urs durant la période 2011-2025 ;</w:t>
      </w:r>
    </w:p>
    <w:p w14:paraId="6361BBC7" w14:textId="77777777"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le Programme National de Reboisement (PNR) a suffisamment prise en compte des opportunités créées par l’adhésion du Togo au processus REDD+, de la place de la forêt et de la sylviculture dans les Objectifs du Développement Durable (ODD) et de la place de la sylviculture dans la promotion de l’économie</w:t>
      </w:r>
      <w:r w:rsidR="00322B73">
        <w:rPr>
          <w:rFonts w:ascii="Times New Roman" w:hAnsi="Times New Roman"/>
          <w:sz w:val="24"/>
          <w:szCs w:val="24"/>
          <w:lang w:val="fr-FR"/>
        </w:rPr>
        <w:t xml:space="preserve"> verte ;</w:t>
      </w:r>
    </w:p>
    <w:p w14:paraId="376DA2C7" w14:textId="4460F7E3"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le Programme d’Action National de lutte</w:t>
      </w:r>
      <w:r w:rsidR="00766554">
        <w:rPr>
          <w:rFonts w:ascii="Times New Roman" w:hAnsi="Times New Roman"/>
          <w:sz w:val="24"/>
          <w:szCs w:val="24"/>
          <w:lang w:val="fr-FR"/>
        </w:rPr>
        <w:t xml:space="preserve"> contre la désertification</w:t>
      </w:r>
      <w:r w:rsidRPr="00322B73">
        <w:rPr>
          <w:rFonts w:ascii="Times New Roman" w:hAnsi="Times New Roman"/>
          <w:sz w:val="24"/>
          <w:szCs w:val="24"/>
          <w:lang w:val="fr-FR"/>
        </w:rPr>
        <w:t xml:space="preserve"> qui vise à assurer au Togo une gestion durable des ressources naturelles et une atténuation des effets de la sécheresse ;</w:t>
      </w:r>
    </w:p>
    <w:p w14:paraId="040A6BD6" w14:textId="0078EC89"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 xml:space="preserve">le Programme National d’Actions Décentralisées de gestion de l’Environnement (PNADE) qui a ambitionné de renforcer et d’appuyer les capacités des différents acteurs à intégrer les questions environnementales dans les stratégies et </w:t>
      </w:r>
      <w:r w:rsidR="00766554">
        <w:rPr>
          <w:rFonts w:ascii="Times New Roman" w:hAnsi="Times New Roman"/>
          <w:sz w:val="24"/>
          <w:szCs w:val="24"/>
          <w:lang w:val="fr-FR"/>
        </w:rPr>
        <w:t>actions de développement locale</w:t>
      </w:r>
      <w:r w:rsidRPr="00322B73">
        <w:rPr>
          <w:rFonts w:ascii="Times New Roman" w:hAnsi="Times New Roman"/>
          <w:sz w:val="24"/>
          <w:szCs w:val="24"/>
          <w:lang w:val="fr-FR"/>
        </w:rPr>
        <w:t xml:space="preserve"> ;</w:t>
      </w:r>
    </w:p>
    <w:p w14:paraId="1ED7A56B" w14:textId="77777777" w:rsid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322B73">
        <w:rPr>
          <w:rFonts w:ascii="Times New Roman" w:hAnsi="Times New Roman"/>
          <w:sz w:val="24"/>
          <w:szCs w:val="24"/>
          <w:lang w:val="fr-FR"/>
        </w:rPr>
        <w:t>le Programme National d’Investissement Agricole et de Sécurité Alimentaire (PNIASA) qui prend en compte, dans les programmes agricoles, la promotion des pratiques de conservation de l’eau et du sol, de l’agroforesterie, de la sylviculture et la protection/restauration des aires protégées et des mangroves</w:t>
      </w:r>
      <w:r w:rsidR="00322B73">
        <w:rPr>
          <w:rFonts w:ascii="Times New Roman" w:hAnsi="Times New Roman"/>
          <w:sz w:val="24"/>
          <w:szCs w:val="24"/>
          <w:lang w:val="fr-FR"/>
        </w:rPr>
        <w:t> ;</w:t>
      </w:r>
    </w:p>
    <w:p w14:paraId="51F1C7F2" w14:textId="705F76A5" w:rsidR="00D31C6C" w:rsidRPr="00322B73" w:rsidRDefault="00D31C6C" w:rsidP="00E50666">
      <w:pPr>
        <w:pStyle w:val="DFSBulletedlist2"/>
        <w:numPr>
          <w:ilvl w:val="0"/>
          <w:numId w:val="27"/>
        </w:numPr>
        <w:tabs>
          <w:tab w:val="clear" w:pos="1134"/>
        </w:tabs>
        <w:spacing w:before="0" w:after="0" w:line="240" w:lineRule="auto"/>
        <w:rPr>
          <w:rFonts w:ascii="Times New Roman" w:hAnsi="Times New Roman"/>
          <w:sz w:val="24"/>
          <w:szCs w:val="24"/>
          <w:lang w:val="fr-FR"/>
        </w:rPr>
      </w:pPr>
      <w:r w:rsidRPr="00F00DB1">
        <w:rPr>
          <w:rFonts w:ascii="Times New Roman" w:hAnsi="Times New Roman"/>
          <w:sz w:val="24"/>
          <w:szCs w:val="24"/>
          <w:lang w:val="fr-FR"/>
        </w:rPr>
        <w:t>le Programme National du Reboisement (PNR) élaboré pour la période de 2017-2030 envisage porter le taux de couverture forestière national à 30% à l’horizon 2050 en vue de permettre au secteur forestier de contribuer à l’amélioration des conditions et du cadre de vie des popula</w:t>
      </w:r>
      <w:r w:rsidR="00766554">
        <w:rPr>
          <w:rFonts w:ascii="Times New Roman" w:hAnsi="Times New Roman"/>
          <w:sz w:val="24"/>
          <w:szCs w:val="24"/>
          <w:lang w:val="fr-FR"/>
        </w:rPr>
        <w:t xml:space="preserve">tions particulièrement rurales, </w:t>
      </w:r>
      <w:r w:rsidRPr="00F00DB1">
        <w:rPr>
          <w:rFonts w:ascii="Times New Roman" w:hAnsi="Times New Roman"/>
          <w:sz w:val="24"/>
          <w:szCs w:val="24"/>
          <w:lang w:val="fr-FR"/>
        </w:rPr>
        <w:t>soit 62% environ de la population du pays</w:t>
      </w:r>
      <w:r w:rsidR="00766554">
        <w:rPr>
          <w:rFonts w:ascii="Times New Roman" w:hAnsi="Times New Roman"/>
          <w:sz w:val="24"/>
          <w:szCs w:val="24"/>
          <w:lang w:val="fr-FR"/>
        </w:rPr>
        <w:t xml:space="preserve"> </w:t>
      </w:r>
      <w:r w:rsidRPr="00F00DB1">
        <w:rPr>
          <w:rFonts w:ascii="Times New Roman" w:hAnsi="Times New Roman"/>
          <w:sz w:val="24"/>
          <w:szCs w:val="24"/>
          <w:lang w:val="fr-FR"/>
        </w:rPr>
        <w:t>à travers la création d’emplois ruraux et la réduction de la dépendance du pays en matière de bois. Grâce au Fonds National du Développement Forestier (FNDF) du gouvernement togolais, le programme disposera d’un outil de mobilisation de ressources financières autonome et durable en vue de répondre aux objectifs émis dans le cadre du PAFN.</w:t>
      </w:r>
    </w:p>
    <w:p w14:paraId="43907318" w14:textId="77777777" w:rsidR="00D31C6C" w:rsidRPr="001557BB" w:rsidRDefault="00D31C6C" w:rsidP="001557BB">
      <w:pPr>
        <w:pStyle w:val="DFSStandard"/>
        <w:spacing w:line="240" w:lineRule="auto"/>
        <w:rPr>
          <w:rFonts w:ascii="Times New Roman" w:hAnsi="Times New Roman"/>
          <w:sz w:val="24"/>
          <w:szCs w:val="24"/>
          <w:lang w:eastAsia="de-DE"/>
        </w:rPr>
      </w:pPr>
    </w:p>
    <w:p w14:paraId="179C33F1" w14:textId="77777777" w:rsidR="00D31C6C" w:rsidRPr="001557BB" w:rsidRDefault="00D31C6C" w:rsidP="001557BB">
      <w:pPr>
        <w:pStyle w:val="DFSStandard"/>
        <w:spacing w:line="240" w:lineRule="auto"/>
        <w:rPr>
          <w:rFonts w:ascii="Times New Roman" w:hAnsi="Times New Roman"/>
          <w:sz w:val="24"/>
          <w:szCs w:val="24"/>
        </w:rPr>
      </w:pPr>
      <w:r w:rsidRPr="001557BB">
        <w:rPr>
          <w:rFonts w:ascii="Times New Roman" w:hAnsi="Times New Roman"/>
          <w:sz w:val="24"/>
          <w:szCs w:val="24"/>
          <w:lang w:eastAsia="de-DE"/>
        </w:rPr>
        <w:t xml:space="preserve">En dehors de ces politiques, stratégies et programmes, plusieurs actions de restaurations ont été réalisées au Togo. Ces actions ont impliqué </w:t>
      </w:r>
      <w:r w:rsidRPr="001557BB">
        <w:rPr>
          <w:rFonts w:ascii="Times New Roman" w:hAnsi="Times New Roman"/>
          <w:sz w:val="24"/>
          <w:szCs w:val="24"/>
        </w:rPr>
        <w:t>l’état togolais à travers le MERF et les structures qui le composent, les associations professionnelles, coopératives de gestionnaire de la forêt (privé, public, communautaire) puis les plateformes professionnelles, coopératives, ONGs et autres structures. La consultation des parties prenantes et l’analyse bibliographique montrent que différents modèles de restauration sont déjà testés au Togo et couvrent diverses utilisations des terres et des catégories de restauration (Tableau</w:t>
      </w:r>
      <w:r w:rsidR="00322B73">
        <w:rPr>
          <w:rFonts w:ascii="Times New Roman" w:hAnsi="Times New Roman"/>
          <w:sz w:val="24"/>
          <w:szCs w:val="24"/>
        </w:rPr>
        <w:t xml:space="preserve"> 9</w:t>
      </w:r>
      <w:r w:rsidRPr="001557BB">
        <w:rPr>
          <w:rFonts w:ascii="Times New Roman" w:hAnsi="Times New Roman"/>
          <w:sz w:val="24"/>
          <w:szCs w:val="24"/>
        </w:rPr>
        <w:t>).</w:t>
      </w:r>
    </w:p>
    <w:p w14:paraId="5E815E52" w14:textId="77777777" w:rsidR="00D31C6C" w:rsidRPr="001557BB" w:rsidRDefault="00D31C6C" w:rsidP="001557BB">
      <w:pPr>
        <w:autoSpaceDE w:val="0"/>
        <w:autoSpaceDN w:val="0"/>
        <w:adjustRightInd w:val="0"/>
        <w:spacing w:after="0" w:line="240" w:lineRule="auto"/>
        <w:jc w:val="both"/>
        <w:rPr>
          <w:rFonts w:ascii="Times New Roman" w:hAnsi="Times New Roman" w:cs="Times New Roman"/>
          <w:color w:val="000000"/>
          <w:sz w:val="24"/>
          <w:szCs w:val="24"/>
        </w:rPr>
      </w:pPr>
    </w:p>
    <w:p w14:paraId="240C4B5A" w14:textId="45B9519E" w:rsidR="00D31C6C" w:rsidRPr="00210FB4" w:rsidRDefault="00D31C6C" w:rsidP="00210FB4">
      <w:pPr>
        <w:autoSpaceDE w:val="0"/>
        <w:autoSpaceDN w:val="0"/>
        <w:adjustRightInd w:val="0"/>
        <w:spacing w:after="0" w:line="240" w:lineRule="auto"/>
        <w:jc w:val="both"/>
        <w:rPr>
          <w:rFonts w:ascii="Times New Roman" w:hAnsi="Times New Roman" w:cs="Times New Roman"/>
          <w:color w:val="000000"/>
          <w:sz w:val="24"/>
          <w:szCs w:val="24"/>
        </w:rPr>
      </w:pPr>
      <w:r w:rsidRPr="00210FB4">
        <w:rPr>
          <w:rFonts w:ascii="Times New Roman" w:hAnsi="Times New Roman" w:cs="Times New Roman"/>
          <w:sz w:val="24"/>
          <w:szCs w:val="24"/>
        </w:rPr>
        <w:t>Par ailleurs</w:t>
      </w:r>
      <w:r w:rsidR="001A457E">
        <w:rPr>
          <w:rFonts w:ascii="Times New Roman" w:hAnsi="Times New Roman" w:cs="Times New Roman"/>
          <w:sz w:val="24"/>
          <w:szCs w:val="24"/>
        </w:rPr>
        <w:t>,</w:t>
      </w:r>
      <w:r w:rsidRPr="00210FB4">
        <w:rPr>
          <w:rFonts w:ascii="Times New Roman" w:hAnsi="Times New Roman" w:cs="Times New Roman"/>
          <w:sz w:val="24"/>
          <w:szCs w:val="24"/>
        </w:rPr>
        <w:t xml:space="preserve"> afin de permettre la mise en place d'un système cohérent et permanent de suivi-évaluation des ressources forestières au niveau national dans le contexte de la REDD+, un inventaire forestier national a été réalisé au Togo en 2016 à travers le projet ProREDD. Cet inventaire a fourni des informations quantitatives et qualitatives de base sur les forêts naturelles et les plantations du Togo. Il faut aussi signaler que d’autres activités ont été réalisées dans le cadre de la mise en œuvre du projet PROREDD au cours de l’année 2017. Il s’agit de :</w:t>
      </w:r>
    </w:p>
    <w:p w14:paraId="06B39430" w14:textId="43D2F2FC" w:rsidR="00D31C6C" w:rsidRPr="001A457E" w:rsidRDefault="001A457E"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w:t>
      </w:r>
      <w:r w:rsidR="00D31C6C" w:rsidRPr="001A457E">
        <w:rPr>
          <w:rFonts w:ascii="Times New Roman" w:hAnsi="Times New Roman" w:cs="Times New Roman"/>
          <w:color w:val="000000"/>
          <w:sz w:val="24"/>
          <w:szCs w:val="24"/>
        </w:rPr>
        <w:t xml:space="preserve">réalisation des cartographies participatives du terroir de Goubi, de la forêt classée de Missahoe et de la préfecture des Lacs ; </w:t>
      </w:r>
    </w:p>
    <w:p w14:paraId="3248BCC5" w14:textId="6378D8AC" w:rsidR="00D31C6C" w:rsidRPr="001A457E" w:rsidRDefault="001A457E"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color w:val="000000"/>
          <w:sz w:val="24"/>
          <w:szCs w:val="24"/>
        </w:rPr>
      </w:pPr>
      <w:r w:rsidRPr="001A457E">
        <w:rPr>
          <w:rFonts w:ascii="Times New Roman" w:hAnsi="Times New Roman" w:cs="Times New Roman"/>
          <w:color w:val="000000"/>
          <w:sz w:val="24"/>
          <w:szCs w:val="24"/>
        </w:rPr>
        <w:t xml:space="preserve">la </w:t>
      </w:r>
      <w:r w:rsidR="00D31C6C" w:rsidRPr="001A457E">
        <w:rPr>
          <w:rFonts w:ascii="Times New Roman" w:hAnsi="Times New Roman" w:cs="Times New Roman"/>
          <w:color w:val="000000"/>
          <w:sz w:val="24"/>
          <w:szCs w:val="24"/>
        </w:rPr>
        <w:t xml:space="preserve">formation des membres des groupes de travail des régions Centrale, Plateaux et Maritime sur la méthodologie de collecte des données de l’inventaire forestier d’aménagement ; </w:t>
      </w:r>
    </w:p>
    <w:p w14:paraId="2B7EA869" w14:textId="0DA30FBC" w:rsidR="00D31C6C" w:rsidRPr="001A457E" w:rsidRDefault="001A457E"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color w:val="000000"/>
          <w:sz w:val="24"/>
          <w:szCs w:val="24"/>
        </w:rPr>
      </w:pPr>
      <w:r w:rsidRPr="001A457E">
        <w:rPr>
          <w:rFonts w:ascii="Times New Roman" w:hAnsi="Times New Roman" w:cs="Times New Roman"/>
          <w:color w:val="000000"/>
          <w:sz w:val="24"/>
          <w:szCs w:val="24"/>
        </w:rPr>
        <w:t xml:space="preserve">la </w:t>
      </w:r>
      <w:r w:rsidR="00D31C6C" w:rsidRPr="001A457E">
        <w:rPr>
          <w:rFonts w:ascii="Times New Roman" w:hAnsi="Times New Roman" w:cs="Times New Roman"/>
          <w:color w:val="000000"/>
          <w:sz w:val="24"/>
          <w:szCs w:val="24"/>
        </w:rPr>
        <w:t xml:space="preserve">réalisation des inventaires d’aménagement de la forêt communautaire de Goubi et de la forêt classée de Missahoe ; </w:t>
      </w:r>
    </w:p>
    <w:p w14:paraId="350F8BA1" w14:textId="08F06B74" w:rsidR="00D31C6C" w:rsidRPr="001A457E" w:rsidRDefault="00C43706"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l’</w:t>
      </w:r>
      <w:r w:rsidR="00D31C6C" w:rsidRPr="001A457E">
        <w:rPr>
          <w:rFonts w:ascii="Times New Roman" w:hAnsi="Times New Roman" w:cs="Times New Roman"/>
          <w:color w:val="000000"/>
          <w:sz w:val="24"/>
          <w:szCs w:val="24"/>
        </w:rPr>
        <w:t>é</w:t>
      </w:r>
      <w:r w:rsidR="00D31C6C" w:rsidRPr="001A457E">
        <w:rPr>
          <w:rFonts w:ascii="Times New Roman" w:hAnsi="Times New Roman" w:cs="Times New Roman"/>
          <w:sz w:val="24"/>
          <w:szCs w:val="24"/>
        </w:rPr>
        <w:t xml:space="preserve">laboration des plans d’aménagement de la forêt communautaire de Goubi et de la forêt classé de  Missahoe ; </w:t>
      </w:r>
    </w:p>
    <w:p w14:paraId="306C5DE8" w14:textId="63D0361A" w:rsidR="00D31C6C" w:rsidRPr="001A457E" w:rsidRDefault="00C43706"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l’</w:t>
      </w:r>
      <w:r w:rsidR="00D31C6C" w:rsidRPr="001A457E">
        <w:rPr>
          <w:rFonts w:ascii="Times New Roman" w:hAnsi="Times New Roman" w:cs="Times New Roman"/>
          <w:sz w:val="24"/>
          <w:szCs w:val="24"/>
        </w:rPr>
        <w:t xml:space="preserve">élaboration des plans directeurs forestiers des régions Centrale, Plateaux et Maritime ; </w:t>
      </w:r>
    </w:p>
    <w:p w14:paraId="485B4C85" w14:textId="49BD2EF5" w:rsidR="00D31C6C" w:rsidRPr="001A457E" w:rsidRDefault="00C43706"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la f</w:t>
      </w:r>
      <w:r w:rsidR="00D31C6C" w:rsidRPr="001A457E">
        <w:rPr>
          <w:rFonts w:ascii="Times New Roman" w:hAnsi="Times New Roman" w:cs="Times New Roman"/>
          <w:sz w:val="24"/>
          <w:szCs w:val="24"/>
        </w:rPr>
        <w:t>ormation des acteurs sur la gestion de la base de données forestières et des résultats de l’IFN et le systèm</w:t>
      </w:r>
      <w:r w:rsidR="00766554">
        <w:rPr>
          <w:rFonts w:ascii="Times New Roman" w:hAnsi="Times New Roman" w:cs="Times New Roman"/>
          <w:sz w:val="24"/>
          <w:szCs w:val="24"/>
        </w:rPr>
        <w:t xml:space="preserve">e de MRV des points focaux de l a </w:t>
      </w:r>
      <w:r w:rsidR="00D31C6C" w:rsidRPr="001A457E">
        <w:rPr>
          <w:rFonts w:ascii="Times New Roman" w:hAnsi="Times New Roman" w:cs="Times New Roman"/>
          <w:sz w:val="24"/>
          <w:szCs w:val="24"/>
        </w:rPr>
        <w:t xml:space="preserve">CBDR/IFN des régions ; </w:t>
      </w:r>
    </w:p>
    <w:p w14:paraId="71936FD7" w14:textId="2C705304" w:rsidR="00D31C6C" w:rsidRPr="001A457E" w:rsidRDefault="00C43706" w:rsidP="00E50666">
      <w:pPr>
        <w:pStyle w:val="Paragraphedeliste"/>
        <w:numPr>
          <w:ilvl w:val="0"/>
          <w:numId w:val="46"/>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D31C6C" w:rsidRPr="001A457E">
        <w:rPr>
          <w:rFonts w:ascii="Times New Roman" w:hAnsi="Times New Roman" w:cs="Times New Roman"/>
          <w:sz w:val="24"/>
          <w:szCs w:val="24"/>
        </w:rPr>
        <w:t xml:space="preserve">réalisation du pré-inventaire de la préfecture des Lacs dans le cadre de la restauration des paysages forestiers. </w:t>
      </w:r>
    </w:p>
    <w:p w14:paraId="2C9EDFC1" w14:textId="49C48ED6" w:rsidR="00C43706" w:rsidRDefault="00D31C6C" w:rsidP="0038037D">
      <w:pPr>
        <w:tabs>
          <w:tab w:val="left" w:pos="6061"/>
        </w:tabs>
        <w:spacing w:after="0" w:line="240" w:lineRule="auto"/>
        <w:jc w:val="both"/>
        <w:rPr>
          <w:rFonts w:ascii="Times New Roman" w:hAnsi="Times New Roman" w:cs="Times New Roman"/>
          <w:b/>
          <w:iCs/>
          <w:kern w:val="22"/>
          <w:sz w:val="24"/>
          <w:szCs w:val="24"/>
          <w:lang w:val="fr-CA"/>
        </w:rPr>
      </w:pPr>
      <w:r w:rsidRPr="00210FB4">
        <w:rPr>
          <w:rFonts w:ascii="Times New Roman" w:hAnsi="Times New Roman" w:cs="Times New Roman"/>
          <w:iCs/>
          <w:sz w:val="24"/>
          <w:szCs w:val="24"/>
        </w:rPr>
        <w:tab/>
      </w:r>
    </w:p>
    <w:p w14:paraId="23CC0FC2" w14:textId="6528F3A5"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r w:rsidRPr="00210FB4">
        <w:rPr>
          <w:rFonts w:ascii="Times New Roman" w:hAnsi="Times New Roman" w:cs="Times New Roman"/>
          <w:b/>
          <w:iCs/>
          <w:kern w:val="22"/>
          <w:sz w:val="24"/>
          <w:szCs w:val="24"/>
          <w:lang w:val="fr-CA"/>
        </w:rPr>
        <w:t xml:space="preserve">Objectif 16 </w:t>
      </w:r>
      <w:r w:rsidRPr="00210FB4">
        <w:rPr>
          <w:rFonts w:ascii="Times New Roman" w:hAnsi="Times New Roman" w:cs="Times New Roman"/>
          <w:b/>
          <w:kern w:val="22"/>
          <w:sz w:val="24"/>
          <w:szCs w:val="24"/>
          <w:lang w:val="fr-CA"/>
        </w:rPr>
        <w:t xml:space="preserve">d’Aichi pour la biodiversité </w:t>
      </w:r>
      <w:r w:rsidR="00766554">
        <w:rPr>
          <w:rFonts w:ascii="Times New Roman" w:hAnsi="Times New Roman" w:cs="Times New Roman"/>
          <w:b/>
          <w:iCs/>
          <w:kern w:val="22"/>
          <w:sz w:val="24"/>
          <w:szCs w:val="24"/>
          <w:lang w:val="fr-CA"/>
        </w:rPr>
        <w:t>: a</w:t>
      </w:r>
      <w:r w:rsidRPr="00210FB4">
        <w:rPr>
          <w:rFonts w:ascii="Times New Roman" w:hAnsi="Times New Roman" w:cs="Times New Roman"/>
          <w:b/>
          <w:iCs/>
          <w:kern w:val="22"/>
          <w:sz w:val="24"/>
          <w:szCs w:val="24"/>
          <w:lang w:val="fr-CA"/>
        </w:rPr>
        <w:t>ccès aux ressources génétiques et partage des avantages découlant de leur utilisation</w:t>
      </w:r>
    </w:p>
    <w:p w14:paraId="66853CB2" w14:textId="77777777" w:rsidR="007475D1" w:rsidRDefault="007475D1" w:rsidP="00210FB4">
      <w:pPr>
        <w:pStyle w:val="Sansinterligne"/>
        <w:jc w:val="both"/>
        <w:rPr>
          <w:rFonts w:ascii="Times New Roman" w:hAnsi="Times New Roman"/>
          <w:sz w:val="24"/>
          <w:szCs w:val="24"/>
        </w:rPr>
      </w:pPr>
    </w:p>
    <w:p w14:paraId="207673D9" w14:textId="1597C2E3" w:rsidR="00A05444" w:rsidRDefault="00D31C6C" w:rsidP="00210FB4">
      <w:pPr>
        <w:pStyle w:val="Sansinterligne"/>
        <w:jc w:val="both"/>
        <w:rPr>
          <w:rFonts w:ascii="Times New Roman" w:hAnsi="Times New Roman"/>
          <w:color w:val="000000"/>
          <w:sz w:val="24"/>
          <w:szCs w:val="24"/>
        </w:rPr>
      </w:pPr>
      <w:r w:rsidRPr="00210FB4">
        <w:rPr>
          <w:rFonts w:ascii="Times New Roman" w:hAnsi="Times New Roman"/>
          <w:sz w:val="24"/>
          <w:szCs w:val="24"/>
        </w:rPr>
        <w:t xml:space="preserve">Le Togo a signé le protocole de Nagoya le 27 septembre 2011. Il a bénéficié en 2013 d’un micro financement du Fonds pour l’Environnement Mondial (FEM) pour la mise en œuvre d’un projet intitulé « appui à la ratification et l’entrée en vigueur du Protocole de Nagoya sur APA ». Ce projet lui a permis d’engager une série de consultations et sensibilisations des parties prenantes, de faire l’état des lieux des dispositifs juridiques, politiques et institutionnels existants en lien avec le protocole de Nagoya sur </w:t>
      </w:r>
      <w:r w:rsidR="00766554">
        <w:rPr>
          <w:rFonts w:ascii="Times New Roman" w:hAnsi="Times New Roman"/>
          <w:sz w:val="24"/>
          <w:szCs w:val="24"/>
        </w:rPr>
        <w:t>l’</w:t>
      </w:r>
      <w:r w:rsidRPr="00210FB4">
        <w:rPr>
          <w:rFonts w:ascii="Times New Roman" w:hAnsi="Times New Roman"/>
          <w:sz w:val="24"/>
          <w:szCs w:val="24"/>
        </w:rPr>
        <w:t>APA. En 2013, une stratégie APA avait été élaborée et validé</w:t>
      </w:r>
      <w:r w:rsidR="00C43706">
        <w:rPr>
          <w:rFonts w:ascii="Times New Roman" w:hAnsi="Times New Roman"/>
          <w:sz w:val="24"/>
          <w:szCs w:val="24"/>
        </w:rPr>
        <w:t>e</w:t>
      </w:r>
      <w:r w:rsidRPr="00210FB4">
        <w:rPr>
          <w:rFonts w:ascii="Times New Roman" w:hAnsi="Times New Roman"/>
          <w:sz w:val="24"/>
          <w:szCs w:val="24"/>
        </w:rPr>
        <w:t xml:space="preserve"> en 2014. Cependant, avant sa  mise en œuvre, elle fera objet d’une relecture pour intégrer les recommandations du cadre politique de l’Union Africaine pour la mise en œuvre coordonnée du Protocole de Nagoya sur l’APA. En avril 2015, un point focal national APA a été désigné. Le 30 novembre 2015, les députés à l’Assemblée Nationale ont voté la loi de ratification du protocole</w:t>
      </w:r>
      <w:r w:rsidRPr="00210FB4">
        <w:rPr>
          <w:rFonts w:ascii="Times New Roman" w:hAnsi="Times New Roman"/>
          <w:sz w:val="24"/>
          <w:szCs w:val="24"/>
          <w:lang w:val="fr-CA"/>
        </w:rPr>
        <w:t xml:space="preserve"> de Nagoya sur l’</w:t>
      </w:r>
      <w:r w:rsidRPr="00210FB4">
        <w:rPr>
          <w:rFonts w:ascii="Times New Roman" w:hAnsi="Times New Roman"/>
          <w:sz w:val="24"/>
          <w:szCs w:val="24"/>
        </w:rPr>
        <w:t>APA. Cependant suivant le délai de transmission de l’acte de ratification, la date officielle de ratification notifiée par le secrétariat de la CDB est le 09 février 2016. Le 10 mai 2016 est la</w:t>
      </w:r>
      <w:r w:rsidR="00C43706">
        <w:rPr>
          <w:rFonts w:ascii="Times New Roman" w:hAnsi="Times New Roman"/>
          <w:sz w:val="24"/>
          <w:szCs w:val="24"/>
        </w:rPr>
        <w:t xml:space="preserve"> date</w:t>
      </w:r>
      <w:r w:rsidRPr="00210FB4">
        <w:rPr>
          <w:rFonts w:ascii="Times New Roman" w:hAnsi="Times New Roman"/>
          <w:sz w:val="24"/>
          <w:szCs w:val="24"/>
        </w:rPr>
        <w:t xml:space="preserve"> d’entrée en vigueur du protocole de Nagoya sur l’APA pour le Togo. Cette </w:t>
      </w:r>
      <w:r w:rsidRPr="00210FB4">
        <w:rPr>
          <w:rFonts w:ascii="Times New Roman" w:hAnsi="Times New Roman"/>
          <w:color w:val="000000"/>
          <w:sz w:val="24"/>
          <w:szCs w:val="24"/>
        </w:rPr>
        <w:t>ratification apporte une certitude juridique pour tous les partenaires du Togo engagés dans le processus APA car elle ouvre la voie pour la mise en place des cadres politiques, juridiques et institutionnels qui encadreront les mesures opérationnelles de l’APA sur toute l’étendue du territoire national.</w:t>
      </w:r>
    </w:p>
    <w:p w14:paraId="7B4716FB" w14:textId="77777777" w:rsidR="00A05444" w:rsidRDefault="00A05444" w:rsidP="00210FB4">
      <w:pPr>
        <w:pStyle w:val="Sansinterligne"/>
        <w:jc w:val="both"/>
        <w:rPr>
          <w:rFonts w:ascii="Times New Roman" w:hAnsi="Times New Roman"/>
          <w:color w:val="000000"/>
          <w:sz w:val="24"/>
          <w:szCs w:val="24"/>
        </w:rPr>
      </w:pPr>
    </w:p>
    <w:p w14:paraId="7149A280" w14:textId="1833FB82" w:rsidR="00A05444" w:rsidRDefault="00D31C6C" w:rsidP="00210FB4">
      <w:pPr>
        <w:pStyle w:val="Sansinterligne"/>
        <w:jc w:val="both"/>
        <w:rPr>
          <w:rFonts w:ascii="Times New Roman" w:hAnsi="Times New Roman"/>
          <w:color w:val="000000"/>
          <w:sz w:val="24"/>
          <w:szCs w:val="24"/>
        </w:rPr>
      </w:pPr>
      <w:r w:rsidRPr="00210FB4">
        <w:rPr>
          <w:rFonts w:ascii="Times New Roman" w:hAnsi="Times New Roman"/>
          <w:color w:val="000000"/>
          <w:sz w:val="24"/>
          <w:szCs w:val="24"/>
        </w:rPr>
        <w:t xml:space="preserve">Au Togo, les efforts d’appropriation </w:t>
      </w:r>
      <w:r w:rsidR="00A97467" w:rsidRPr="00A97467">
        <w:rPr>
          <w:rFonts w:ascii="Times New Roman" w:hAnsi="Times New Roman"/>
          <w:color w:val="000000"/>
          <w:sz w:val="24"/>
          <w:szCs w:val="24"/>
        </w:rPr>
        <w:t>du protocole de Nagoya</w:t>
      </w:r>
      <w:r w:rsidRPr="00210FB4">
        <w:rPr>
          <w:rFonts w:ascii="Times New Roman" w:hAnsi="Times New Roman"/>
          <w:color w:val="000000"/>
          <w:sz w:val="24"/>
          <w:szCs w:val="24"/>
        </w:rPr>
        <w:t xml:space="preserve"> sont encore à leurs débuts. Cependant, le Togo doit honorer son engagement relatif  à l’article 31 dudit protocole qui recommande à chaque Etat Partie d’élaborer un rapport national intérimaire de mise en œuvre du Protocole quatre ans après son entrée en vigueur. Ce rapport devrait permettre à la Conférence des Parties siégeant en tant que réunion des Parties au Protocole (COP-MOP), d’évaluer l’efficacité du Protocole de Nagoya. Dans ce cadre, un atelier national et deux ateliers régionaux ont eu lieu à Lomé, Kara et Atakpamé respectivement le 16 février, les 13 et 15 mars 2018. L’objectif principal de ces ateliers est de mettre à la disposition des parties prenantes tant au niveau central que régional, des informations suffisantes sur le protocole de Nagoya et son importance pour le pays, en vue de favoriser une meilleure appropriation du processus d’élaboration du rapport intérimaire de mise en œuvre dudit protocole. Il s’est agi de (i) partager le contenu et les enjeux du protocole de Nagoya sur l’APA ; (ii) échanger sur les champs d’application du protocole et son importance en matière de la valorisation et de la conservation de la biodiversité au Togo ; (iii) présenter les efforts réalisés par le Togo depuis la signature du PN ; (v) présenter les lignes directrices pour l’élaboration du rapport national intérimaire sur la mise en œuvre du Protocole de Nagoya. En dehors de ces ateliers, d’autres actions ont été entreprises par le Togo en lien avec le </w:t>
      </w:r>
      <w:r w:rsidR="00A97467" w:rsidRPr="00A97467">
        <w:rPr>
          <w:rFonts w:ascii="Times New Roman" w:hAnsi="Times New Roman"/>
          <w:color w:val="000000"/>
          <w:sz w:val="24"/>
          <w:szCs w:val="24"/>
        </w:rPr>
        <w:t>protocole de Nagoya</w:t>
      </w:r>
      <w:r w:rsidRPr="00210FB4">
        <w:rPr>
          <w:rFonts w:ascii="Times New Roman" w:hAnsi="Times New Roman"/>
          <w:color w:val="000000"/>
          <w:sz w:val="24"/>
          <w:szCs w:val="24"/>
        </w:rPr>
        <w:t xml:space="preserve">. Il s’agit de (i) </w:t>
      </w:r>
      <w:r w:rsidR="00C43706">
        <w:rPr>
          <w:rFonts w:ascii="Times New Roman" w:hAnsi="Times New Roman"/>
          <w:color w:val="000000"/>
          <w:sz w:val="24"/>
          <w:szCs w:val="24"/>
        </w:rPr>
        <w:t>l’</w:t>
      </w:r>
      <w:r w:rsidRPr="00210FB4">
        <w:rPr>
          <w:rFonts w:ascii="Times New Roman" w:hAnsi="Times New Roman"/>
          <w:color w:val="000000"/>
          <w:sz w:val="24"/>
          <w:szCs w:val="24"/>
        </w:rPr>
        <w:t xml:space="preserve">évaluation des dispositifs politiques, juridiques et institutionnels existants ainsi que les contraintes liées à la ratification du protocole de Nagoya, (ii) </w:t>
      </w:r>
      <w:r w:rsidR="00C43706">
        <w:rPr>
          <w:rFonts w:ascii="Times New Roman" w:hAnsi="Times New Roman"/>
          <w:color w:val="000000"/>
          <w:sz w:val="24"/>
          <w:szCs w:val="24"/>
        </w:rPr>
        <w:t>l’</w:t>
      </w:r>
      <w:r w:rsidRPr="00210FB4">
        <w:rPr>
          <w:rFonts w:ascii="Times New Roman" w:hAnsi="Times New Roman"/>
          <w:color w:val="000000"/>
          <w:sz w:val="24"/>
          <w:szCs w:val="24"/>
        </w:rPr>
        <w:t xml:space="preserve">adoption du projet en conseil </w:t>
      </w:r>
      <w:r w:rsidR="00A05444">
        <w:rPr>
          <w:rFonts w:ascii="Times New Roman" w:hAnsi="Times New Roman"/>
          <w:color w:val="000000"/>
          <w:sz w:val="24"/>
          <w:szCs w:val="24"/>
        </w:rPr>
        <w:t>des ministres en décembre 2013.</w:t>
      </w:r>
    </w:p>
    <w:p w14:paraId="30EC0A80" w14:textId="77777777" w:rsidR="00A05444" w:rsidRDefault="00A05444" w:rsidP="00210FB4">
      <w:pPr>
        <w:pStyle w:val="Sansinterligne"/>
        <w:jc w:val="both"/>
        <w:rPr>
          <w:rFonts w:ascii="Times New Roman" w:hAnsi="Times New Roman"/>
          <w:color w:val="000000"/>
          <w:sz w:val="24"/>
          <w:szCs w:val="24"/>
        </w:rPr>
      </w:pPr>
    </w:p>
    <w:p w14:paraId="6A5BB008" w14:textId="77777777" w:rsidR="00D31C6C" w:rsidRPr="00210FB4" w:rsidRDefault="00D31C6C" w:rsidP="00210FB4">
      <w:pPr>
        <w:pStyle w:val="Sansinterligne"/>
        <w:jc w:val="both"/>
        <w:rPr>
          <w:rFonts w:ascii="Times New Roman" w:hAnsi="Times New Roman"/>
          <w:color w:val="000000"/>
          <w:sz w:val="24"/>
          <w:szCs w:val="24"/>
        </w:rPr>
      </w:pPr>
      <w:r w:rsidRPr="00210FB4">
        <w:rPr>
          <w:rFonts w:ascii="Times New Roman" w:hAnsi="Times New Roman"/>
          <w:color w:val="000000"/>
          <w:sz w:val="24"/>
          <w:szCs w:val="24"/>
        </w:rPr>
        <w:t>Pour la période 2016-2020 d’autres actions sont envisagées. Il s’agit de :</w:t>
      </w:r>
    </w:p>
    <w:p w14:paraId="5A7D1372" w14:textId="3B50B770" w:rsidR="00D31C6C" w:rsidRPr="00210FB4" w:rsidRDefault="00D31C6C" w:rsidP="00E50666">
      <w:pPr>
        <w:pStyle w:val="Sansinterligne"/>
        <w:numPr>
          <w:ilvl w:val="0"/>
          <w:numId w:val="39"/>
        </w:numPr>
        <w:jc w:val="both"/>
        <w:rPr>
          <w:rFonts w:ascii="Times New Roman" w:hAnsi="Times New Roman"/>
          <w:color w:val="000000"/>
          <w:sz w:val="24"/>
          <w:szCs w:val="24"/>
        </w:rPr>
      </w:pPr>
      <w:r w:rsidRPr="00210FB4">
        <w:rPr>
          <w:rFonts w:ascii="Times New Roman" w:hAnsi="Times New Roman"/>
          <w:color w:val="000000"/>
          <w:sz w:val="24"/>
          <w:szCs w:val="24"/>
        </w:rPr>
        <w:t>la mise à niveau de l’information à toutes les catégories d’acteurs (secteur privé, société civile, structures état</w:t>
      </w:r>
      <w:r w:rsidR="00A97467">
        <w:rPr>
          <w:rFonts w:ascii="Times New Roman" w:hAnsi="Times New Roman"/>
          <w:color w:val="000000"/>
          <w:sz w:val="24"/>
          <w:szCs w:val="24"/>
        </w:rPr>
        <w:t>iques, médias, gouvernement et parlement) ;</w:t>
      </w:r>
    </w:p>
    <w:p w14:paraId="0B5FF5E0" w14:textId="3AFD1E26" w:rsidR="00D31C6C" w:rsidRPr="00210FB4" w:rsidRDefault="00A97467" w:rsidP="00E50666">
      <w:pPr>
        <w:pStyle w:val="Sansinterligne"/>
        <w:numPr>
          <w:ilvl w:val="0"/>
          <w:numId w:val="39"/>
        </w:numPr>
        <w:jc w:val="both"/>
        <w:rPr>
          <w:rFonts w:ascii="Times New Roman" w:hAnsi="Times New Roman"/>
          <w:color w:val="000000"/>
          <w:sz w:val="24"/>
          <w:szCs w:val="24"/>
        </w:rPr>
      </w:pPr>
      <w:r>
        <w:rPr>
          <w:rFonts w:ascii="Times New Roman" w:hAnsi="Times New Roman"/>
          <w:color w:val="000000"/>
          <w:sz w:val="24"/>
          <w:szCs w:val="24"/>
        </w:rPr>
        <w:t>la mise en place d’un c</w:t>
      </w:r>
      <w:r w:rsidR="00D31C6C" w:rsidRPr="00210FB4">
        <w:rPr>
          <w:rFonts w:ascii="Times New Roman" w:hAnsi="Times New Roman"/>
          <w:color w:val="000000"/>
          <w:sz w:val="24"/>
          <w:szCs w:val="24"/>
        </w:rPr>
        <w:t>omité national APA constitué des parties pre</w:t>
      </w:r>
      <w:r>
        <w:rPr>
          <w:rFonts w:ascii="Times New Roman" w:hAnsi="Times New Roman"/>
          <w:color w:val="000000"/>
          <w:sz w:val="24"/>
          <w:szCs w:val="24"/>
        </w:rPr>
        <w:t>nantes pertinentes identifiées ;</w:t>
      </w:r>
    </w:p>
    <w:p w14:paraId="7B6856B5" w14:textId="016DCDFC" w:rsidR="00D31C6C" w:rsidRPr="00210FB4" w:rsidRDefault="00D31C6C" w:rsidP="00E50666">
      <w:pPr>
        <w:pStyle w:val="Sansinterligne"/>
        <w:numPr>
          <w:ilvl w:val="0"/>
          <w:numId w:val="39"/>
        </w:numPr>
        <w:jc w:val="both"/>
        <w:rPr>
          <w:rFonts w:ascii="Times New Roman" w:hAnsi="Times New Roman"/>
          <w:color w:val="000000"/>
          <w:sz w:val="24"/>
          <w:szCs w:val="24"/>
        </w:rPr>
      </w:pPr>
      <w:r w:rsidRPr="00210FB4">
        <w:rPr>
          <w:rFonts w:ascii="Times New Roman" w:hAnsi="Times New Roman"/>
          <w:color w:val="000000"/>
          <w:sz w:val="24"/>
          <w:szCs w:val="24"/>
        </w:rPr>
        <w:t>l’implication systématique des représentants des parties pertinentes à toutes les activités programmées dans le cadre de la mise</w:t>
      </w:r>
      <w:r w:rsidR="00A97467">
        <w:rPr>
          <w:rFonts w:ascii="Times New Roman" w:hAnsi="Times New Roman"/>
          <w:color w:val="000000"/>
          <w:sz w:val="24"/>
          <w:szCs w:val="24"/>
        </w:rPr>
        <w:t xml:space="preserve"> en place du cadre national APA ;</w:t>
      </w:r>
      <w:r w:rsidRPr="00210FB4">
        <w:rPr>
          <w:rFonts w:ascii="Times New Roman" w:hAnsi="Times New Roman"/>
          <w:color w:val="000000"/>
          <w:sz w:val="24"/>
          <w:szCs w:val="24"/>
        </w:rPr>
        <w:t xml:space="preserve"> </w:t>
      </w:r>
    </w:p>
    <w:p w14:paraId="6CD350C4" w14:textId="3AE761AF" w:rsidR="00D31C6C" w:rsidRPr="00210FB4" w:rsidRDefault="00D31C6C" w:rsidP="00E50666">
      <w:pPr>
        <w:pStyle w:val="Sansinterligne"/>
        <w:numPr>
          <w:ilvl w:val="0"/>
          <w:numId w:val="39"/>
        </w:numPr>
        <w:jc w:val="both"/>
        <w:rPr>
          <w:rFonts w:ascii="Times New Roman" w:hAnsi="Times New Roman"/>
          <w:sz w:val="24"/>
          <w:szCs w:val="24"/>
        </w:rPr>
      </w:pPr>
      <w:r w:rsidRPr="00210FB4">
        <w:rPr>
          <w:rFonts w:ascii="Times New Roman" w:hAnsi="Times New Roman"/>
          <w:sz w:val="24"/>
          <w:szCs w:val="24"/>
        </w:rPr>
        <w:t>l’élaboration des mesures législati</w:t>
      </w:r>
      <w:r w:rsidR="00A97467">
        <w:rPr>
          <w:rFonts w:ascii="Times New Roman" w:hAnsi="Times New Roman"/>
          <w:sz w:val="24"/>
          <w:szCs w:val="24"/>
        </w:rPr>
        <w:t>ves ;</w:t>
      </w:r>
      <w:r w:rsidRPr="00210FB4">
        <w:rPr>
          <w:rFonts w:ascii="Times New Roman" w:hAnsi="Times New Roman"/>
          <w:sz w:val="24"/>
          <w:szCs w:val="24"/>
        </w:rPr>
        <w:t xml:space="preserve"> </w:t>
      </w:r>
    </w:p>
    <w:p w14:paraId="01CE6884" w14:textId="5ED5F9F2" w:rsidR="00D31C6C" w:rsidRPr="00C059F3" w:rsidRDefault="00D31C6C" w:rsidP="00E50666">
      <w:pPr>
        <w:pStyle w:val="Paragraphedeliste"/>
        <w:numPr>
          <w:ilvl w:val="0"/>
          <w:numId w:val="39"/>
        </w:numPr>
        <w:spacing w:after="0" w:line="240" w:lineRule="auto"/>
        <w:jc w:val="both"/>
        <w:rPr>
          <w:rFonts w:ascii="Times New Roman" w:hAnsi="Times New Roman" w:cs="Times New Roman"/>
          <w:sz w:val="24"/>
          <w:szCs w:val="24"/>
        </w:rPr>
      </w:pPr>
      <w:r w:rsidRPr="00C059F3">
        <w:rPr>
          <w:rFonts w:ascii="Times New Roman" w:hAnsi="Times New Roman" w:cs="Times New Roman"/>
          <w:sz w:val="24"/>
          <w:szCs w:val="24"/>
        </w:rPr>
        <w:t xml:space="preserve">l’élaboration d’un projet visant  la formulation et à la mise en œuvre </w:t>
      </w:r>
      <w:r w:rsidR="00A97467">
        <w:rPr>
          <w:rFonts w:ascii="Times New Roman" w:hAnsi="Times New Roman" w:cs="Times New Roman"/>
          <w:sz w:val="24"/>
          <w:szCs w:val="24"/>
        </w:rPr>
        <w:t>d’un cadre national APA au Togo ;</w:t>
      </w:r>
    </w:p>
    <w:p w14:paraId="668C466D" w14:textId="47534F02" w:rsidR="00D31C6C" w:rsidRPr="00C059F3" w:rsidRDefault="00D31C6C" w:rsidP="00E50666">
      <w:pPr>
        <w:pStyle w:val="Paragraphedeliste"/>
        <w:numPr>
          <w:ilvl w:val="0"/>
          <w:numId w:val="39"/>
        </w:numPr>
        <w:spacing w:after="0" w:line="240" w:lineRule="auto"/>
        <w:jc w:val="both"/>
        <w:rPr>
          <w:rFonts w:ascii="Times New Roman" w:hAnsi="Times New Roman" w:cs="Times New Roman"/>
          <w:bCs/>
          <w:kern w:val="24"/>
          <w:sz w:val="24"/>
          <w:szCs w:val="24"/>
        </w:rPr>
      </w:pPr>
      <w:r w:rsidRPr="00C059F3">
        <w:rPr>
          <w:rFonts w:ascii="Times New Roman" w:hAnsi="Times New Roman" w:cs="Times New Roman"/>
          <w:sz w:val="24"/>
          <w:szCs w:val="24"/>
        </w:rPr>
        <w:t xml:space="preserve">la révision de la stratégie  </w:t>
      </w:r>
      <w:r w:rsidRPr="00C059F3">
        <w:rPr>
          <w:rFonts w:ascii="Times New Roman" w:hAnsi="Times New Roman" w:cs="Times New Roman"/>
          <w:bCs/>
          <w:sz w:val="24"/>
          <w:szCs w:val="24"/>
        </w:rPr>
        <w:t>nationale en matière d’APA au Togo à travers l’adoption d’u</w:t>
      </w:r>
      <w:r w:rsidRPr="00C059F3">
        <w:rPr>
          <w:rFonts w:ascii="Times New Roman" w:hAnsi="Times New Roman" w:cs="Times New Roman"/>
          <w:bCs/>
          <w:kern w:val="24"/>
          <w:sz w:val="24"/>
          <w:szCs w:val="24"/>
        </w:rPr>
        <w:t>ne approche CESP (</w:t>
      </w:r>
      <w:r w:rsidRPr="00C059F3">
        <w:rPr>
          <w:rFonts w:ascii="Times New Roman" w:hAnsi="Times New Roman" w:cs="Times New Roman"/>
          <w:sz w:val="24"/>
          <w:szCs w:val="24"/>
        </w:rPr>
        <w:t xml:space="preserve">communication, éducation et sensibilisation du public) sur </w:t>
      </w:r>
      <w:r w:rsidRPr="00C059F3">
        <w:rPr>
          <w:rFonts w:ascii="Times New Roman" w:hAnsi="Times New Roman" w:cs="Times New Roman"/>
          <w:bCs/>
          <w:kern w:val="24"/>
          <w:sz w:val="24"/>
          <w:szCs w:val="24"/>
        </w:rPr>
        <w:t>les enjeux du mécanisme APA au Togo à l’endroit des services techniques étatiques, des élus du peuple ; des acteurs du secteur privé, de la société civile, des médias</w:t>
      </w:r>
      <w:r w:rsidR="00A97467">
        <w:rPr>
          <w:rFonts w:ascii="Times New Roman" w:hAnsi="Times New Roman" w:cs="Times New Roman"/>
          <w:bCs/>
          <w:kern w:val="24"/>
          <w:sz w:val="24"/>
          <w:szCs w:val="24"/>
        </w:rPr>
        <w:t>,</w:t>
      </w:r>
      <w:r w:rsidRPr="00C059F3">
        <w:rPr>
          <w:rFonts w:ascii="Times New Roman" w:hAnsi="Times New Roman" w:cs="Times New Roman"/>
          <w:bCs/>
          <w:kern w:val="24"/>
          <w:sz w:val="24"/>
          <w:szCs w:val="24"/>
        </w:rPr>
        <w:t xml:space="preserve"> etc.</w:t>
      </w:r>
      <w:r w:rsidR="00A97467">
        <w:rPr>
          <w:rFonts w:ascii="Times New Roman" w:hAnsi="Times New Roman" w:cs="Times New Roman"/>
          <w:bCs/>
          <w:kern w:val="24"/>
          <w:sz w:val="24"/>
          <w:szCs w:val="24"/>
        </w:rPr>
        <w:t> ;</w:t>
      </w:r>
    </w:p>
    <w:p w14:paraId="2E769F77" w14:textId="4C3646FC" w:rsidR="00D31C6C" w:rsidRPr="00C059F3" w:rsidRDefault="00D31C6C" w:rsidP="00A97467">
      <w:pPr>
        <w:pStyle w:val="Paragraphedeliste"/>
        <w:numPr>
          <w:ilvl w:val="0"/>
          <w:numId w:val="39"/>
        </w:numPr>
        <w:autoSpaceDE w:val="0"/>
        <w:autoSpaceDN w:val="0"/>
        <w:adjustRightInd w:val="0"/>
        <w:spacing w:after="0" w:line="240" w:lineRule="auto"/>
        <w:jc w:val="both"/>
        <w:rPr>
          <w:rFonts w:ascii="Times New Roman" w:eastAsia="+mn-ea" w:hAnsi="Times New Roman" w:cs="Times New Roman"/>
          <w:sz w:val="24"/>
          <w:szCs w:val="24"/>
        </w:rPr>
      </w:pPr>
      <w:r w:rsidRPr="00C059F3">
        <w:rPr>
          <w:rFonts w:ascii="Times New Roman" w:hAnsi="Times New Roman" w:cs="Times New Roman"/>
          <w:sz w:val="24"/>
          <w:szCs w:val="24"/>
        </w:rPr>
        <w:t>la d</w:t>
      </w:r>
      <w:r w:rsidRPr="00C059F3">
        <w:rPr>
          <w:rFonts w:ascii="Times New Roman" w:hAnsi="Times New Roman" w:cs="Times New Roman"/>
          <w:bCs/>
          <w:sz w:val="24"/>
          <w:szCs w:val="24"/>
        </w:rPr>
        <w:t xml:space="preserve">éfinition d’un cadre juridique APA précisant les règles nationales en matière d’accès et de partage des avantages dans l’utilisation des ressources génétiques à travers la formation et renforcement des capacités des législateurs sur la compréhension des enjeux du </w:t>
      </w:r>
      <w:r w:rsidR="00A97467" w:rsidRPr="00A97467">
        <w:rPr>
          <w:rFonts w:ascii="Times New Roman" w:hAnsi="Times New Roman" w:cs="Times New Roman"/>
          <w:bCs/>
          <w:sz w:val="24"/>
          <w:szCs w:val="24"/>
        </w:rPr>
        <w:t>protocole de Nagoya</w:t>
      </w:r>
      <w:r w:rsidRPr="00C059F3">
        <w:rPr>
          <w:rFonts w:ascii="Times New Roman" w:hAnsi="Times New Roman" w:cs="Times New Roman"/>
          <w:bCs/>
          <w:sz w:val="24"/>
          <w:szCs w:val="24"/>
        </w:rPr>
        <w:t xml:space="preserve"> sur l’APA, le renforcement des capacités des juristes sur le mécanisme APA, l’</w:t>
      </w:r>
      <w:r w:rsidRPr="00C059F3">
        <w:rPr>
          <w:rFonts w:ascii="Times New Roman" w:hAnsi="Times New Roman" w:cs="Times New Roman"/>
          <w:kern w:val="24"/>
          <w:sz w:val="24"/>
          <w:szCs w:val="24"/>
        </w:rPr>
        <w:t xml:space="preserve">identification puis l’organisation des séances d’IEC au bénéfice des détenteurs des connaissances traditionnelles et des communautés locales qui préservent les ressources génétiques, </w:t>
      </w:r>
      <w:r w:rsidR="00C43706">
        <w:rPr>
          <w:rFonts w:ascii="Times New Roman" w:hAnsi="Times New Roman" w:cs="Times New Roman"/>
          <w:sz w:val="24"/>
          <w:szCs w:val="24"/>
        </w:rPr>
        <w:t>la coordination d’</w:t>
      </w:r>
      <w:r w:rsidRPr="00C059F3">
        <w:rPr>
          <w:rFonts w:ascii="Times New Roman" w:hAnsi="Times New Roman" w:cs="Times New Roman"/>
          <w:sz w:val="24"/>
          <w:szCs w:val="24"/>
        </w:rPr>
        <w:t>élaboration d’un projet de loi APA</w:t>
      </w:r>
      <w:r w:rsidR="00A97467">
        <w:rPr>
          <w:rFonts w:ascii="Times New Roman" w:hAnsi="Times New Roman" w:cs="Times New Roman"/>
          <w:sz w:val="24"/>
          <w:szCs w:val="24"/>
        </w:rPr>
        <w:t xml:space="preserve"> </w:t>
      </w:r>
      <w:r w:rsidRPr="00C059F3">
        <w:rPr>
          <w:rFonts w:ascii="Times New Roman" w:hAnsi="Times New Roman" w:cs="Times New Roman"/>
          <w:sz w:val="24"/>
          <w:szCs w:val="24"/>
        </w:rPr>
        <w:t>;</w:t>
      </w:r>
    </w:p>
    <w:p w14:paraId="17D056E0" w14:textId="18ED5463" w:rsidR="00D31C6C" w:rsidRPr="00C059F3" w:rsidRDefault="00D31C6C" w:rsidP="00A97467">
      <w:pPr>
        <w:pStyle w:val="Paragraphedeliste"/>
        <w:numPr>
          <w:ilvl w:val="0"/>
          <w:numId w:val="39"/>
        </w:numPr>
        <w:autoSpaceDE w:val="0"/>
        <w:autoSpaceDN w:val="0"/>
        <w:adjustRightInd w:val="0"/>
        <w:spacing w:after="0" w:line="240" w:lineRule="auto"/>
        <w:jc w:val="both"/>
        <w:rPr>
          <w:rFonts w:ascii="Times New Roman" w:hAnsi="Times New Roman" w:cs="Times New Roman"/>
          <w:sz w:val="24"/>
          <w:szCs w:val="24"/>
        </w:rPr>
      </w:pPr>
      <w:r w:rsidRPr="00C059F3">
        <w:rPr>
          <w:rFonts w:ascii="Times New Roman" w:hAnsi="Times New Roman" w:cs="Times New Roman"/>
          <w:bCs/>
          <w:sz w:val="24"/>
          <w:szCs w:val="24"/>
        </w:rPr>
        <w:t>la création du cadre institutionnel APA à travers la c</w:t>
      </w:r>
      <w:r w:rsidRPr="00C059F3">
        <w:rPr>
          <w:rFonts w:ascii="Times New Roman" w:hAnsi="Times New Roman" w:cs="Times New Roman"/>
          <w:bCs/>
          <w:kern w:val="24"/>
          <w:sz w:val="24"/>
          <w:szCs w:val="24"/>
        </w:rPr>
        <w:t xml:space="preserve">réation d’un groupe national de travail sur l’APA (GNT-APA) dont le rôle est de faire des propositions techniques devant orienter les prises de décisions en matière d’APA au Togo, la </w:t>
      </w:r>
      <w:r w:rsidRPr="00C059F3">
        <w:rPr>
          <w:rFonts w:ascii="Times New Roman" w:hAnsi="Times New Roman" w:cs="Times New Roman"/>
          <w:kern w:val="24"/>
          <w:sz w:val="24"/>
          <w:szCs w:val="24"/>
        </w:rPr>
        <w:t xml:space="preserve">création d’un </w:t>
      </w:r>
      <w:r w:rsidRPr="00C059F3">
        <w:rPr>
          <w:rFonts w:ascii="Times New Roman" w:eastAsia="+mn-ea" w:hAnsi="Times New Roman" w:cs="Times New Roman"/>
          <w:sz w:val="24"/>
          <w:szCs w:val="24"/>
        </w:rPr>
        <w:t>comité interministériel APA légalement manda</w:t>
      </w:r>
      <w:r w:rsidR="00C43706">
        <w:rPr>
          <w:rFonts w:ascii="Times New Roman" w:eastAsia="+mn-ea" w:hAnsi="Times New Roman" w:cs="Times New Roman"/>
          <w:sz w:val="24"/>
          <w:szCs w:val="24"/>
        </w:rPr>
        <w:t>té (environnement, Agriculture,</w:t>
      </w:r>
      <w:r w:rsidRPr="00C059F3">
        <w:rPr>
          <w:rFonts w:ascii="Times New Roman" w:eastAsia="+mn-ea" w:hAnsi="Times New Roman" w:cs="Times New Roman"/>
          <w:sz w:val="24"/>
          <w:szCs w:val="24"/>
        </w:rPr>
        <w:t xml:space="preserve"> tourisme et culture) chargé d’étudier les demandes d’accès aux </w:t>
      </w:r>
      <w:r w:rsidR="00A97467">
        <w:rPr>
          <w:rFonts w:ascii="Times New Roman" w:eastAsia="+mn-ea" w:hAnsi="Times New Roman" w:cs="Times New Roman"/>
          <w:sz w:val="24"/>
          <w:szCs w:val="24"/>
        </w:rPr>
        <w:t>ressources génétiques</w:t>
      </w:r>
      <w:r w:rsidRPr="00C059F3">
        <w:rPr>
          <w:rFonts w:ascii="Times New Roman" w:eastAsia="+mn-ea" w:hAnsi="Times New Roman" w:cs="Times New Roman"/>
          <w:sz w:val="24"/>
          <w:szCs w:val="24"/>
        </w:rPr>
        <w:t>, l’</w:t>
      </w:r>
      <w:r w:rsidRPr="00C059F3">
        <w:rPr>
          <w:rFonts w:ascii="Times New Roman" w:hAnsi="Times New Roman" w:cs="Times New Roman"/>
          <w:sz w:val="24"/>
          <w:szCs w:val="24"/>
        </w:rPr>
        <w:t>élaboration d’un protocole d’actions synergique des activités du</w:t>
      </w:r>
      <w:r w:rsidR="00A97467" w:rsidRPr="00A97467">
        <w:t xml:space="preserve"> </w:t>
      </w:r>
      <w:r w:rsidR="00A97467" w:rsidRPr="00A97467">
        <w:rPr>
          <w:rFonts w:ascii="Times New Roman" w:hAnsi="Times New Roman" w:cs="Times New Roman"/>
          <w:sz w:val="24"/>
          <w:szCs w:val="24"/>
        </w:rPr>
        <w:t xml:space="preserve">protocole de Nagoya </w:t>
      </w:r>
      <w:r w:rsidRPr="00C059F3">
        <w:rPr>
          <w:rFonts w:ascii="Times New Roman" w:hAnsi="Times New Roman" w:cs="Times New Roman"/>
          <w:sz w:val="24"/>
          <w:szCs w:val="24"/>
        </w:rPr>
        <w:t>APA et du Traité TIRPAA,</w:t>
      </w:r>
    </w:p>
    <w:p w14:paraId="2EA17D28" w14:textId="55817EC1" w:rsidR="00D31C6C" w:rsidRPr="00C059F3" w:rsidRDefault="00D31C6C" w:rsidP="00E50666">
      <w:pPr>
        <w:pStyle w:val="Paragraphedeliste"/>
        <w:numPr>
          <w:ilvl w:val="0"/>
          <w:numId w:val="39"/>
        </w:numPr>
        <w:autoSpaceDE w:val="0"/>
        <w:autoSpaceDN w:val="0"/>
        <w:adjustRightInd w:val="0"/>
        <w:spacing w:after="0" w:line="240" w:lineRule="auto"/>
        <w:jc w:val="both"/>
        <w:rPr>
          <w:rFonts w:ascii="Times New Roman" w:hAnsi="Times New Roman" w:cs="Times New Roman"/>
          <w:sz w:val="24"/>
          <w:szCs w:val="24"/>
        </w:rPr>
      </w:pPr>
      <w:r w:rsidRPr="00C059F3">
        <w:rPr>
          <w:rFonts w:ascii="Times New Roman" w:hAnsi="Times New Roman" w:cs="Times New Roman"/>
          <w:sz w:val="24"/>
          <w:szCs w:val="24"/>
        </w:rPr>
        <w:t>la prise des mesures opérationnelles  et règlementaires APA visant à rendre fonctionnel le système national APA du Togo à travers la nomination des membres de l’ANC, l’équipement en logistique du  point focal APA, l’établissement d’un mécanisme de prise de décision et de gestion de</w:t>
      </w:r>
      <w:r w:rsidR="00A97467">
        <w:rPr>
          <w:rFonts w:ascii="Times New Roman" w:hAnsi="Times New Roman" w:cs="Times New Roman"/>
          <w:sz w:val="24"/>
          <w:szCs w:val="24"/>
        </w:rPr>
        <w:t>s</w:t>
      </w:r>
      <w:r w:rsidRPr="00C059F3">
        <w:rPr>
          <w:rFonts w:ascii="Times New Roman" w:hAnsi="Times New Roman" w:cs="Times New Roman"/>
          <w:sz w:val="24"/>
          <w:szCs w:val="24"/>
        </w:rPr>
        <w:t xml:space="preserve"> ressources génétiques aux niveaux des institutions appropriées, des partenariats avec des ONG, des entreprises locales et autres acteurs locaux dont les activités ont des incidences directes sur l’utilisation et la conservation de ressources génétiques, l’adoption des textes d’application de la loi APA et proposition de règles ou directives nationales en matière d’APA au Togo, la mise en place d’une synergie d’</w:t>
      </w:r>
      <w:r w:rsidR="00A97467">
        <w:rPr>
          <w:rFonts w:ascii="Times New Roman" w:hAnsi="Times New Roman" w:cs="Times New Roman"/>
          <w:sz w:val="24"/>
          <w:szCs w:val="24"/>
        </w:rPr>
        <w:t xml:space="preserve">action (qui doit être formalisée </w:t>
      </w:r>
      <w:r w:rsidRPr="00C059F3">
        <w:rPr>
          <w:rFonts w:ascii="Times New Roman" w:hAnsi="Times New Roman" w:cs="Times New Roman"/>
          <w:sz w:val="24"/>
          <w:szCs w:val="24"/>
        </w:rPr>
        <w:t>par un arrêté interministériel) entre le traité international sur les ressources phytogénétiques pour l’alimentation et l’agriculture (TIRPAA) et l’APA (ITRA &amp; DRF), la mobilisation des fonds supplémentaires pour l’opérationnalisation du cadre institutionnel (Fonds STARDs, BM, PNUD, FNDF</w:t>
      </w:r>
      <w:r w:rsidR="00A97467">
        <w:rPr>
          <w:rFonts w:ascii="Times New Roman" w:hAnsi="Times New Roman" w:cs="Times New Roman"/>
          <w:sz w:val="24"/>
          <w:szCs w:val="24"/>
        </w:rPr>
        <w:t>,</w:t>
      </w:r>
      <w:r w:rsidRPr="00C059F3">
        <w:rPr>
          <w:rFonts w:ascii="Times New Roman" w:hAnsi="Times New Roman" w:cs="Times New Roman"/>
          <w:sz w:val="24"/>
          <w:szCs w:val="24"/>
        </w:rPr>
        <w:t xml:space="preserve"> etc) ;</w:t>
      </w:r>
    </w:p>
    <w:p w14:paraId="044B40B3" w14:textId="312F246C" w:rsidR="00D31C6C" w:rsidRPr="00C059F3" w:rsidRDefault="00D31C6C" w:rsidP="00E50666">
      <w:pPr>
        <w:pStyle w:val="Paragraphedeliste"/>
        <w:numPr>
          <w:ilvl w:val="0"/>
          <w:numId w:val="39"/>
        </w:numPr>
        <w:autoSpaceDE w:val="0"/>
        <w:autoSpaceDN w:val="0"/>
        <w:adjustRightInd w:val="0"/>
        <w:spacing w:after="0" w:line="240" w:lineRule="auto"/>
        <w:jc w:val="both"/>
        <w:rPr>
          <w:rFonts w:ascii="Times New Roman" w:hAnsi="Times New Roman" w:cs="Times New Roman"/>
          <w:bCs/>
          <w:sz w:val="24"/>
          <w:szCs w:val="24"/>
        </w:rPr>
      </w:pPr>
      <w:r w:rsidRPr="00C059F3">
        <w:rPr>
          <w:rFonts w:ascii="Times New Roman" w:hAnsi="Times New Roman" w:cs="Times New Roman"/>
          <w:bCs/>
          <w:sz w:val="24"/>
          <w:szCs w:val="24"/>
        </w:rPr>
        <w:t>la définition d’une approche nationale de prise en compte des connaissances traditionnelles associées aux ressources génétiques à travers l’identification des détenteurs des connaissances traditionnelles associées à l’utilisation des ressources génétiques au Togo (communautés, tradithérapeutes, innovations et pratiques traditionnelles ou coutumières</w:t>
      </w:r>
      <w:r w:rsidR="00A97467">
        <w:rPr>
          <w:rFonts w:ascii="Times New Roman" w:hAnsi="Times New Roman" w:cs="Times New Roman"/>
          <w:bCs/>
          <w:sz w:val="24"/>
          <w:szCs w:val="24"/>
        </w:rPr>
        <w:t>,</w:t>
      </w:r>
      <w:r w:rsidRPr="00C059F3">
        <w:rPr>
          <w:rFonts w:ascii="Times New Roman" w:hAnsi="Times New Roman" w:cs="Times New Roman"/>
          <w:bCs/>
          <w:sz w:val="24"/>
          <w:szCs w:val="24"/>
        </w:rPr>
        <w:t xml:space="preserve"> etc.), l’établissement d’un protocole de travail avec les détenteurs des </w:t>
      </w:r>
      <w:r w:rsidRPr="00C059F3">
        <w:rPr>
          <w:rFonts w:ascii="Times New Roman" w:hAnsi="Times New Roman" w:cs="Times New Roman"/>
          <w:sz w:val="24"/>
          <w:szCs w:val="24"/>
        </w:rPr>
        <w:t>connaissances traditionnelles et de ressources génétiques et les aider à comprendre leurs rôles et responsabilités puis à exercer leurs droits en matière de l’utilisation des ressources génétiques, l’analyse des enjeux de la</w:t>
      </w:r>
      <w:r w:rsidRPr="00C059F3">
        <w:rPr>
          <w:rFonts w:ascii="Times New Roman" w:hAnsi="Times New Roman" w:cs="Times New Roman"/>
          <w:bCs/>
          <w:sz w:val="24"/>
          <w:szCs w:val="24"/>
        </w:rPr>
        <w:t xml:space="preserve"> protection juridique des connaissances, </w:t>
      </w:r>
      <w:r w:rsidR="00A97467">
        <w:rPr>
          <w:rFonts w:ascii="Times New Roman" w:hAnsi="Times New Roman" w:cs="Times New Roman"/>
          <w:bCs/>
          <w:sz w:val="24"/>
          <w:szCs w:val="24"/>
        </w:rPr>
        <w:t>d’</w:t>
      </w:r>
      <w:r w:rsidRPr="00C059F3">
        <w:rPr>
          <w:rFonts w:ascii="Times New Roman" w:hAnsi="Times New Roman" w:cs="Times New Roman"/>
          <w:bCs/>
          <w:sz w:val="24"/>
          <w:szCs w:val="24"/>
        </w:rPr>
        <w:t xml:space="preserve">innovations et </w:t>
      </w:r>
      <w:r w:rsidR="00A97467">
        <w:rPr>
          <w:rFonts w:ascii="Times New Roman" w:hAnsi="Times New Roman" w:cs="Times New Roman"/>
          <w:bCs/>
          <w:sz w:val="24"/>
          <w:szCs w:val="24"/>
        </w:rPr>
        <w:t xml:space="preserve">des </w:t>
      </w:r>
      <w:r w:rsidRPr="00C059F3">
        <w:rPr>
          <w:rFonts w:ascii="Times New Roman" w:hAnsi="Times New Roman" w:cs="Times New Roman"/>
          <w:bCs/>
          <w:sz w:val="24"/>
          <w:szCs w:val="24"/>
        </w:rPr>
        <w:t>pratiques traditionnelles dans l’utilisation des ressources génétiques au Togo ;</w:t>
      </w:r>
    </w:p>
    <w:p w14:paraId="55FDCC59" w14:textId="07324BA6" w:rsidR="00D31C6C" w:rsidRPr="00C059F3" w:rsidRDefault="00D31C6C" w:rsidP="00E50666">
      <w:pPr>
        <w:pStyle w:val="Paragraphedeliste"/>
        <w:numPr>
          <w:ilvl w:val="0"/>
          <w:numId w:val="39"/>
        </w:numPr>
        <w:autoSpaceDE w:val="0"/>
        <w:autoSpaceDN w:val="0"/>
        <w:adjustRightInd w:val="0"/>
        <w:spacing w:after="0" w:line="240" w:lineRule="auto"/>
        <w:jc w:val="both"/>
        <w:rPr>
          <w:rFonts w:ascii="Times New Roman" w:hAnsi="Times New Roman" w:cs="Times New Roman"/>
          <w:bCs/>
          <w:sz w:val="24"/>
          <w:szCs w:val="24"/>
        </w:rPr>
      </w:pPr>
      <w:r w:rsidRPr="00C059F3">
        <w:rPr>
          <w:rFonts w:ascii="Times New Roman" w:hAnsi="Times New Roman" w:cs="Times New Roman"/>
          <w:bCs/>
          <w:sz w:val="24"/>
          <w:szCs w:val="24"/>
        </w:rPr>
        <w:t>la prise en compte de la coopération transfrontalière et communautaire dans le mécanisme APA</w:t>
      </w:r>
      <w:r w:rsidR="002409BD" w:rsidRPr="00C059F3">
        <w:rPr>
          <w:rFonts w:ascii="Times New Roman" w:hAnsi="Times New Roman" w:cs="Times New Roman"/>
          <w:bCs/>
          <w:sz w:val="24"/>
          <w:szCs w:val="24"/>
        </w:rPr>
        <w:t>.</w:t>
      </w:r>
    </w:p>
    <w:p w14:paraId="483177D2" w14:textId="14A89032" w:rsidR="00C43706" w:rsidRDefault="00C43706">
      <w:pPr>
        <w:rPr>
          <w:rFonts w:ascii="Times New Roman" w:hAnsi="Times New Roman" w:cs="Times New Roman"/>
          <w:b/>
          <w:iCs/>
          <w:kern w:val="22"/>
          <w:sz w:val="24"/>
          <w:szCs w:val="24"/>
          <w:lang w:val="fr-CA"/>
        </w:rPr>
      </w:pPr>
    </w:p>
    <w:p w14:paraId="6E55E8A1" w14:textId="5B86F386"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r w:rsidRPr="00210FB4">
        <w:rPr>
          <w:rFonts w:ascii="Times New Roman" w:hAnsi="Times New Roman" w:cs="Times New Roman"/>
          <w:b/>
          <w:iCs/>
          <w:kern w:val="22"/>
          <w:sz w:val="24"/>
          <w:szCs w:val="24"/>
          <w:lang w:val="fr-CA"/>
        </w:rPr>
        <w:t xml:space="preserve">Objectif 17 </w:t>
      </w:r>
      <w:r w:rsidR="00A97467">
        <w:rPr>
          <w:rFonts w:ascii="Times New Roman" w:hAnsi="Times New Roman" w:cs="Times New Roman"/>
          <w:b/>
          <w:iCs/>
          <w:kern w:val="22"/>
          <w:sz w:val="24"/>
          <w:szCs w:val="24"/>
          <w:lang w:val="fr-CA"/>
        </w:rPr>
        <w:t>d’Aichi pour la biodiversité : l</w:t>
      </w:r>
      <w:r w:rsidRPr="00210FB4">
        <w:rPr>
          <w:rFonts w:ascii="Times New Roman" w:hAnsi="Times New Roman" w:cs="Times New Roman"/>
          <w:b/>
          <w:iCs/>
          <w:kern w:val="22"/>
          <w:sz w:val="24"/>
          <w:szCs w:val="24"/>
          <w:lang w:val="fr-CA"/>
        </w:rPr>
        <w:t>es stratégies et plans d’action nationaux pour la diversité biologique</w:t>
      </w:r>
    </w:p>
    <w:p w14:paraId="70CA53EF" w14:textId="77777777" w:rsidR="00D31C6C" w:rsidRPr="00210FB4" w:rsidRDefault="00D31C6C" w:rsidP="00210FB4">
      <w:pPr>
        <w:pStyle w:val="Commentaire"/>
        <w:spacing w:after="0"/>
        <w:jc w:val="both"/>
        <w:rPr>
          <w:rFonts w:ascii="Times New Roman" w:hAnsi="Times New Roman" w:cs="Times New Roman"/>
          <w:i/>
          <w:iCs/>
          <w:sz w:val="24"/>
          <w:szCs w:val="24"/>
          <w:lang w:val="fr-CA"/>
        </w:rPr>
      </w:pPr>
    </w:p>
    <w:p w14:paraId="1D02E3F3" w14:textId="17B297F5" w:rsidR="00A05444" w:rsidRDefault="00D31C6C" w:rsidP="00210FB4">
      <w:pPr>
        <w:autoSpaceDE w:val="0"/>
        <w:autoSpaceDN w:val="0"/>
        <w:adjustRightInd w:val="0"/>
        <w:spacing w:after="0" w:line="240" w:lineRule="auto"/>
        <w:jc w:val="both"/>
        <w:rPr>
          <w:rFonts w:ascii="Times New Roman" w:hAnsi="Times New Roman" w:cs="Times New Roman"/>
          <w:iCs/>
          <w:kern w:val="22"/>
          <w:sz w:val="24"/>
          <w:szCs w:val="24"/>
          <w:lang w:val="fr-CA"/>
        </w:rPr>
      </w:pPr>
      <w:r w:rsidRPr="00210FB4">
        <w:rPr>
          <w:rFonts w:ascii="Times New Roman" w:hAnsi="Times New Roman" w:cs="Times New Roman"/>
          <w:iCs/>
          <w:kern w:val="22"/>
          <w:sz w:val="24"/>
          <w:szCs w:val="24"/>
          <w:lang w:val="fr-CA"/>
        </w:rPr>
        <w:t xml:space="preserve">Le Togo a élaboré en 2003 </w:t>
      </w:r>
      <w:r w:rsidR="00A97467">
        <w:rPr>
          <w:rFonts w:ascii="Times New Roman" w:hAnsi="Times New Roman" w:cs="Times New Roman"/>
          <w:iCs/>
          <w:kern w:val="22"/>
          <w:sz w:val="24"/>
          <w:szCs w:val="24"/>
          <w:lang w:val="fr-CA"/>
        </w:rPr>
        <w:t>sa stratégie nationale pour la conservation de la diversité b</w:t>
      </w:r>
      <w:r w:rsidRPr="00210FB4">
        <w:rPr>
          <w:rFonts w:ascii="Times New Roman" w:hAnsi="Times New Roman" w:cs="Times New Roman"/>
          <w:iCs/>
          <w:kern w:val="22"/>
          <w:sz w:val="24"/>
          <w:szCs w:val="24"/>
          <w:lang w:val="fr-CA"/>
        </w:rPr>
        <w:t xml:space="preserve">iologique assortie d’un Plan d’Action National. L’objectif poursuivi était de contribuer à réduire substantiellement la perte de la diversité biologique. Cependant, les progrès réalisés dans la mise en œuvre de l’objectif de la CDB et les efforts menés ainsi que les cibles atteints sont loin de réduire le rythme de la perte de la diversité biologique auquel le pays fait face. Dès lors, la SPANB 2011-2020 est élaborée en prenant en compte </w:t>
      </w:r>
      <w:r w:rsidRPr="00210FB4">
        <w:rPr>
          <w:rFonts w:ascii="Times New Roman" w:hAnsi="Times New Roman" w:cs="Times New Roman"/>
          <w:iCs/>
          <w:sz w:val="24"/>
          <w:szCs w:val="24"/>
          <w:lang w:val="fr-CA"/>
        </w:rPr>
        <w:t xml:space="preserve">en compte les forces et les faiblesses de la SPANB (2003-2010). Elle se </w:t>
      </w:r>
      <w:r w:rsidRPr="00210FB4">
        <w:rPr>
          <w:rFonts w:ascii="Times New Roman" w:hAnsi="Times New Roman" w:cs="Times New Roman"/>
          <w:iCs/>
          <w:kern w:val="22"/>
          <w:sz w:val="24"/>
          <w:szCs w:val="24"/>
          <w:lang w:val="fr-CA"/>
        </w:rPr>
        <w:t>veut un cadre de large concertation avec toutes les parties prenantes. En effet, la stratégie 2011-2020 vise à être mise en œuvre non seulement par l’État mais aussi par les collectivités locales et les différents acteurs de la société civile. C’est aussi pourquoi lors de la définition des objectifs nationaux, un effort a été fait pour mettre en synergie et en cohérence les différentes stratégies nationales et les différents plans d’action existants dans le domaine de la biodiversité avec le souci d’améliorer leur articulation et de leur donner une meilleure efficacité. C’est dans cette optique que la stratégie nationale et plan d’action pour la biodiversité est élaboré</w:t>
      </w:r>
      <w:r w:rsidR="00C43706">
        <w:rPr>
          <w:rFonts w:ascii="Times New Roman" w:hAnsi="Times New Roman" w:cs="Times New Roman"/>
          <w:iCs/>
          <w:kern w:val="22"/>
          <w:sz w:val="24"/>
          <w:szCs w:val="24"/>
          <w:lang w:val="fr-CA"/>
        </w:rPr>
        <w:t>e</w:t>
      </w:r>
      <w:r w:rsidRPr="00210FB4">
        <w:rPr>
          <w:rFonts w:ascii="Times New Roman" w:hAnsi="Times New Roman" w:cs="Times New Roman"/>
          <w:iCs/>
          <w:kern w:val="22"/>
          <w:sz w:val="24"/>
          <w:szCs w:val="24"/>
          <w:lang w:val="fr-CA"/>
        </w:rPr>
        <w:t xml:space="preserve"> sur la base du Plan stratégique 2011-2020 et ses objectifs</w:t>
      </w:r>
      <w:r w:rsidR="00A05444">
        <w:rPr>
          <w:rFonts w:ascii="Times New Roman" w:hAnsi="Times New Roman" w:cs="Times New Roman"/>
          <w:iCs/>
          <w:kern w:val="22"/>
          <w:sz w:val="24"/>
          <w:szCs w:val="24"/>
          <w:lang w:val="fr-CA"/>
        </w:rPr>
        <w:t xml:space="preserve"> d’Aichi comme un cadre souple.</w:t>
      </w:r>
    </w:p>
    <w:p w14:paraId="12EF98F4" w14:textId="77777777" w:rsidR="00A05444" w:rsidRDefault="00A05444" w:rsidP="00210FB4">
      <w:pPr>
        <w:autoSpaceDE w:val="0"/>
        <w:autoSpaceDN w:val="0"/>
        <w:adjustRightInd w:val="0"/>
        <w:spacing w:after="0" w:line="240" w:lineRule="auto"/>
        <w:jc w:val="both"/>
        <w:rPr>
          <w:rFonts w:ascii="Times New Roman" w:hAnsi="Times New Roman" w:cs="Times New Roman"/>
          <w:iCs/>
          <w:kern w:val="22"/>
          <w:sz w:val="24"/>
          <w:szCs w:val="24"/>
          <w:lang w:val="fr-CA"/>
        </w:rPr>
      </w:pPr>
    </w:p>
    <w:p w14:paraId="0CCB7A8C" w14:textId="29C2FF48" w:rsidR="00D31C6C" w:rsidRDefault="00D31C6C" w:rsidP="00210FB4">
      <w:pPr>
        <w:autoSpaceDE w:val="0"/>
        <w:autoSpaceDN w:val="0"/>
        <w:adjustRightInd w:val="0"/>
        <w:spacing w:after="0" w:line="240" w:lineRule="auto"/>
        <w:jc w:val="both"/>
        <w:rPr>
          <w:rFonts w:ascii="Times New Roman" w:hAnsi="Times New Roman" w:cs="Times New Roman"/>
          <w:bCs/>
          <w:color w:val="000000"/>
          <w:sz w:val="24"/>
          <w:szCs w:val="24"/>
        </w:rPr>
      </w:pPr>
      <w:r w:rsidRPr="00210FB4">
        <w:rPr>
          <w:rFonts w:ascii="Times New Roman" w:hAnsi="Times New Roman" w:cs="Times New Roman"/>
          <w:color w:val="000000"/>
          <w:sz w:val="24"/>
          <w:szCs w:val="24"/>
        </w:rPr>
        <w:t>Le</w:t>
      </w:r>
      <w:r w:rsidRPr="00210FB4">
        <w:rPr>
          <w:rFonts w:ascii="Times New Roman" w:hAnsi="Times New Roman" w:cs="Times New Roman"/>
          <w:sz w:val="24"/>
          <w:szCs w:val="24"/>
        </w:rPr>
        <w:t xml:space="preserve">s objectifs nationaux sont basés sur le Plan Stratégique pour la diversité biologique 2011-2020 et ses objectifs d’Aichi conformément aux priorités et aux capacités nationales, à l’état et aux tendances de la diversité biologique. </w:t>
      </w:r>
      <w:r w:rsidRPr="00210FB4">
        <w:rPr>
          <w:rFonts w:ascii="Times New Roman" w:hAnsi="Times New Roman" w:cs="Times New Roman"/>
          <w:color w:val="000000"/>
          <w:sz w:val="24"/>
          <w:szCs w:val="24"/>
        </w:rPr>
        <w:t>Ces objectifs nationaux mettent l’accent sur le r</w:t>
      </w:r>
      <w:r w:rsidRPr="00210FB4">
        <w:rPr>
          <w:rFonts w:ascii="Times New Roman" w:hAnsi="Times New Roman" w:cs="Times New Roman"/>
          <w:sz w:val="24"/>
          <w:szCs w:val="24"/>
        </w:rPr>
        <w:t xml:space="preserve">enforcement des capacités juridiques et institutionnelles, la sécurisation du dispositif national de conservation et le partage équitable des ressources issues de la biodiversité. Ils font des questions spécifiques à la préservation, la restauration et la valorisation de la diversité biologique, une priorité nationale afin de maintenir, à long terme, le fonctionnement des écosystèmes et leurs capacités de résilience au changement climatique. </w:t>
      </w:r>
      <w:r w:rsidR="00A97467">
        <w:rPr>
          <w:rFonts w:ascii="Times New Roman" w:hAnsi="Times New Roman" w:cs="Times New Roman"/>
          <w:iCs/>
          <w:kern w:val="22"/>
          <w:sz w:val="24"/>
          <w:szCs w:val="24"/>
          <w:lang w:val="fr-CA"/>
        </w:rPr>
        <w:t xml:space="preserve">Elle </w:t>
      </w:r>
      <w:r w:rsidRPr="00210FB4">
        <w:rPr>
          <w:rFonts w:ascii="Times New Roman" w:hAnsi="Times New Roman" w:cs="Times New Roman"/>
          <w:iCs/>
          <w:kern w:val="22"/>
          <w:sz w:val="24"/>
          <w:szCs w:val="24"/>
          <w:lang w:val="fr-CA"/>
        </w:rPr>
        <w:t xml:space="preserve">implique tous les acteurs de tous les secteurs d’activité. Son élaboration est intersectorielle, participative et inclusive. </w:t>
      </w:r>
      <w:r w:rsidRPr="00210FB4">
        <w:rPr>
          <w:rFonts w:ascii="Times New Roman" w:hAnsi="Times New Roman" w:cs="Times New Roman"/>
          <w:sz w:val="24"/>
          <w:szCs w:val="24"/>
        </w:rPr>
        <w:t xml:space="preserve">La vision de la SPANB 2011-2020 est assortie de </w:t>
      </w:r>
      <w:r w:rsidRPr="00210FB4">
        <w:rPr>
          <w:rFonts w:ascii="Times New Roman" w:hAnsi="Times New Roman" w:cs="Times New Roman"/>
          <w:color w:val="000000"/>
          <w:sz w:val="24"/>
          <w:szCs w:val="24"/>
        </w:rPr>
        <w:t xml:space="preserve">10 principes directeurs devant guider la conservation et l’utilisation durables de la diversité biologique togolaise. Ce sont : </w:t>
      </w:r>
      <w:r w:rsidRPr="00210FB4">
        <w:rPr>
          <w:rFonts w:ascii="Times New Roman" w:hAnsi="Times New Roman" w:cs="Times New Roman"/>
          <w:bCs/>
          <w:color w:val="000000"/>
          <w:sz w:val="24"/>
          <w:szCs w:val="24"/>
        </w:rPr>
        <w:t xml:space="preserve">Gouvernance, Responsabilités collective et éthique, Conscience individuelle et collective, </w:t>
      </w:r>
      <w:r w:rsidRPr="00210FB4">
        <w:rPr>
          <w:rFonts w:ascii="Times New Roman" w:hAnsi="Times New Roman" w:cs="Times New Roman"/>
          <w:color w:val="000000"/>
          <w:sz w:val="24"/>
          <w:szCs w:val="24"/>
        </w:rPr>
        <w:t xml:space="preserve">Partage des bénéfices, </w:t>
      </w:r>
      <w:r w:rsidRPr="00210FB4">
        <w:rPr>
          <w:rFonts w:ascii="Times New Roman" w:hAnsi="Times New Roman" w:cs="Times New Roman"/>
          <w:bCs/>
          <w:color w:val="000000"/>
          <w:sz w:val="24"/>
          <w:szCs w:val="24"/>
        </w:rPr>
        <w:t xml:space="preserve">Internalisation des coûts environnementaux, Conservation </w:t>
      </w:r>
      <w:r w:rsidRPr="00210FB4">
        <w:rPr>
          <w:rFonts w:ascii="Times New Roman" w:hAnsi="Times New Roman" w:cs="Times New Roman"/>
          <w:bCs/>
          <w:i/>
          <w:color w:val="000000"/>
          <w:sz w:val="24"/>
          <w:szCs w:val="24"/>
        </w:rPr>
        <w:t>in</w:t>
      </w:r>
      <w:r w:rsidRPr="00210FB4">
        <w:rPr>
          <w:rFonts w:ascii="Times New Roman" w:hAnsi="Times New Roman" w:cs="Times New Roman"/>
          <w:bCs/>
          <w:color w:val="000000"/>
          <w:sz w:val="24"/>
          <w:szCs w:val="24"/>
        </w:rPr>
        <w:t xml:space="preserve"> et </w:t>
      </w:r>
      <w:r w:rsidRPr="00210FB4">
        <w:rPr>
          <w:rFonts w:ascii="Times New Roman" w:hAnsi="Times New Roman" w:cs="Times New Roman"/>
          <w:bCs/>
          <w:i/>
          <w:color w:val="000000"/>
          <w:sz w:val="24"/>
          <w:szCs w:val="24"/>
        </w:rPr>
        <w:t xml:space="preserve">ex situ, </w:t>
      </w:r>
      <w:r w:rsidRPr="00210FB4">
        <w:rPr>
          <w:rFonts w:ascii="Times New Roman" w:hAnsi="Times New Roman" w:cs="Times New Roman"/>
          <w:bCs/>
          <w:color w:val="000000"/>
          <w:sz w:val="24"/>
          <w:szCs w:val="24"/>
        </w:rPr>
        <w:t xml:space="preserve"> Priorité à la biodiversité locale, Utilisation durable de la biodiversité, Prises de décisions pour la biodiversité et Coopération.</w:t>
      </w:r>
    </w:p>
    <w:p w14:paraId="7528FF48" w14:textId="77777777" w:rsidR="00210FB4" w:rsidRPr="00210FB4" w:rsidRDefault="00210FB4" w:rsidP="00210FB4">
      <w:pPr>
        <w:autoSpaceDE w:val="0"/>
        <w:autoSpaceDN w:val="0"/>
        <w:adjustRightInd w:val="0"/>
        <w:spacing w:after="0" w:line="240" w:lineRule="auto"/>
        <w:jc w:val="both"/>
        <w:rPr>
          <w:rFonts w:ascii="Times New Roman" w:hAnsi="Times New Roman" w:cs="Times New Roman"/>
          <w:bCs/>
          <w:color w:val="000000"/>
          <w:sz w:val="24"/>
          <w:szCs w:val="24"/>
        </w:rPr>
      </w:pPr>
    </w:p>
    <w:p w14:paraId="40D676BA" w14:textId="73A98C38" w:rsidR="00A05444" w:rsidRDefault="00D31C6C" w:rsidP="00210FB4">
      <w:pPr>
        <w:pStyle w:val="Commentaire"/>
        <w:spacing w:after="0"/>
        <w:jc w:val="both"/>
        <w:rPr>
          <w:rFonts w:ascii="Times New Roman" w:hAnsi="Times New Roman" w:cs="Times New Roman"/>
          <w:sz w:val="24"/>
          <w:szCs w:val="24"/>
        </w:rPr>
      </w:pPr>
      <w:r w:rsidRPr="00210FB4">
        <w:rPr>
          <w:rFonts w:ascii="Times New Roman" w:hAnsi="Times New Roman" w:cs="Times New Roman"/>
          <w:sz w:val="24"/>
          <w:szCs w:val="24"/>
        </w:rPr>
        <w:t>Pour faciliter la mise en œuvre du SPANB 2011-2020, une structure de gestion a été mise en place et est constituée de : (i) le gouvernement qui à travers le ministère chargé de l'Environnement et des ressources forestières, l'Agence Nationale de Gestion de l'Environnement, les Cellules chargées de l'environnement au sein des Ministères techniques, des directions régionales et préfectorales, le point focal national de la Convention sur la Diversité Biologique, la CNDD s’engage à rendre disponible les instruments juridiques et d’adapter le cadre de conservation et d'utilisation durables de la biodiversité ; (ii) les collectivités territoriales qui  sont appelé</w:t>
      </w:r>
      <w:r w:rsidR="00C43706">
        <w:rPr>
          <w:rFonts w:ascii="Times New Roman" w:hAnsi="Times New Roman" w:cs="Times New Roman"/>
          <w:sz w:val="24"/>
          <w:szCs w:val="24"/>
        </w:rPr>
        <w:t>e</w:t>
      </w:r>
      <w:r w:rsidRPr="00210FB4">
        <w:rPr>
          <w:rFonts w:ascii="Times New Roman" w:hAnsi="Times New Roman" w:cs="Times New Roman"/>
          <w:sz w:val="24"/>
          <w:szCs w:val="24"/>
        </w:rPr>
        <w:t>s à mettre en œuvre des actions développées dans le plan d’action, ses programmes, projets, etc ; (iii) le secteur privé notamment les entreprises qui peuvent intervenir dans la mise en œuvre de la SPANB 2011-2020 par le biais de leurs regroupements, avec l’aide des chambres consulaires (chambres de métiers, d'agriculture, du commerc</w:t>
      </w:r>
      <w:r w:rsidR="00A05444">
        <w:rPr>
          <w:rFonts w:ascii="Times New Roman" w:hAnsi="Times New Roman" w:cs="Times New Roman"/>
          <w:sz w:val="24"/>
          <w:szCs w:val="24"/>
        </w:rPr>
        <w:t>e, d'industrie, patronat) ; (iv</w:t>
      </w:r>
      <w:r w:rsidRPr="00210FB4">
        <w:rPr>
          <w:rFonts w:ascii="Times New Roman" w:hAnsi="Times New Roman" w:cs="Times New Roman"/>
          <w:sz w:val="24"/>
          <w:szCs w:val="24"/>
        </w:rPr>
        <w:t xml:space="preserve">) Les associations, fondations, syndicats, gestionnaires d’aires protégées qui sont aussi des acteurs concernés par </w:t>
      </w:r>
      <w:r w:rsidR="00A97467">
        <w:rPr>
          <w:rFonts w:ascii="Times New Roman" w:hAnsi="Times New Roman" w:cs="Times New Roman"/>
          <w:sz w:val="24"/>
          <w:szCs w:val="24"/>
        </w:rPr>
        <w:t xml:space="preserve">la </w:t>
      </w:r>
      <w:r w:rsidRPr="00210FB4">
        <w:rPr>
          <w:rFonts w:ascii="Times New Roman" w:hAnsi="Times New Roman" w:cs="Times New Roman"/>
          <w:sz w:val="24"/>
          <w:szCs w:val="24"/>
        </w:rPr>
        <w:t>SPNAB 2011-2020 à travers leurs implications et responsabilités en matière de formation, de sensibilisation, d’accompagnement de projets, de gestion des territoires et autres actions concrètes de terrain sont incontournables pour la gestion durable</w:t>
      </w:r>
      <w:r w:rsidR="00A05444">
        <w:rPr>
          <w:rFonts w:ascii="Times New Roman" w:hAnsi="Times New Roman" w:cs="Times New Roman"/>
          <w:sz w:val="24"/>
          <w:szCs w:val="24"/>
        </w:rPr>
        <w:t xml:space="preserve"> de la diversité biologique ; (</w:t>
      </w:r>
      <w:r w:rsidRPr="00210FB4">
        <w:rPr>
          <w:rFonts w:ascii="Times New Roman" w:hAnsi="Times New Roman" w:cs="Times New Roman"/>
          <w:sz w:val="24"/>
          <w:szCs w:val="24"/>
        </w:rPr>
        <w:t>v) les institutions de recherche et de formation qui sont de façon transversale présents à tous les niveaux en matière de gestion de l'environnement et de conservation de la biodiversité et (v</w:t>
      </w:r>
      <w:r w:rsidR="00A05444">
        <w:rPr>
          <w:rFonts w:ascii="Times New Roman" w:hAnsi="Times New Roman" w:cs="Times New Roman"/>
          <w:sz w:val="24"/>
          <w:szCs w:val="24"/>
        </w:rPr>
        <w:t>i</w:t>
      </w:r>
      <w:r w:rsidRPr="00210FB4">
        <w:rPr>
          <w:rFonts w:ascii="Times New Roman" w:hAnsi="Times New Roman" w:cs="Times New Roman"/>
          <w:sz w:val="24"/>
          <w:szCs w:val="24"/>
        </w:rPr>
        <w:t>) les partenaires techniques et financiers (PTF) qui contribuent à l’atteinte des objectifs de la SPANB plus efficacement.</w:t>
      </w:r>
    </w:p>
    <w:p w14:paraId="7E9583ED" w14:textId="77777777" w:rsidR="00A05444" w:rsidRDefault="00A05444" w:rsidP="00210FB4">
      <w:pPr>
        <w:pStyle w:val="Commentaire"/>
        <w:spacing w:after="0"/>
        <w:jc w:val="both"/>
        <w:rPr>
          <w:rFonts w:ascii="Times New Roman" w:hAnsi="Times New Roman" w:cs="Times New Roman"/>
          <w:sz w:val="24"/>
          <w:szCs w:val="24"/>
        </w:rPr>
      </w:pPr>
    </w:p>
    <w:p w14:paraId="48F30A71" w14:textId="614FCF03" w:rsidR="00D31C6C" w:rsidRDefault="00D31C6C" w:rsidP="00210FB4">
      <w:pPr>
        <w:pStyle w:val="Commentaire"/>
        <w:spacing w:after="0"/>
        <w:jc w:val="both"/>
        <w:rPr>
          <w:rFonts w:ascii="Times New Roman" w:hAnsi="Times New Roman" w:cs="Times New Roman"/>
          <w:sz w:val="24"/>
          <w:szCs w:val="24"/>
        </w:rPr>
      </w:pPr>
      <w:r w:rsidRPr="00210FB4">
        <w:rPr>
          <w:rFonts w:ascii="Times New Roman" w:hAnsi="Times New Roman" w:cs="Times New Roman"/>
          <w:sz w:val="24"/>
          <w:szCs w:val="24"/>
        </w:rPr>
        <w:t>Il faut noter aussi l’élaboration d’un plan de communication comme action pouvant/ay</w:t>
      </w:r>
      <w:r w:rsidR="00A97467">
        <w:rPr>
          <w:rFonts w:ascii="Times New Roman" w:hAnsi="Times New Roman" w:cs="Times New Roman"/>
          <w:sz w:val="24"/>
          <w:szCs w:val="24"/>
        </w:rPr>
        <w:t>ant facilité la mise en œuvre de la</w:t>
      </w:r>
      <w:r w:rsidRPr="00210FB4">
        <w:rPr>
          <w:rFonts w:ascii="Times New Roman" w:hAnsi="Times New Roman" w:cs="Times New Roman"/>
          <w:sz w:val="24"/>
          <w:szCs w:val="24"/>
        </w:rPr>
        <w:t xml:space="preserve"> SPANB 2011-2020. En effet</w:t>
      </w:r>
      <w:r w:rsidR="00C43706">
        <w:rPr>
          <w:rFonts w:ascii="Times New Roman" w:hAnsi="Times New Roman" w:cs="Times New Roman"/>
          <w:sz w:val="24"/>
          <w:szCs w:val="24"/>
        </w:rPr>
        <w:t>,</w:t>
      </w:r>
      <w:r w:rsidRPr="00210FB4">
        <w:rPr>
          <w:rFonts w:ascii="Times New Roman" w:hAnsi="Times New Roman" w:cs="Times New Roman"/>
          <w:sz w:val="24"/>
          <w:szCs w:val="24"/>
        </w:rPr>
        <w:t xml:space="preserve"> compte tenu du déficit de communication identifié comme l’une des causes de l</w:t>
      </w:r>
      <w:r w:rsidR="00A97467">
        <w:rPr>
          <w:rFonts w:ascii="Times New Roman" w:hAnsi="Times New Roman" w:cs="Times New Roman"/>
          <w:sz w:val="24"/>
          <w:szCs w:val="24"/>
        </w:rPr>
        <w:t xml:space="preserve">’échec dans la mise en œuvre de la stratégie nationale pour la conservation de la diversité biologisue </w:t>
      </w:r>
      <w:r w:rsidRPr="00210FB4">
        <w:rPr>
          <w:rFonts w:ascii="Times New Roman" w:hAnsi="Times New Roman" w:cs="Times New Roman"/>
          <w:sz w:val="24"/>
          <w:szCs w:val="24"/>
        </w:rPr>
        <w:t>2003, l’élaboration d’un plan de communication pour la SPANB 2011-2020 a été notée important et urgent. La mise en œuvre de plan de communication se justifie par le souci d’informer et de sensibiliser la population togolaise sur les enjeux de la biodiversité notamment le renforcement des capacités individuelles et collectives pour la conservation et l’utilisation durable de l</w:t>
      </w:r>
      <w:r w:rsidR="00210FB4">
        <w:rPr>
          <w:rFonts w:ascii="Times New Roman" w:hAnsi="Times New Roman" w:cs="Times New Roman"/>
          <w:sz w:val="24"/>
          <w:szCs w:val="24"/>
        </w:rPr>
        <w:t>a diversité biologique au Togo.</w:t>
      </w:r>
    </w:p>
    <w:p w14:paraId="2EE467E5" w14:textId="77777777" w:rsidR="00210FB4" w:rsidRPr="00210FB4" w:rsidRDefault="00210FB4" w:rsidP="00210FB4">
      <w:pPr>
        <w:pStyle w:val="Commentaire"/>
        <w:spacing w:after="0"/>
        <w:jc w:val="both"/>
        <w:rPr>
          <w:rFonts w:ascii="Times New Roman" w:hAnsi="Times New Roman" w:cs="Times New Roman"/>
          <w:iCs/>
          <w:sz w:val="24"/>
          <w:szCs w:val="24"/>
          <w:lang w:val="fr-CA"/>
        </w:rPr>
      </w:pPr>
    </w:p>
    <w:p w14:paraId="0B7283AD" w14:textId="152FD7AB" w:rsidR="00A05444" w:rsidRDefault="00C43706" w:rsidP="00210FB4">
      <w:pPr>
        <w:pStyle w:val="Default"/>
        <w:jc w:val="both"/>
        <w:rPr>
          <w:bCs/>
        </w:rPr>
      </w:pPr>
      <w:r>
        <w:rPr>
          <w:iCs/>
          <w:kern w:val="22"/>
          <w:lang w:val="fr-CA"/>
        </w:rPr>
        <w:t xml:space="preserve">Pour </w:t>
      </w:r>
      <w:r w:rsidR="00D31C6C" w:rsidRPr="00C43706">
        <w:rPr>
          <w:iCs/>
          <w:lang w:val="fr-CA"/>
        </w:rPr>
        <w:t xml:space="preserve">évaluer l’efficacité de la SPANB </w:t>
      </w:r>
      <w:r w:rsidR="00D31C6C" w:rsidRPr="00C43706">
        <w:t>2011-</w:t>
      </w:r>
      <w:r w:rsidR="00D31C6C" w:rsidRPr="00210FB4">
        <w:t>2020, un mécanisme de suivi a été mise en place. La plateforme des actions à mener et le plan d’action sont avant tout des tableaux de bord des indicateurs de suivi de mise en œuvre de la SPANB 2011-2020. Le comité national de biodiversité est l’organe prévu pour s’assurer du bon déroulement du dispositif de pilotage et d’animation de l’ensemble du processus de mise en œuvre de la stratégie. Il est chargé du suivi de la SPANB et de ses objectifs. Il examine le rapport annuel de mise en œuvre et le rapport d’évaluation à mi-parcours de la SPANB. Les éléments de suivi sont les indicateurs de suivi des effets exprimés dans la p</w:t>
      </w:r>
      <w:r w:rsidR="00D31C6C" w:rsidRPr="00210FB4">
        <w:rPr>
          <w:bCs/>
        </w:rPr>
        <w:t>lateforme des actions stratégiques pour la conservation et l’utilisation durables de la biodiv</w:t>
      </w:r>
      <w:r w:rsidR="00A05444">
        <w:rPr>
          <w:bCs/>
        </w:rPr>
        <w:t>ersité indiquées dans la SPANB.</w:t>
      </w:r>
    </w:p>
    <w:p w14:paraId="43324243" w14:textId="77777777" w:rsidR="00A05444" w:rsidRDefault="00A05444" w:rsidP="00210FB4">
      <w:pPr>
        <w:pStyle w:val="Default"/>
        <w:jc w:val="both"/>
        <w:rPr>
          <w:bCs/>
        </w:rPr>
      </w:pPr>
    </w:p>
    <w:p w14:paraId="7A24E9F0" w14:textId="77777777" w:rsidR="00D31C6C" w:rsidRDefault="00D31C6C" w:rsidP="00210FB4">
      <w:pPr>
        <w:pStyle w:val="Default"/>
        <w:jc w:val="both"/>
        <w:rPr>
          <w:bCs/>
        </w:rPr>
      </w:pPr>
      <w:r w:rsidRPr="00210FB4">
        <w:rPr>
          <w:bCs/>
        </w:rPr>
        <w:t>La SPANB utilisera le cadre de concertation existante au Togo qui est la Commission Nationale de Développement Durable (CNDD) mis en place par décret N°2011-016/PR du 12 janvier 2011. Cette structure est représentée au niveau communal, préfectoral et régional au sein des commissions locales de développement durable (CRDD, CPDD, CCDD). Ces structures sont des créneaux qui permettront de partir de la base et de développer des consensus nationaux sur la conservation et l’utilisation durable des ressources biologiques. La composition de la CNDD prévoit déjà l’inclusion du président du comité national biodiversité comme membre. Le comité national de biodiversité peut ainsi associer la CNDD et ses démembrements au suivi et à l’évaluation de la SPANB.</w:t>
      </w:r>
    </w:p>
    <w:p w14:paraId="752FA813" w14:textId="77777777" w:rsidR="00210FB4" w:rsidRPr="00210FB4" w:rsidRDefault="00210FB4" w:rsidP="00210FB4">
      <w:pPr>
        <w:pStyle w:val="Default"/>
        <w:jc w:val="both"/>
      </w:pPr>
    </w:p>
    <w:p w14:paraId="404FE5E6" w14:textId="113CA924" w:rsidR="00A05444"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iCs/>
          <w:kern w:val="22"/>
          <w:sz w:val="24"/>
          <w:szCs w:val="24"/>
          <w:lang w:val="fr-CA"/>
        </w:rPr>
        <w:t>En 2016</w:t>
      </w:r>
      <w:r w:rsidR="00C43706">
        <w:rPr>
          <w:rFonts w:ascii="Times New Roman" w:hAnsi="Times New Roman" w:cs="Times New Roman"/>
          <w:iCs/>
          <w:kern w:val="22"/>
          <w:sz w:val="24"/>
          <w:szCs w:val="24"/>
          <w:lang w:val="fr-CA"/>
        </w:rPr>
        <w:t xml:space="preserve"> </w:t>
      </w:r>
      <w:r w:rsidRPr="00210FB4">
        <w:rPr>
          <w:rFonts w:ascii="Times New Roman" w:hAnsi="Times New Roman" w:cs="Times New Roman"/>
          <w:iCs/>
          <w:kern w:val="22"/>
          <w:sz w:val="24"/>
          <w:szCs w:val="24"/>
          <w:lang w:val="fr-CA"/>
        </w:rPr>
        <w:t>les progrès accomplis dans la mise en œuvre du plan stratégique 2011-2020 pour la diversité biologique ont été évalué</w:t>
      </w:r>
      <w:r w:rsidR="00E4370C">
        <w:rPr>
          <w:rFonts w:ascii="Times New Roman" w:hAnsi="Times New Roman" w:cs="Times New Roman"/>
          <w:iCs/>
          <w:kern w:val="22"/>
          <w:sz w:val="24"/>
          <w:szCs w:val="24"/>
          <w:lang w:val="fr-CA"/>
        </w:rPr>
        <w:t>s</w:t>
      </w:r>
      <w:r w:rsidRPr="00210FB4">
        <w:rPr>
          <w:rFonts w:ascii="Times New Roman" w:hAnsi="Times New Roman" w:cs="Times New Roman"/>
          <w:iCs/>
          <w:kern w:val="22"/>
          <w:sz w:val="24"/>
          <w:szCs w:val="24"/>
          <w:lang w:val="fr-CA"/>
        </w:rPr>
        <w:t xml:space="preserve"> </w:t>
      </w:r>
      <w:r w:rsidRPr="00210FB4">
        <w:rPr>
          <w:rFonts w:ascii="Times New Roman" w:hAnsi="Times New Roman" w:cs="Times New Roman"/>
          <w:sz w:val="24"/>
          <w:szCs w:val="24"/>
        </w:rPr>
        <w:t>à travers l’analyse des activités réalisées par les différentes parties prenantes impliquées dans la gestion des différentes composantes de la biodiversité au Togo</w:t>
      </w:r>
      <w:r w:rsidRPr="00210FB4">
        <w:rPr>
          <w:rFonts w:ascii="Times New Roman" w:hAnsi="Times New Roman" w:cs="Times New Roman"/>
          <w:iCs/>
          <w:kern w:val="22"/>
          <w:sz w:val="24"/>
          <w:szCs w:val="24"/>
          <w:lang w:val="fr-CA"/>
        </w:rPr>
        <w:t xml:space="preserve">. </w:t>
      </w:r>
      <w:r w:rsidRPr="00210FB4">
        <w:rPr>
          <w:rFonts w:ascii="Times New Roman" w:hAnsi="Times New Roman" w:cs="Times New Roman"/>
          <w:sz w:val="24"/>
          <w:szCs w:val="24"/>
        </w:rPr>
        <w:t>Les acteurs ayant fourni des informations sont divers et constitués par des agences gouvernementales et leur démembrement, des organisations de la société civile, les collectivités locales, les chefs programmes et projets en cours d’exécution au Togo grâce aux appuis des partenaires</w:t>
      </w:r>
      <w:r w:rsidR="00A05444">
        <w:rPr>
          <w:rFonts w:ascii="Times New Roman" w:hAnsi="Times New Roman" w:cs="Times New Roman"/>
          <w:sz w:val="24"/>
          <w:szCs w:val="24"/>
        </w:rPr>
        <w:t xml:space="preserve"> techniques et financiers, etc.</w:t>
      </w:r>
    </w:p>
    <w:p w14:paraId="54339247" w14:textId="77777777" w:rsidR="00A05444" w:rsidRDefault="00A05444" w:rsidP="00210FB4">
      <w:pPr>
        <w:spacing w:after="0" w:line="240" w:lineRule="auto"/>
        <w:jc w:val="both"/>
        <w:rPr>
          <w:rFonts w:ascii="Times New Roman" w:hAnsi="Times New Roman" w:cs="Times New Roman"/>
          <w:sz w:val="24"/>
          <w:szCs w:val="24"/>
        </w:rPr>
      </w:pPr>
    </w:p>
    <w:p w14:paraId="597F92F2" w14:textId="77777777" w:rsidR="00D31C6C" w:rsidRPr="00210FB4"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 xml:space="preserve">Il faut également rappeler que ces enquêtes ont été complétées par des interviews et des consultations des personnes ressources ayant des activités en lien avec la gestion de la diversité biologique. </w:t>
      </w:r>
      <w:r w:rsidRPr="00210FB4">
        <w:rPr>
          <w:rFonts w:ascii="Times New Roman" w:hAnsi="Times New Roman" w:cs="Times New Roman"/>
          <w:iCs/>
          <w:sz w:val="24"/>
          <w:szCs w:val="24"/>
        </w:rPr>
        <w:t>Cette évaluation à mi-parcours de la mise en œuvre des objectifs nationaux a donné une vision claire des efforts entrepris entre 2011-2016 et a jeté les bases des actions futures pour atteindre la vision 2020. Il ressort en termes de réalisation que le Togo a pu atteindre 60% de l’objectif 1 en matière de mobilisation sociale en faveur de la conservation. Pour les autres objectifs, les taux de mise en œuvre sont tous inférieurs à 50%. Ainsi, les objectifs 2, 4, 5, 6 et 8 totalisent chacun 45% de mise en œuvre. Par contre, les objectifs pour lesquels les plus faibles taux de mise en œuvre ont été observés sont les objectifs 9, 11, 14, 18, 19 et 20 pour lesquels les scores sont évalués à 10% de réalisation.</w:t>
      </w:r>
    </w:p>
    <w:p w14:paraId="0E353000" w14:textId="77777777"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297F1A90" w14:textId="1B7F158A"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r w:rsidRPr="00210FB4">
        <w:rPr>
          <w:rFonts w:ascii="Times New Roman" w:hAnsi="Times New Roman" w:cs="Times New Roman"/>
          <w:b/>
          <w:iCs/>
          <w:kern w:val="22"/>
          <w:sz w:val="24"/>
          <w:szCs w:val="24"/>
          <w:lang w:val="fr-CA"/>
        </w:rPr>
        <w:t xml:space="preserve">Objectif 18 </w:t>
      </w:r>
      <w:r w:rsidRPr="00210FB4">
        <w:rPr>
          <w:rFonts w:ascii="Times New Roman" w:hAnsi="Times New Roman" w:cs="Times New Roman"/>
          <w:b/>
          <w:kern w:val="22"/>
          <w:sz w:val="24"/>
          <w:szCs w:val="24"/>
          <w:lang w:val="fr-CA"/>
        </w:rPr>
        <w:t xml:space="preserve">d’Aichi pour la biodiversité </w:t>
      </w:r>
      <w:r w:rsidR="00E4370C">
        <w:rPr>
          <w:rFonts w:ascii="Times New Roman" w:hAnsi="Times New Roman" w:cs="Times New Roman"/>
          <w:b/>
          <w:iCs/>
          <w:kern w:val="22"/>
          <w:sz w:val="24"/>
          <w:szCs w:val="24"/>
          <w:lang w:val="fr-CA"/>
        </w:rPr>
        <w:t>: l</w:t>
      </w:r>
      <w:r w:rsidRPr="00210FB4">
        <w:rPr>
          <w:rFonts w:ascii="Times New Roman" w:hAnsi="Times New Roman" w:cs="Times New Roman"/>
          <w:b/>
          <w:iCs/>
          <w:kern w:val="22"/>
          <w:sz w:val="24"/>
          <w:szCs w:val="24"/>
          <w:lang w:val="fr-CA"/>
        </w:rPr>
        <w:t>es connaissances traditionnelles</w:t>
      </w:r>
    </w:p>
    <w:p w14:paraId="0C2AC063" w14:textId="77777777"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5F2340AC" w14:textId="501B2CB1" w:rsidR="00D31C6C" w:rsidRPr="00210FB4"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Les actions réalisées pour le compte de cet objectif incluent l’identification des bonnes pratiques de cogestion des forêts et de l’agroforesterie, l’intégration des connaissances et savoirs traditionnels de conservation de la biodiversité dans l’élaboration des plans de gestion des aires protégées. Certaines on</w:t>
      </w:r>
      <w:r w:rsidR="00C43706">
        <w:rPr>
          <w:rFonts w:ascii="Times New Roman" w:hAnsi="Times New Roman" w:cs="Times New Roman"/>
          <w:sz w:val="24"/>
          <w:szCs w:val="24"/>
        </w:rPr>
        <w:t>t</w:t>
      </w:r>
      <w:r w:rsidRPr="00210FB4">
        <w:rPr>
          <w:rFonts w:ascii="Times New Roman" w:hAnsi="Times New Roman" w:cs="Times New Roman"/>
          <w:sz w:val="24"/>
          <w:szCs w:val="24"/>
        </w:rPr>
        <w:t xml:space="preserve"> consisté à (i) définir une approche nationale de prise en compte des connaissances traditionnelles associées aux ressources génétiques, (ii) répertorier les détenteurs des connaissances traditionnelles associées à l’utilisation des ressources génétiques au Togo (communautés, tradithérapeutes, innovations et pratiques traditionnelles ou coutumières</w:t>
      </w:r>
      <w:r w:rsidR="00E4370C">
        <w:rPr>
          <w:rFonts w:ascii="Times New Roman" w:hAnsi="Times New Roman" w:cs="Times New Roman"/>
          <w:sz w:val="24"/>
          <w:szCs w:val="24"/>
        </w:rPr>
        <w:t>,</w:t>
      </w:r>
      <w:r w:rsidRPr="00210FB4">
        <w:rPr>
          <w:rFonts w:ascii="Times New Roman" w:hAnsi="Times New Roman" w:cs="Times New Roman"/>
          <w:sz w:val="24"/>
          <w:szCs w:val="24"/>
        </w:rPr>
        <w:t xml:space="preserve"> etc.), (iii) établir un protocole de travail avec les détenteurs des connaissances traditionnelles et de ressources génétiques et les aider à comprendre leurs rôles et responsabilités puis à  exercer leurs droits en matière de l’utilisation des ressources génétiques, (iv) analyser des enjeux de la protection juridique des connaissances, innovations et pratiques traditionnelles dans l’utilisation des ressources génétiques au Togo. Allant dans le même</w:t>
      </w:r>
      <w:r w:rsidR="00C43706">
        <w:rPr>
          <w:rFonts w:ascii="Times New Roman" w:hAnsi="Times New Roman" w:cs="Times New Roman"/>
          <w:sz w:val="24"/>
          <w:szCs w:val="24"/>
        </w:rPr>
        <w:t xml:space="preserve"> sens,</w:t>
      </w:r>
      <w:r w:rsidRPr="00210FB4">
        <w:rPr>
          <w:rFonts w:ascii="Times New Roman" w:hAnsi="Times New Roman" w:cs="Times New Roman"/>
          <w:sz w:val="24"/>
          <w:szCs w:val="24"/>
        </w:rPr>
        <w:t xml:space="preserve"> il y a eu aussi la formation de producteurs sur la dimension locale des changements climatiques et la conservation de la biodiversité. En perspectives, il sera procédé aux tests des bonnes pratiques du système de cogestion des forêts et d’agroforesterie sur des sites pilotes et à la réalisation d’un inventaire des connaissances traditionnelles associées aux ressources génétiques disp</w:t>
      </w:r>
      <w:r w:rsidR="00210FB4">
        <w:rPr>
          <w:rFonts w:ascii="Times New Roman" w:hAnsi="Times New Roman" w:cs="Times New Roman"/>
          <w:sz w:val="24"/>
          <w:szCs w:val="24"/>
        </w:rPr>
        <w:t>onibles au niveau national</w:t>
      </w:r>
      <w:r w:rsidR="00E4370C" w:rsidRPr="00E4370C">
        <w:rPr>
          <w:rFonts w:ascii="Times New Roman" w:hAnsi="Times New Roman" w:cs="Times New Roman"/>
          <w:sz w:val="24"/>
          <w:szCs w:val="24"/>
        </w:rPr>
        <w:t xml:space="preserve"> </w:t>
      </w:r>
      <w:r w:rsidR="00E4370C">
        <w:rPr>
          <w:rFonts w:ascii="Times New Roman" w:hAnsi="Times New Roman" w:cs="Times New Roman"/>
          <w:sz w:val="24"/>
          <w:szCs w:val="24"/>
        </w:rPr>
        <w:t xml:space="preserve">en </w:t>
      </w:r>
      <w:r w:rsidR="00E4370C" w:rsidRPr="00E4370C">
        <w:rPr>
          <w:rFonts w:ascii="Times New Roman" w:hAnsi="Times New Roman" w:cs="Times New Roman"/>
          <w:sz w:val="24"/>
          <w:szCs w:val="24"/>
        </w:rPr>
        <w:t>2020</w:t>
      </w:r>
      <w:r w:rsidR="00210FB4">
        <w:rPr>
          <w:rFonts w:ascii="Times New Roman" w:hAnsi="Times New Roman" w:cs="Times New Roman"/>
          <w:sz w:val="24"/>
          <w:szCs w:val="24"/>
        </w:rPr>
        <w:t>.</w:t>
      </w:r>
    </w:p>
    <w:p w14:paraId="6674F4DA" w14:textId="77777777" w:rsidR="00D31C6C" w:rsidRPr="00210FB4" w:rsidRDefault="00D31C6C" w:rsidP="00210FB4">
      <w:pPr>
        <w:pStyle w:val="Commentaire"/>
        <w:spacing w:after="0"/>
        <w:jc w:val="both"/>
        <w:rPr>
          <w:rFonts w:ascii="Times New Roman" w:hAnsi="Times New Roman" w:cs="Times New Roman"/>
          <w:i/>
          <w:iCs/>
          <w:sz w:val="24"/>
          <w:szCs w:val="24"/>
          <w:lang w:val="fr-CA"/>
        </w:rPr>
      </w:pPr>
    </w:p>
    <w:p w14:paraId="2FE23E64" w14:textId="293453D7" w:rsidR="00D31C6C" w:rsidRPr="00210FB4" w:rsidRDefault="00D31C6C" w:rsidP="00210FB4">
      <w:pPr>
        <w:spacing w:after="0" w:line="240" w:lineRule="auto"/>
        <w:jc w:val="both"/>
        <w:rPr>
          <w:rFonts w:ascii="Times New Roman" w:hAnsi="Times New Roman" w:cs="Times New Roman"/>
          <w:kern w:val="22"/>
          <w:sz w:val="24"/>
          <w:szCs w:val="24"/>
          <w:lang w:val="fr-CA"/>
        </w:rPr>
      </w:pPr>
      <w:r w:rsidRPr="00210FB4">
        <w:rPr>
          <w:rFonts w:ascii="Times New Roman" w:hAnsi="Times New Roman" w:cs="Times New Roman"/>
          <w:b/>
          <w:iCs/>
          <w:kern w:val="22"/>
          <w:sz w:val="24"/>
          <w:szCs w:val="24"/>
          <w:lang w:val="fr-CA"/>
        </w:rPr>
        <w:t xml:space="preserve">Objectif 19 </w:t>
      </w:r>
      <w:r w:rsidRPr="00210FB4">
        <w:rPr>
          <w:rFonts w:ascii="Times New Roman" w:hAnsi="Times New Roman" w:cs="Times New Roman"/>
          <w:b/>
          <w:kern w:val="22"/>
          <w:sz w:val="24"/>
          <w:szCs w:val="24"/>
          <w:lang w:val="fr-CA"/>
        </w:rPr>
        <w:t xml:space="preserve">d’Aichi pour la biodiversité </w:t>
      </w:r>
      <w:r w:rsidR="00E4370C">
        <w:rPr>
          <w:rFonts w:ascii="Times New Roman" w:hAnsi="Times New Roman" w:cs="Times New Roman"/>
          <w:b/>
          <w:iCs/>
          <w:kern w:val="22"/>
          <w:sz w:val="24"/>
          <w:szCs w:val="24"/>
          <w:lang w:val="fr-CA"/>
        </w:rPr>
        <w:t>: p</w:t>
      </w:r>
      <w:r w:rsidRPr="00210FB4">
        <w:rPr>
          <w:rFonts w:ascii="Times New Roman" w:hAnsi="Times New Roman" w:cs="Times New Roman"/>
          <w:b/>
          <w:iCs/>
          <w:kern w:val="22"/>
          <w:sz w:val="24"/>
          <w:szCs w:val="24"/>
          <w:lang w:val="fr-CA"/>
        </w:rPr>
        <w:t>artage des informations et des connaissances</w:t>
      </w:r>
    </w:p>
    <w:p w14:paraId="15804B16" w14:textId="77777777" w:rsidR="00D31C6C" w:rsidRPr="00210FB4" w:rsidRDefault="00D31C6C" w:rsidP="00210FB4">
      <w:pPr>
        <w:pStyle w:val="Commentaire"/>
        <w:spacing w:after="0"/>
        <w:jc w:val="both"/>
        <w:rPr>
          <w:rFonts w:ascii="Times New Roman" w:hAnsi="Times New Roman" w:cs="Times New Roman"/>
          <w:i/>
          <w:iCs/>
          <w:sz w:val="24"/>
          <w:szCs w:val="24"/>
          <w:lang w:val="fr-CA"/>
        </w:rPr>
      </w:pPr>
    </w:p>
    <w:p w14:paraId="75CD4CC7" w14:textId="77777777" w:rsidR="00D31C6C" w:rsidRPr="00210FB4" w:rsidRDefault="00D31C6C" w:rsidP="00210FB4">
      <w:pPr>
        <w:pStyle w:val="Commentaire"/>
        <w:spacing w:after="0"/>
        <w:jc w:val="both"/>
        <w:rPr>
          <w:rFonts w:ascii="Times New Roman" w:hAnsi="Times New Roman" w:cs="Times New Roman"/>
          <w:iCs/>
          <w:sz w:val="24"/>
          <w:szCs w:val="24"/>
        </w:rPr>
      </w:pPr>
      <w:r w:rsidRPr="00210FB4">
        <w:rPr>
          <w:rFonts w:ascii="Times New Roman" w:hAnsi="Times New Roman" w:cs="Times New Roman"/>
          <w:iCs/>
          <w:sz w:val="24"/>
          <w:szCs w:val="24"/>
        </w:rPr>
        <w:t>En matière de partage des informations et des connaissances, plusieurs actions ont été réalisées au Togo. Le nœud Togo du projet « Global Biodiversity Information Facility» (GBIF) placé sous la coordination de la Faculté des Sciences de l’Université de Lomé et géré avec l’appui administratif du ministère de l’environnement et des ressources forestières (MERF) a organisé un atelier de renforcement de capacités en mobilisation et publication de données de la biodiversité au Togo à l’attention des détenteurs et utilisateurs de données sur la biodiversité. Ledit atelier s’est tenu dans la salle de réunion de WASCAL du Campus Universitaire de Lomé du 21 au 25 novembre 2016. Cet atelier a été l’occasion pour les participants d’acquérir les connaissances sur :</w:t>
      </w:r>
    </w:p>
    <w:p w14:paraId="60075A90" w14:textId="77777777" w:rsid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les principes et méthodes du système de collecte d’informations sur la biodiversité ;</w:t>
      </w:r>
    </w:p>
    <w:p w14:paraId="152A3249" w14:textId="77777777" w:rsid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les données/métadonnées que l’on peut publier au GBIF ;</w:t>
      </w:r>
    </w:p>
    <w:p w14:paraId="0ED7EA8C" w14:textId="77777777" w:rsid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les outils de publication : l’IPT via des fichiers CSV ou des templates XLS ;</w:t>
      </w:r>
    </w:p>
    <w:p w14:paraId="0C4DB00A" w14:textId="77777777" w:rsid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les outils de transformation/visualisation : OpenRefine, SQL, QGIS ;</w:t>
      </w:r>
    </w:p>
    <w:p w14:paraId="1B67256F" w14:textId="77777777" w:rsid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les fonctionnalités de base du portail GBIF.org ;</w:t>
      </w:r>
    </w:p>
    <w:p w14:paraId="5F13D6D5" w14:textId="77777777" w:rsid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la recherche de données sur GBIF.org, le téléchargement pour utilisation à des fins scientifiques et/ou décisionnelles ;</w:t>
      </w:r>
    </w:p>
    <w:p w14:paraId="17259C79" w14:textId="77777777" w:rsidR="00D31C6C" w:rsidRPr="00210FB4" w:rsidRDefault="00D31C6C" w:rsidP="00E50666">
      <w:pPr>
        <w:pStyle w:val="Commentaire"/>
        <w:numPr>
          <w:ilvl w:val="0"/>
          <w:numId w:val="28"/>
        </w:numPr>
        <w:spacing w:after="0"/>
        <w:jc w:val="both"/>
        <w:rPr>
          <w:rFonts w:ascii="Times New Roman" w:hAnsi="Times New Roman" w:cs="Times New Roman"/>
          <w:iCs/>
          <w:sz w:val="24"/>
          <w:szCs w:val="24"/>
        </w:rPr>
      </w:pPr>
      <w:r w:rsidRPr="00210FB4">
        <w:rPr>
          <w:rFonts w:ascii="Times New Roman" w:hAnsi="Times New Roman" w:cs="Times New Roman"/>
          <w:iCs/>
          <w:sz w:val="24"/>
          <w:szCs w:val="24"/>
        </w:rPr>
        <w:t>l’utilisation des données de la biodiversité.</w:t>
      </w:r>
    </w:p>
    <w:p w14:paraId="18F0816F" w14:textId="77777777" w:rsidR="00210FB4" w:rsidRDefault="00210FB4" w:rsidP="00210FB4">
      <w:pPr>
        <w:pStyle w:val="Commentaire"/>
        <w:spacing w:after="0"/>
        <w:jc w:val="both"/>
        <w:rPr>
          <w:rFonts w:ascii="Times New Roman" w:hAnsi="Times New Roman" w:cs="Times New Roman"/>
          <w:iCs/>
          <w:sz w:val="24"/>
          <w:szCs w:val="24"/>
        </w:rPr>
      </w:pPr>
    </w:p>
    <w:p w14:paraId="5DA250FF" w14:textId="41D0EA51" w:rsidR="00D31C6C" w:rsidRDefault="00D31C6C" w:rsidP="00210FB4">
      <w:pPr>
        <w:pStyle w:val="Commentaire"/>
        <w:spacing w:after="0"/>
        <w:jc w:val="both"/>
        <w:rPr>
          <w:rFonts w:ascii="Times New Roman" w:hAnsi="Times New Roman" w:cs="Times New Roman"/>
          <w:iCs/>
          <w:sz w:val="24"/>
          <w:szCs w:val="24"/>
        </w:rPr>
      </w:pPr>
      <w:r w:rsidRPr="00210FB4">
        <w:rPr>
          <w:rFonts w:ascii="Times New Roman" w:hAnsi="Times New Roman" w:cs="Times New Roman"/>
          <w:iCs/>
          <w:sz w:val="24"/>
          <w:szCs w:val="24"/>
        </w:rPr>
        <w:t>Ont pris part à cet atelier, les représentants des directions des différents ministères et organisation non gouvernementale (ONG), acteurs majeurs de la conservation de la biodiversité et de la gestion des aires protégées ainsi que les points focaux des conventions en lien avec la biodiversi</w:t>
      </w:r>
      <w:r w:rsidR="00C43706">
        <w:rPr>
          <w:rFonts w:ascii="Times New Roman" w:hAnsi="Times New Roman" w:cs="Times New Roman"/>
          <w:iCs/>
          <w:sz w:val="24"/>
          <w:szCs w:val="24"/>
        </w:rPr>
        <w:t>té. Toujours en relation avec le</w:t>
      </w:r>
      <w:r w:rsidRPr="00210FB4">
        <w:rPr>
          <w:rFonts w:ascii="Times New Roman" w:hAnsi="Times New Roman" w:cs="Times New Roman"/>
          <w:iCs/>
          <w:sz w:val="24"/>
          <w:szCs w:val="24"/>
        </w:rPr>
        <w:t xml:space="preserve"> GBIF, une banque de données sur la diversité </w:t>
      </w:r>
      <w:r w:rsidR="00C43706">
        <w:rPr>
          <w:rFonts w:ascii="Times New Roman" w:hAnsi="Times New Roman" w:cs="Times New Roman"/>
          <w:iCs/>
          <w:sz w:val="24"/>
          <w:szCs w:val="24"/>
        </w:rPr>
        <w:t>biologique</w:t>
      </w:r>
      <w:r w:rsidRPr="00210FB4">
        <w:rPr>
          <w:rFonts w:ascii="Times New Roman" w:hAnsi="Times New Roman" w:cs="Times New Roman"/>
          <w:iCs/>
          <w:sz w:val="24"/>
          <w:szCs w:val="24"/>
        </w:rPr>
        <w:t xml:space="preserve"> a été créée et rattachée à la toile mondiale. En effet, depuis septembre 2014, les données sur les algues du Togo sont publiées au nom du Laboratoire de Palynologie et d’Algologie du Département de Botanique de l’Université de Lomé sur le portail du GBIF international dans le cadre </w:t>
      </w:r>
      <w:r w:rsidR="00C43706">
        <w:rPr>
          <w:rFonts w:ascii="Times New Roman" w:hAnsi="Times New Roman" w:cs="Times New Roman"/>
          <w:iCs/>
          <w:sz w:val="24"/>
          <w:szCs w:val="24"/>
        </w:rPr>
        <w:t xml:space="preserve">du </w:t>
      </w:r>
      <w:r w:rsidRPr="00210FB4">
        <w:rPr>
          <w:rFonts w:ascii="Times New Roman" w:hAnsi="Times New Roman" w:cs="Times New Roman"/>
          <w:iCs/>
          <w:sz w:val="24"/>
          <w:szCs w:val="24"/>
        </w:rPr>
        <w:t xml:space="preserve">projet d’appui à l’enseignement supérieur dans les pays membres de L’UEMOA (PAES). Ce même projet a permis aussi l’élaboration et la diffusion des fiches techniques de sylviculture des espèces forestières locales menacées telles que </w:t>
      </w:r>
      <w:r w:rsidRPr="00210FB4">
        <w:rPr>
          <w:rFonts w:ascii="Times New Roman" w:hAnsi="Times New Roman" w:cs="Times New Roman"/>
          <w:i/>
          <w:iCs/>
          <w:sz w:val="24"/>
          <w:szCs w:val="24"/>
        </w:rPr>
        <w:t>Pterocarpus erinaceus</w:t>
      </w:r>
      <w:r w:rsidR="00210FB4">
        <w:rPr>
          <w:rFonts w:ascii="Times New Roman" w:hAnsi="Times New Roman" w:cs="Times New Roman"/>
          <w:iCs/>
          <w:sz w:val="24"/>
          <w:szCs w:val="24"/>
        </w:rPr>
        <w:t>.</w:t>
      </w:r>
    </w:p>
    <w:p w14:paraId="370A2007" w14:textId="77777777" w:rsidR="00210FB4" w:rsidRPr="00210FB4" w:rsidRDefault="00210FB4" w:rsidP="00210FB4">
      <w:pPr>
        <w:pStyle w:val="Commentaire"/>
        <w:spacing w:after="0"/>
        <w:jc w:val="both"/>
        <w:rPr>
          <w:rFonts w:ascii="Times New Roman" w:hAnsi="Times New Roman" w:cs="Times New Roman"/>
          <w:iCs/>
          <w:sz w:val="24"/>
          <w:szCs w:val="24"/>
        </w:rPr>
      </w:pPr>
    </w:p>
    <w:p w14:paraId="1A7B7AC5" w14:textId="77777777" w:rsidR="00D31C6C" w:rsidRDefault="00D31C6C" w:rsidP="00210FB4">
      <w:pPr>
        <w:pStyle w:val="Commentaire"/>
        <w:spacing w:after="0"/>
        <w:jc w:val="both"/>
        <w:rPr>
          <w:rFonts w:ascii="Times New Roman" w:hAnsi="Times New Roman" w:cs="Times New Roman"/>
          <w:iCs/>
          <w:sz w:val="24"/>
          <w:szCs w:val="24"/>
        </w:rPr>
      </w:pPr>
      <w:r w:rsidRPr="00210FB4">
        <w:rPr>
          <w:rFonts w:ascii="Times New Roman" w:hAnsi="Times New Roman" w:cs="Times New Roman"/>
          <w:iCs/>
          <w:sz w:val="24"/>
          <w:szCs w:val="24"/>
        </w:rPr>
        <w:t>Dans le cadre de la mise en œuvre de la convention sur la diversité biologique, plusieurs activités en lien avec l’animation  du centre d’échange pour la biodiversité, sont réalisées il s’agit de (i) l’organisation en avril 2017 du deuxième atelier de suivi des contributeurs nationaux du Centre d’échange d’informations sur la diversité biologique (CHM) du Togo, l’organisation à Lomé en mai 2017, de l’atelier sous régional des CHM des pays francophones et la formation des enquêteurs en décembre 2017, sur les indicateurs nationaux de la biodiversité pour alimenter la base du CHM.</w:t>
      </w:r>
    </w:p>
    <w:p w14:paraId="0E21A353" w14:textId="77777777" w:rsidR="00210FB4" w:rsidRPr="00210FB4" w:rsidRDefault="00210FB4" w:rsidP="00210FB4">
      <w:pPr>
        <w:pStyle w:val="Commentaire"/>
        <w:spacing w:after="0"/>
        <w:jc w:val="both"/>
        <w:rPr>
          <w:rFonts w:ascii="Times New Roman" w:hAnsi="Times New Roman" w:cs="Times New Roman"/>
          <w:iCs/>
          <w:sz w:val="24"/>
          <w:szCs w:val="24"/>
        </w:rPr>
      </w:pPr>
    </w:p>
    <w:p w14:paraId="3B834CC4" w14:textId="37BF88F4" w:rsidR="00D31C6C" w:rsidRPr="00210FB4" w:rsidRDefault="00D31C6C" w:rsidP="00210FB4">
      <w:pPr>
        <w:pStyle w:val="Commentaire"/>
        <w:spacing w:after="0"/>
        <w:jc w:val="both"/>
        <w:rPr>
          <w:rFonts w:ascii="Times New Roman" w:hAnsi="Times New Roman" w:cs="Times New Roman"/>
          <w:iCs/>
          <w:sz w:val="24"/>
          <w:szCs w:val="24"/>
        </w:rPr>
      </w:pPr>
      <w:r w:rsidRPr="00210FB4">
        <w:rPr>
          <w:rFonts w:ascii="Times New Roman" w:hAnsi="Times New Roman" w:cs="Times New Roman"/>
          <w:iCs/>
          <w:sz w:val="24"/>
          <w:szCs w:val="24"/>
        </w:rPr>
        <w:t>Il faut noter aussi l’importance capitale des ateliers de restitution dans le partage et la diffusion des résultats donc des connaissances de différents projets et programmes en li</w:t>
      </w:r>
      <w:r w:rsidR="00E4370C">
        <w:rPr>
          <w:rFonts w:ascii="Times New Roman" w:hAnsi="Times New Roman" w:cs="Times New Roman"/>
          <w:iCs/>
          <w:sz w:val="24"/>
          <w:szCs w:val="24"/>
        </w:rPr>
        <w:t>en avec la diversité biologique</w:t>
      </w:r>
      <w:r w:rsidRPr="00210FB4">
        <w:rPr>
          <w:rFonts w:ascii="Times New Roman" w:hAnsi="Times New Roman" w:cs="Times New Roman"/>
          <w:iCs/>
          <w:sz w:val="24"/>
          <w:szCs w:val="24"/>
        </w:rPr>
        <w:t>. En exemple, on peut citer aujourd’hui les ateliers de restitutions des résultats des études thématiques dans le cadre du projet REDD+, les résultats de l’évaluation des potentiels de restauration des paysages forestier de PRoREDD, les résultats du projet d’appui à la valorisat</w:t>
      </w:r>
      <w:r w:rsidR="00C43706">
        <w:rPr>
          <w:rFonts w:ascii="Times New Roman" w:hAnsi="Times New Roman" w:cs="Times New Roman"/>
          <w:iCs/>
          <w:sz w:val="24"/>
          <w:szCs w:val="24"/>
        </w:rPr>
        <w:t>ion et à la modernisation de la</w:t>
      </w:r>
      <w:r w:rsidRPr="00210FB4">
        <w:rPr>
          <w:rFonts w:ascii="Times New Roman" w:hAnsi="Times New Roman" w:cs="Times New Roman"/>
          <w:iCs/>
          <w:sz w:val="24"/>
          <w:szCs w:val="24"/>
        </w:rPr>
        <w:t xml:space="preserve"> filière des produits for</w:t>
      </w:r>
      <w:r w:rsidR="00E4370C">
        <w:rPr>
          <w:rFonts w:ascii="Times New Roman" w:hAnsi="Times New Roman" w:cs="Times New Roman"/>
          <w:iCs/>
          <w:sz w:val="24"/>
          <w:szCs w:val="24"/>
        </w:rPr>
        <w:t>estiers non ligneux au Togo, etc</w:t>
      </w:r>
      <w:r w:rsidRPr="00210FB4">
        <w:rPr>
          <w:rFonts w:ascii="Times New Roman" w:hAnsi="Times New Roman" w:cs="Times New Roman"/>
          <w:iCs/>
          <w:sz w:val="24"/>
          <w:szCs w:val="24"/>
        </w:rPr>
        <w:t>. Par ailleurs</w:t>
      </w:r>
      <w:r w:rsidR="00E4370C">
        <w:rPr>
          <w:rFonts w:ascii="Times New Roman" w:hAnsi="Times New Roman" w:cs="Times New Roman"/>
          <w:iCs/>
          <w:sz w:val="24"/>
          <w:szCs w:val="24"/>
        </w:rPr>
        <w:t>,</w:t>
      </w:r>
      <w:r w:rsidRPr="00210FB4">
        <w:rPr>
          <w:rFonts w:ascii="Times New Roman" w:hAnsi="Times New Roman" w:cs="Times New Roman"/>
          <w:iCs/>
          <w:sz w:val="24"/>
          <w:szCs w:val="24"/>
        </w:rPr>
        <w:t xml:space="preserve"> la diffusion des connaissances sur la diversité biologique s’est faite aussi à travers les rapports validés, les mémoires de master, les thèses de doctorat et les publications scientifiques réalisées par les universités et les centres de recherches. Quelques publications récentes concernent l’i</w:t>
      </w:r>
      <w:r w:rsidRPr="00210FB4">
        <w:rPr>
          <w:rFonts w:ascii="Times New Roman" w:hAnsi="Times New Roman" w:cs="Times New Roman"/>
          <w:sz w:val="24"/>
          <w:szCs w:val="24"/>
        </w:rPr>
        <w:t xml:space="preserve">nventaire préliminaire des macromycètes du Parc National </w:t>
      </w:r>
      <w:r w:rsidR="00E4370C">
        <w:rPr>
          <w:rFonts w:ascii="Times New Roman" w:hAnsi="Times New Roman" w:cs="Times New Roman"/>
          <w:sz w:val="24"/>
          <w:szCs w:val="24"/>
        </w:rPr>
        <w:t>Fazao-</w:t>
      </w:r>
      <w:r w:rsidRPr="00210FB4">
        <w:rPr>
          <w:rFonts w:ascii="Times New Roman" w:hAnsi="Times New Roman" w:cs="Times New Roman"/>
          <w:sz w:val="24"/>
          <w:szCs w:val="24"/>
        </w:rPr>
        <w:t xml:space="preserve">Malfakassa du Togo, Afrique de l’Ouest par Kamou et </w:t>
      </w:r>
      <w:r w:rsidRPr="00E4370C">
        <w:rPr>
          <w:rFonts w:ascii="Times New Roman" w:hAnsi="Times New Roman" w:cs="Times New Roman"/>
          <w:i/>
          <w:sz w:val="24"/>
          <w:szCs w:val="24"/>
        </w:rPr>
        <w:t>al</w:t>
      </w:r>
      <w:r w:rsidRPr="00210FB4">
        <w:rPr>
          <w:rFonts w:ascii="Times New Roman" w:hAnsi="Times New Roman" w:cs="Times New Roman"/>
          <w:sz w:val="24"/>
          <w:szCs w:val="24"/>
        </w:rPr>
        <w:t xml:space="preserve"> (2017) ; le premier inventaire des Ptéridophytes du Togo par Abotsi et </w:t>
      </w:r>
      <w:r w:rsidRPr="00E4370C">
        <w:rPr>
          <w:rFonts w:ascii="Times New Roman" w:hAnsi="Times New Roman" w:cs="Times New Roman"/>
          <w:i/>
          <w:sz w:val="24"/>
          <w:szCs w:val="24"/>
        </w:rPr>
        <w:t>al</w:t>
      </w:r>
      <w:r w:rsidRPr="00210FB4">
        <w:rPr>
          <w:rFonts w:ascii="Times New Roman" w:hAnsi="Times New Roman" w:cs="Times New Roman"/>
          <w:sz w:val="24"/>
          <w:szCs w:val="24"/>
        </w:rPr>
        <w:t xml:space="preserve"> (2018).</w:t>
      </w:r>
    </w:p>
    <w:p w14:paraId="3724DC16" w14:textId="77777777" w:rsidR="00D31C6C" w:rsidRPr="00210FB4" w:rsidRDefault="00D31C6C" w:rsidP="00210FB4">
      <w:pPr>
        <w:pStyle w:val="Commentaire"/>
        <w:spacing w:after="0"/>
        <w:jc w:val="both"/>
        <w:rPr>
          <w:rFonts w:ascii="Times New Roman" w:hAnsi="Times New Roman" w:cs="Times New Roman"/>
          <w:iCs/>
          <w:sz w:val="24"/>
          <w:szCs w:val="24"/>
        </w:rPr>
      </w:pPr>
    </w:p>
    <w:p w14:paraId="1C1C0C84" w14:textId="49F5BAE1" w:rsidR="00D31C6C" w:rsidRPr="00210FB4" w:rsidRDefault="00D31C6C" w:rsidP="00210FB4">
      <w:pPr>
        <w:pStyle w:val="Commentaire"/>
        <w:spacing w:after="0"/>
        <w:jc w:val="both"/>
        <w:rPr>
          <w:rFonts w:ascii="Times New Roman" w:hAnsi="Times New Roman" w:cs="Times New Roman"/>
          <w:iCs/>
          <w:sz w:val="24"/>
          <w:szCs w:val="24"/>
          <w:lang w:val="fr-CA"/>
        </w:rPr>
      </w:pPr>
      <w:r w:rsidRPr="00210FB4">
        <w:rPr>
          <w:rFonts w:ascii="Times New Roman" w:hAnsi="Times New Roman" w:cs="Times New Roman"/>
          <w:iCs/>
          <w:sz w:val="24"/>
          <w:szCs w:val="24"/>
        </w:rPr>
        <w:t>C</w:t>
      </w:r>
      <w:r w:rsidRPr="00210FB4">
        <w:rPr>
          <w:rFonts w:ascii="Times New Roman" w:hAnsi="Times New Roman" w:cs="Times New Roman"/>
          <w:iCs/>
          <w:sz w:val="24"/>
          <w:szCs w:val="24"/>
          <w:lang w:val="fr-CA"/>
        </w:rPr>
        <w:t xml:space="preserve">es rapports validés et les principaux résultats mis en ligne, les mémoires de master, les thèses de doctorat sont aussi autant d’outils de formation produits par les différentes parties prenantes. Des enseignants d’universités utilisent ces informations pour élaborer des modules de formation. Les différents documents issus des projets et programmes sont souvent mis à la disposition des acteurs pour développer des actions ciblées de développement en ayant une meilleure connaissance de l’environnement. Les documents et rapports produits sont mis aussi à disposition des décideurs </w:t>
      </w:r>
      <w:r w:rsidR="00E4370C">
        <w:rPr>
          <w:rFonts w:ascii="Times New Roman" w:hAnsi="Times New Roman" w:cs="Times New Roman"/>
          <w:iCs/>
          <w:sz w:val="24"/>
          <w:szCs w:val="24"/>
          <w:lang w:val="fr-CA"/>
        </w:rPr>
        <w:t xml:space="preserve">et </w:t>
      </w:r>
      <w:r w:rsidRPr="00210FB4">
        <w:rPr>
          <w:rFonts w:ascii="Times New Roman" w:hAnsi="Times New Roman" w:cs="Times New Roman"/>
          <w:iCs/>
          <w:sz w:val="24"/>
          <w:szCs w:val="24"/>
          <w:lang w:val="fr-CA"/>
        </w:rPr>
        <w:t>constituent pour eux des outils d’aide à la décision dans le cadre des actions d’aménagement et gestion durable dans le contexte actuel de changement climatique.</w:t>
      </w:r>
    </w:p>
    <w:p w14:paraId="7B18D33B" w14:textId="77777777"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26C6FE1" w14:textId="04E4C023" w:rsidR="00D31C6C" w:rsidRPr="00210FB4" w:rsidRDefault="00D31C6C" w:rsidP="00210FB4">
      <w:pPr>
        <w:autoSpaceDE w:val="0"/>
        <w:autoSpaceDN w:val="0"/>
        <w:adjustRightInd w:val="0"/>
        <w:spacing w:after="0" w:line="240" w:lineRule="auto"/>
        <w:jc w:val="both"/>
        <w:rPr>
          <w:rFonts w:ascii="Times New Roman" w:hAnsi="Times New Roman" w:cs="Times New Roman"/>
          <w:b/>
          <w:iCs/>
          <w:kern w:val="22"/>
          <w:sz w:val="24"/>
          <w:szCs w:val="24"/>
          <w:lang w:val="fr-CA"/>
        </w:rPr>
      </w:pPr>
      <w:r w:rsidRPr="00210FB4">
        <w:rPr>
          <w:rFonts w:ascii="Times New Roman" w:hAnsi="Times New Roman" w:cs="Times New Roman"/>
          <w:b/>
          <w:iCs/>
          <w:kern w:val="22"/>
          <w:sz w:val="24"/>
          <w:szCs w:val="24"/>
          <w:lang w:val="fr-CA"/>
        </w:rPr>
        <w:t xml:space="preserve">Objectif 20 </w:t>
      </w:r>
      <w:r w:rsidRPr="00210FB4">
        <w:rPr>
          <w:rFonts w:ascii="Times New Roman" w:hAnsi="Times New Roman" w:cs="Times New Roman"/>
          <w:b/>
          <w:kern w:val="22"/>
          <w:sz w:val="24"/>
          <w:szCs w:val="24"/>
          <w:lang w:val="fr-CA"/>
        </w:rPr>
        <w:t xml:space="preserve">d’Aichi pour la biodiversité </w:t>
      </w:r>
      <w:r w:rsidR="00E4370C">
        <w:rPr>
          <w:rFonts w:ascii="Times New Roman" w:hAnsi="Times New Roman" w:cs="Times New Roman"/>
          <w:b/>
          <w:iCs/>
          <w:kern w:val="22"/>
          <w:sz w:val="24"/>
          <w:szCs w:val="24"/>
          <w:lang w:val="fr-CA"/>
        </w:rPr>
        <w:t>: m</w:t>
      </w:r>
      <w:r w:rsidRPr="00210FB4">
        <w:rPr>
          <w:rFonts w:ascii="Times New Roman" w:hAnsi="Times New Roman" w:cs="Times New Roman"/>
          <w:b/>
          <w:iCs/>
          <w:kern w:val="22"/>
          <w:sz w:val="24"/>
          <w:szCs w:val="24"/>
          <w:lang w:val="fr-CA"/>
        </w:rPr>
        <w:t>obilisation des ressources provenant de toutes sources</w:t>
      </w:r>
    </w:p>
    <w:p w14:paraId="150CBE84" w14:textId="77777777" w:rsidR="00D31C6C" w:rsidRPr="00210FB4" w:rsidRDefault="00D31C6C" w:rsidP="00210FB4">
      <w:pPr>
        <w:spacing w:after="0" w:line="240" w:lineRule="auto"/>
        <w:jc w:val="both"/>
        <w:rPr>
          <w:rFonts w:ascii="Times New Roman" w:hAnsi="Times New Roman" w:cs="Times New Roman"/>
          <w:sz w:val="24"/>
          <w:szCs w:val="24"/>
          <w:lang w:val="fr-CA"/>
        </w:rPr>
      </w:pPr>
    </w:p>
    <w:p w14:paraId="24F59524" w14:textId="77777777" w:rsidR="00D31C6C"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lang w:val="fr-CA"/>
        </w:rPr>
        <w:t xml:space="preserve">Dans le domaine de la conservation de la biodiversité, le Togo a bénéficié de plusieurs aides </w:t>
      </w:r>
      <w:r w:rsidRPr="00210FB4">
        <w:rPr>
          <w:rFonts w:ascii="Times New Roman" w:hAnsi="Times New Roman" w:cs="Times New Roman"/>
          <w:sz w:val="24"/>
          <w:szCs w:val="24"/>
        </w:rPr>
        <w:t>que ce soit sur le plan national ou sur le plan international. Au niveau national (mobilisation interne), hormis, l’allocation budgétaire de l’Etat, les ressources financières comportent les redevances et taxes issues de l’exploitation des ressources forestières et des fonds provenant des infractions et de la vente aux enchères des produits forestiers saisis. Tout le système de recouvrement de cette fiscalité forestière permet d’alimenter le Fonds National pour le Développement Forestier (FNDF). Au cours de l’année 2017 par exemple, les recettes issues des amendes forestières, des redevances forestières et de l’exploitation des produits de la flore et de la faune perçues à la direction des ressources forestières sont évaluées à 306 351 890 Fcfa. En dehors des finances publiques, les investissements privés nationaux constituent également une source importante de financement de conservation de la biodiversité puisque les 3/5 des plantations du pays proviennent de leurs efforts. Outre ces financement, le pays compte aussi sur le Fonds National pour l’Environnement (FNE), le Fonds de Promotion et de Développement des Activités Minières (FPDAM) et le Fonds de Gestion Intégrée des Ressources en Eau (FGIRE).</w:t>
      </w:r>
    </w:p>
    <w:p w14:paraId="7C673F9F" w14:textId="77777777" w:rsidR="00210FB4" w:rsidRPr="00210FB4" w:rsidRDefault="00210FB4" w:rsidP="00210FB4">
      <w:pPr>
        <w:spacing w:after="0" w:line="240" w:lineRule="auto"/>
        <w:jc w:val="both"/>
        <w:rPr>
          <w:rFonts w:ascii="Times New Roman" w:hAnsi="Times New Roman" w:cs="Times New Roman"/>
          <w:sz w:val="24"/>
          <w:szCs w:val="24"/>
        </w:rPr>
      </w:pPr>
    </w:p>
    <w:p w14:paraId="2000A3C9" w14:textId="77777777" w:rsidR="00210FB4"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Des dispositifs juridiques et réglementaires ont été adoptés pour faciliter la gestion de ces subventions nationales destinées à la biodiversité au Togo. Il s’agit de :</w:t>
      </w:r>
    </w:p>
    <w:p w14:paraId="53981495" w14:textId="77777777" w:rsidR="00210FB4" w:rsidRDefault="00D31C6C" w:rsidP="00E50666">
      <w:pPr>
        <w:pStyle w:val="Paragraphedeliste"/>
        <w:numPr>
          <w:ilvl w:val="0"/>
          <w:numId w:val="29"/>
        </w:num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 xml:space="preserve">la Loi n°2008-005 du 30 mai 2008 portant Loi-cadre sur l’Environnement au Togo institue en son article 19 le Fonds National de l’Environnement (FNE). Selon l’article 21 de ladite loi, les ressources du FNE ne peuvent servir qu’à résoudre des préoccupations environnementales ; </w:t>
      </w:r>
    </w:p>
    <w:p w14:paraId="0C5A8BAC" w14:textId="77777777" w:rsidR="00210FB4" w:rsidRDefault="00D31C6C" w:rsidP="00E50666">
      <w:pPr>
        <w:pStyle w:val="Paragraphedeliste"/>
        <w:numPr>
          <w:ilvl w:val="0"/>
          <w:numId w:val="29"/>
        </w:num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(ii) la Loi n°2008-009 du 19 juin 2008 portant Code forestier au Togo a instauré en son article 140 le Fonds National de Développement Forestier (FNDF) dont les ressources sont affectées exclusivement au développement du secteur forestier au Togo</w:t>
      </w:r>
      <w:r w:rsidR="00210FB4">
        <w:rPr>
          <w:rFonts w:ascii="Times New Roman" w:hAnsi="Times New Roman" w:cs="Times New Roman"/>
          <w:sz w:val="24"/>
          <w:szCs w:val="24"/>
        </w:rPr>
        <w:t> ;</w:t>
      </w:r>
    </w:p>
    <w:p w14:paraId="08ACFC69" w14:textId="0B37159B" w:rsidR="00210FB4" w:rsidRDefault="00D31C6C" w:rsidP="00E50666">
      <w:pPr>
        <w:pStyle w:val="Paragraphedeliste"/>
        <w:numPr>
          <w:ilvl w:val="0"/>
          <w:numId w:val="29"/>
        </w:num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(iii) Il existe également un Fonds de promotion et de développement des activités minérales (FPDAM) crée par l’article 56 de la Loi n°96-004 /PR du 23 février 1996 portant Code minier de la République togolaise revu (amendé et complété) par la Loi n° 2003-012 du 14 octobre 2003</w:t>
      </w:r>
      <w:r w:rsidR="00E4370C">
        <w:rPr>
          <w:rFonts w:ascii="Times New Roman" w:hAnsi="Times New Roman" w:cs="Times New Roman"/>
          <w:sz w:val="24"/>
          <w:szCs w:val="24"/>
        </w:rPr>
        <w:t> ;</w:t>
      </w:r>
      <w:r w:rsidRPr="00210FB4">
        <w:rPr>
          <w:rFonts w:ascii="Times New Roman" w:hAnsi="Times New Roman" w:cs="Times New Roman"/>
          <w:sz w:val="24"/>
          <w:szCs w:val="24"/>
        </w:rPr>
        <w:t xml:space="preserve"> </w:t>
      </w:r>
    </w:p>
    <w:p w14:paraId="6F5C0116" w14:textId="77777777" w:rsidR="00D31C6C" w:rsidRPr="00210FB4" w:rsidRDefault="00D31C6C" w:rsidP="00E50666">
      <w:pPr>
        <w:pStyle w:val="Paragraphedeliste"/>
        <w:numPr>
          <w:ilvl w:val="0"/>
          <w:numId w:val="29"/>
        </w:num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 xml:space="preserve">(iv) la Loi n°2010-004 du 14 juin 2010 portant Code de l’eau, a érigé le Fonds de Gestion Intégrée des Ressources en Eau (FGIRE) qui constitue un compte </w:t>
      </w:r>
      <w:r w:rsidR="00210FB4">
        <w:rPr>
          <w:rFonts w:ascii="Times New Roman" w:hAnsi="Times New Roman" w:cs="Times New Roman"/>
          <w:sz w:val="24"/>
          <w:szCs w:val="24"/>
        </w:rPr>
        <w:t>d</w:t>
      </w:r>
      <w:r w:rsidRPr="00210FB4">
        <w:rPr>
          <w:rFonts w:ascii="Times New Roman" w:hAnsi="Times New Roman" w:cs="Times New Roman"/>
          <w:sz w:val="24"/>
          <w:szCs w:val="24"/>
        </w:rPr>
        <w:t>’affectation spéciale doté de l’autonomie comptable et budgétaire (Article 147).</w:t>
      </w:r>
    </w:p>
    <w:p w14:paraId="37A2AAFE" w14:textId="77777777" w:rsidR="00D31C6C" w:rsidRPr="00210FB4" w:rsidRDefault="00D31C6C" w:rsidP="00210FB4">
      <w:pPr>
        <w:pStyle w:val="Default"/>
        <w:jc w:val="both"/>
        <w:rPr>
          <w:color w:val="auto"/>
        </w:rPr>
      </w:pPr>
    </w:p>
    <w:p w14:paraId="7686B1CE" w14:textId="5B449FB7" w:rsidR="00A05444" w:rsidRDefault="00D31C6C" w:rsidP="00210FB4">
      <w:pPr>
        <w:spacing w:after="0" w:line="240" w:lineRule="auto"/>
        <w:jc w:val="both"/>
        <w:rPr>
          <w:rFonts w:ascii="Times New Roman" w:hAnsi="Times New Roman" w:cs="Times New Roman"/>
          <w:sz w:val="24"/>
          <w:szCs w:val="24"/>
          <w:lang w:val="fr-CA"/>
        </w:rPr>
      </w:pPr>
      <w:r w:rsidRPr="00210FB4">
        <w:rPr>
          <w:rFonts w:ascii="Times New Roman" w:hAnsi="Times New Roman" w:cs="Times New Roman"/>
          <w:sz w:val="24"/>
          <w:szCs w:val="24"/>
          <w:lang w:val="fr-CA"/>
        </w:rPr>
        <w:t xml:space="preserve">Au niveau international (mobilisation externe), le Togo bénéficie des appuis des organisations internationales, telles que l’OIBT, l’OAB, l’IUCN, l’IRD, … Le pays mobilise aussi des ressources à travers les coopérations multilatérales. Il faut signaler que le Togo dispose actuellement de bonnes relations avec plusieurs institutions multinationales. Parmi les potentiels financeurs, on peut noter (i) les institutions sous régionales (BOAD, CEDEAO, UEMOA, etc.) ; (ii) les institutions continentales (Union Africaine, BAD) ; (iii) les institutions internationales (Union Européenne, FMI, Banque Mondiale, Agences du système des Nations Unies). </w:t>
      </w:r>
    </w:p>
    <w:p w14:paraId="28601C61" w14:textId="77777777" w:rsidR="00A05444" w:rsidRDefault="00A05444" w:rsidP="00210FB4">
      <w:pPr>
        <w:spacing w:after="0" w:line="240" w:lineRule="auto"/>
        <w:jc w:val="both"/>
        <w:rPr>
          <w:rFonts w:ascii="Times New Roman" w:hAnsi="Times New Roman" w:cs="Times New Roman"/>
          <w:sz w:val="24"/>
          <w:szCs w:val="24"/>
          <w:lang w:val="fr-CA"/>
        </w:rPr>
      </w:pPr>
    </w:p>
    <w:p w14:paraId="0A2D887D" w14:textId="77777777" w:rsidR="00D31C6C"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lang w:val="fr-CA"/>
        </w:rPr>
        <w:t xml:space="preserve">Le Fonds pour l'environnement mondial (FEM) constitue aussi une source importante de financement des actions liées à la conservation de la biodiversité. En effet, </w:t>
      </w:r>
      <w:r w:rsidRPr="00210FB4">
        <w:rPr>
          <w:rFonts w:ascii="Times New Roman" w:hAnsi="Times New Roman" w:cs="Times New Roman"/>
          <w:sz w:val="24"/>
          <w:szCs w:val="24"/>
        </w:rPr>
        <w:t>figurant parmi les pays bénéficiaires du FEM, le Togo a reçu le cadre spécifique de la 6</w:t>
      </w:r>
      <w:r w:rsidRPr="00210FB4">
        <w:rPr>
          <w:rFonts w:ascii="Times New Roman" w:hAnsi="Times New Roman" w:cs="Times New Roman"/>
          <w:sz w:val="24"/>
          <w:szCs w:val="24"/>
          <w:vertAlign w:val="superscript"/>
        </w:rPr>
        <w:t>ème</w:t>
      </w:r>
      <w:r w:rsidRPr="00210FB4">
        <w:rPr>
          <w:rFonts w:ascii="Times New Roman" w:hAnsi="Times New Roman" w:cs="Times New Roman"/>
          <w:sz w:val="24"/>
          <w:szCs w:val="24"/>
        </w:rPr>
        <w:t xml:space="preserve"> phase du FEM (FEM-6) au titre du Système Transparent d’Allocation des Ressources (STAR), une allocation de USD 7,21 millions répartie entre les domaines du Changement Climatique (USD 3 000 000), de la désertification et de la dégradation des terres (USD 2 210 000) et de la diversité biologique (USD 2 000 000). Toujours à titre d’exemple, le Togo a aussi bénéficié d’un micro financement du Fonds pour l’Environnement Mondial (FEM) en 2013 pour la mise en œuvre d’un projet, intitulé « appui à la ratification et l’entrée en vigueur du Protocole de Nagoya sur APA ». Ce financement a permis d’engager une série de consultations et sensibilisations des parties prenantes, de faire l’état des lieux des dispositifs juridiques, politiques et institutionnels existants en lien avec </w:t>
      </w:r>
      <w:r w:rsidR="00210FB4">
        <w:rPr>
          <w:rFonts w:ascii="Times New Roman" w:hAnsi="Times New Roman" w:cs="Times New Roman"/>
          <w:sz w:val="24"/>
          <w:szCs w:val="24"/>
        </w:rPr>
        <w:t>le protocole de Nagoya sur APA.</w:t>
      </w:r>
    </w:p>
    <w:p w14:paraId="0FD9CF52" w14:textId="77777777" w:rsidR="00210FB4" w:rsidRPr="00210FB4" w:rsidRDefault="00210FB4" w:rsidP="00210FB4">
      <w:pPr>
        <w:spacing w:after="0" w:line="240" w:lineRule="auto"/>
        <w:jc w:val="both"/>
        <w:rPr>
          <w:rFonts w:ascii="Times New Roman" w:hAnsi="Times New Roman" w:cs="Times New Roman"/>
          <w:sz w:val="24"/>
          <w:szCs w:val="24"/>
        </w:rPr>
      </w:pPr>
    </w:p>
    <w:p w14:paraId="31F34133" w14:textId="77777777" w:rsidR="00D31C6C"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En dehors de ces financements, le Togo a bénéficié aussi  des appuis  dans le cadre du MDP, de la REDD+, l’ONU-REDD, la Forest Carbon Partnership Facility (Banque mondiale), le Fonds pour l'adaptation (AF), le Fonds d'investissement climatiques, le Fonds stratégique pour le climat (FSC), le Programme d'investissement forestier (FIP), les marchés volontaires du carbone, le Fonds Vert Climat, le Fonds pour l’économie bleue, etc.</w:t>
      </w:r>
    </w:p>
    <w:p w14:paraId="5C191525" w14:textId="77777777" w:rsidR="00210FB4" w:rsidRPr="00210FB4" w:rsidRDefault="00210FB4" w:rsidP="00210FB4">
      <w:pPr>
        <w:spacing w:after="0" w:line="240" w:lineRule="auto"/>
        <w:jc w:val="both"/>
        <w:rPr>
          <w:rFonts w:ascii="Times New Roman" w:hAnsi="Times New Roman" w:cs="Times New Roman"/>
          <w:sz w:val="24"/>
          <w:szCs w:val="24"/>
        </w:rPr>
      </w:pPr>
    </w:p>
    <w:p w14:paraId="494D218E" w14:textId="72B02976" w:rsidR="00D31C6C" w:rsidRPr="00210FB4" w:rsidRDefault="00D31C6C" w:rsidP="00210FB4">
      <w:pPr>
        <w:spacing w:after="0" w:line="240" w:lineRule="auto"/>
        <w:jc w:val="both"/>
        <w:rPr>
          <w:rFonts w:ascii="Times New Roman" w:hAnsi="Times New Roman" w:cs="Times New Roman"/>
          <w:sz w:val="24"/>
          <w:szCs w:val="24"/>
        </w:rPr>
      </w:pPr>
      <w:r w:rsidRPr="00210FB4">
        <w:rPr>
          <w:rFonts w:ascii="Times New Roman" w:hAnsi="Times New Roman" w:cs="Times New Roman"/>
          <w:iCs/>
          <w:sz w:val="24"/>
          <w:szCs w:val="24"/>
        </w:rPr>
        <w:t xml:space="preserve">L’agriculture étant liée à la diversité biologique, l’on peut prendre en compte les différents financements acquis dans le domaine. Il s’agit des fonds </w:t>
      </w:r>
      <w:r w:rsidRPr="00210FB4">
        <w:rPr>
          <w:rFonts w:ascii="Times New Roman" w:hAnsi="Times New Roman" w:cs="Times New Roman"/>
          <w:sz w:val="24"/>
          <w:szCs w:val="24"/>
        </w:rPr>
        <w:t>compétitifs, des lignes de crédit, des fonds de garantie mis en place et opérationnalisés à travers le PNIASA mais aussi d’autres programmes à l’instar de l’Agence nationale de promotion et de garantie de financement des PME-PMI (ANGPF), le Fonds d’appui aux initiatives économiques des jeunes (FAIEJ), le Projet d’appui aux initiatives économiques des jeunes (PAIEJ), l’Accès des agriculteurs aux services financiers (AGRISEF)-volet agricole du Fonds national de la finance inclusive (FNFI)</w:t>
      </w:r>
      <w:r w:rsidR="00E4370C">
        <w:rPr>
          <w:rFonts w:ascii="Times New Roman" w:hAnsi="Times New Roman" w:cs="Times New Roman"/>
          <w:sz w:val="24"/>
          <w:szCs w:val="24"/>
        </w:rPr>
        <w:t>,</w:t>
      </w:r>
      <w:r w:rsidRPr="00210FB4">
        <w:rPr>
          <w:rFonts w:ascii="Times New Roman" w:hAnsi="Times New Roman" w:cs="Times New Roman"/>
          <w:sz w:val="24"/>
          <w:szCs w:val="24"/>
        </w:rPr>
        <w:t xml:space="preserve"> etc.</w:t>
      </w:r>
    </w:p>
    <w:p w14:paraId="2F0D1AC1" w14:textId="77777777" w:rsidR="00D31C6C" w:rsidRPr="00C059F3" w:rsidRDefault="00D31C6C" w:rsidP="00210FB4">
      <w:pPr>
        <w:autoSpaceDE w:val="0"/>
        <w:autoSpaceDN w:val="0"/>
        <w:adjustRightInd w:val="0"/>
        <w:spacing w:after="0" w:line="240" w:lineRule="auto"/>
        <w:jc w:val="both"/>
        <w:rPr>
          <w:rFonts w:ascii="Times New Roman" w:hAnsi="Times New Roman" w:cs="Times New Roman"/>
          <w:bCs/>
          <w:color w:val="000000"/>
          <w:sz w:val="24"/>
          <w:szCs w:val="24"/>
        </w:rPr>
      </w:pPr>
    </w:p>
    <w:p w14:paraId="24C8339C" w14:textId="77777777" w:rsidR="00D31C6C" w:rsidRPr="00210FB4" w:rsidRDefault="00D31C6C" w:rsidP="00A05444">
      <w:pPr>
        <w:autoSpaceDE w:val="0"/>
        <w:autoSpaceDN w:val="0"/>
        <w:adjustRightInd w:val="0"/>
        <w:spacing w:after="0" w:line="240" w:lineRule="auto"/>
        <w:outlineLvl w:val="1"/>
        <w:rPr>
          <w:rFonts w:ascii="Times New Roman" w:hAnsi="Times New Roman" w:cs="Times New Roman"/>
          <w:b/>
          <w:color w:val="000000"/>
          <w:sz w:val="24"/>
          <w:szCs w:val="24"/>
        </w:rPr>
      </w:pPr>
      <w:bookmarkStart w:id="70" w:name="_Toc533413764"/>
      <w:r w:rsidRPr="00210FB4">
        <w:rPr>
          <w:rFonts w:ascii="Times New Roman" w:hAnsi="Times New Roman" w:cs="Times New Roman"/>
          <w:b/>
          <w:bCs/>
          <w:color w:val="000000"/>
          <w:sz w:val="24"/>
          <w:szCs w:val="24"/>
        </w:rPr>
        <w:t xml:space="preserve">4.2. Contribution à la mise en œuvre </w:t>
      </w:r>
      <w:r w:rsidR="00210FB4">
        <w:rPr>
          <w:rFonts w:ascii="Times New Roman" w:hAnsi="Times New Roman" w:cs="Times New Roman"/>
          <w:b/>
          <w:color w:val="000000"/>
          <w:sz w:val="24"/>
          <w:szCs w:val="24"/>
        </w:rPr>
        <w:t>du p</w:t>
      </w:r>
      <w:r w:rsidRPr="00210FB4">
        <w:rPr>
          <w:rFonts w:ascii="Times New Roman" w:hAnsi="Times New Roman" w:cs="Times New Roman"/>
          <w:b/>
          <w:color w:val="000000"/>
          <w:sz w:val="24"/>
          <w:szCs w:val="24"/>
        </w:rPr>
        <w:t xml:space="preserve">rogramme </w:t>
      </w:r>
      <w:r w:rsidR="00210FB4">
        <w:rPr>
          <w:rFonts w:ascii="Times New Roman" w:hAnsi="Times New Roman" w:cs="Times New Roman"/>
          <w:b/>
          <w:color w:val="000000"/>
          <w:sz w:val="24"/>
          <w:szCs w:val="24"/>
        </w:rPr>
        <w:t xml:space="preserve">national </w:t>
      </w:r>
      <w:r w:rsidRPr="00210FB4">
        <w:rPr>
          <w:rFonts w:ascii="Times New Roman" w:hAnsi="Times New Roman" w:cs="Times New Roman"/>
          <w:b/>
          <w:color w:val="000000"/>
          <w:sz w:val="24"/>
          <w:szCs w:val="24"/>
        </w:rPr>
        <w:t xml:space="preserve">de développement </w:t>
      </w:r>
      <w:r w:rsidR="00210FB4">
        <w:rPr>
          <w:rFonts w:ascii="Times New Roman" w:hAnsi="Times New Roman" w:cs="Times New Roman"/>
          <w:b/>
          <w:color w:val="000000"/>
          <w:sz w:val="24"/>
          <w:szCs w:val="24"/>
        </w:rPr>
        <w:t xml:space="preserve">(PND) </w:t>
      </w:r>
      <w:r w:rsidRPr="00210FB4">
        <w:rPr>
          <w:rFonts w:ascii="Times New Roman" w:hAnsi="Times New Roman" w:cs="Times New Roman"/>
          <w:b/>
          <w:color w:val="000000"/>
          <w:sz w:val="24"/>
          <w:szCs w:val="24"/>
        </w:rPr>
        <w:t>à l’horizon 2030 ainsi qu’aux Objectifs de développement durable</w:t>
      </w:r>
      <w:bookmarkEnd w:id="70"/>
    </w:p>
    <w:p w14:paraId="2F70A4D1" w14:textId="77777777" w:rsidR="00D31C6C" w:rsidRPr="00210FB4" w:rsidRDefault="00D31C6C" w:rsidP="00210FB4">
      <w:pPr>
        <w:spacing w:after="0" w:line="240" w:lineRule="auto"/>
        <w:jc w:val="both"/>
        <w:rPr>
          <w:rFonts w:ascii="Times New Roman" w:hAnsi="Times New Roman" w:cs="Times New Roman"/>
          <w:i/>
          <w:iCs/>
          <w:color w:val="000000"/>
          <w:kern w:val="22"/>
          <w:sz w:val="24"/>
          <w:szCs w:val="24"/>
          <w:lang w:val="fr-CA"/>
        </w:rPr>
      </w:pPr>
    </w:p>
    <w:p w14:paraId="0F6FA1CC" w14:textId="2860C123" w:rsidR="00176D5F" w:rsidRDefault="00D31C6C" w:rsidP="00210FB4">
      <w:pPr>
        <w:autoSpaceDE w:val="0"/>
        <w:autoSpaceDN w:val="0"/>
        <w:adjustRightInd w:val="0"/>
        <w:spacing w:after="0" w:line="240" w:lineRule="auto"/>
        <w:jc w:val="both"/>
        <w:rPr>
          <w:rFonts w:ascii="Times New Roman" w:hAnsi="Times New Roman" w:cs="Times New Roman"/>
          <w:sz w:val="24"/>
          <w:szCs w:val="24"/>
        </w:rPr>
      </w:pPr>
      <w:r w:rsidRPr="00210FB4">
        <w:rPr>
          <w:rFonts w:ascii="Times New Roman" w:hAnsi="Times New Roman" w:cs="Times New Roman"/>
          <w:iCs/>
          <w:color w:val="000000"/>
          <w:kern w:val="22"/>
          <w:sz w:val="24"/>
          <w:szCs w:val="24"/>
          <w:lang w:val="fr-CA"/>
        </w:rPr>
        <w:t xml:space="preserve">La diversité </w:t>
      </w:r>
      <w:r w:rsidR="00C43706">
        <w:rPr>
          <w:rFonts w:ascii="Times New Roman" w:hAnsi="Times New Roman" w:cs="Times New Roman"/>
          <w:iCs/>
          <w:color w:val="000000"/>
          <w:kern w:val="22"/>
          <w:sz w:val="24"/>
          <w:szCs w:val="24"/>
          <w:lang w:val="fr-CA"/>
        </w:rPr>
        <w:t xml:space="preserve">biologique </w:t>
      </w:r>
      <w:r w:rsidRPr="00210FB4">
        <w:rPr>
          <w:rFonts w:ascii="Times New Roman" w:hAnsi="Times New Roman" w:cs="Times New Roman"/>
          <w:iCs/>
          <w:color w:val="000000"/>
          <w:kern w:val="22"/>
          <w:sz w:val="24"/>
          <w:szCs w:val="24"/>
          <w:lang w:val="fr-CA"/>
        </w:rPr>
        <w:t xml:space="preserve">à travers ses services socioéconomiques contribue à l’atteinte des objectifs 1,2, 3 et 8 des ODD. </w:t>
      </w:r>
      <w:r w:rsidRPr="00210FB4">
        <w:rPr>
          <w:rFonts w:ascii="Times New Roman" w:hAnsi="Times New Roman" w:cs="Times New Roman"/>
          <w:sz w:val="24"/>
          <w:szCs w:val="24"/>
        </w:rPr>
        <w:t>Selon FAO (2018), une centaine d’espèces végétales spontanées ou plantées sont utilisées dans l’alimentation des communautés sur l’ensemble du territoire national et plus d’une centaine d’espèces utilisées dans la médecine traditionnelle et d’autres utilisés de diverses manières dans l’artisanat.</w:t>
      </w:r>
      <w:r w:rsidRPr="00210FB4">
        <w:rPr>
          <w:rFonts w:ascii="Times New Roman" w:hAnsi="Times New Roman" w:cs="Times New Roman"/>
          <w:iCs/>
          <w:color w:val="000000"/>
          <w:kern w:val="22"/>
          <w:sz w:val="24"/>
          <w:szCs w:val="24"/>
          <w:lang w:val="fr-CA"/>
        </w:rPr>
        <w:t xml:space="preserve"> Ce qui contribue à la réduction de la faim, de la pauvreté et par consé</w:t>
      </w:r>
      <w:r w:rsidR="00E4370C">
        <w:rPr>
          <w:rFonts w:ascii="Times New Roman" w:hAnsi="Times New Roman" w:cs="Times New Roman"/>
          <w:iCs/>
          <w:color w:val="000000"/>
          <w:kern w:val="22"/>
          <w:sz w:val="24"/>
          <w:szCs w:val="24"/>
          <w:lang w:val="fr-CA"/>
        </w:rPr>
        <w:t>quent au bien-</w:t>
      </w:r>
      <w:r w:rsidRPr="00210FB4">
        <w:rPr>
          <w:rFonts w:ascii="Times New Roman" w:hAnsi="Times New Roman" w:cs="Times New Roman"/>
          <w:iCs/>
          <w:color w:val="000000"/>
          <w:kern w:val="22"/>
          <w:sz w:val="24"/>
          <w:szCs w:val="24"/>
          <w:lang w:val="fr-CA"/>
        </w:rPr>
        <w:t xml:space="preserve">être des populations. La biodiversité contribue par ailleurs à la promotion d’une croissance économique soutenue, partagée et durable, le plein emploi productif pour tous. En </w:t>
      </w:r>
      <w:r w:rsidRPr="00210FB4">
        <w:rPr>
          <w:rFonts w:ascii="Times New Roman" w:hAnsi="Times New Roman" w:cs="Times New Roman"/>
          <w:sz w:val="24"/>
          <w:szCs w:val="24"/>
        </w:rPr>
        <w:t>effet, la biodiversité à travers les écosystèmes forestiers a un effet induit sur l’emploi (MERF, 2014).</w:t>
      </w:r>
    </w:p>
    <w:p w14:paraId="489EC79B" w14:textId="77777777" w:rsidR="00176D5F" w:rsidRDefault="00176D5F" w:rsidP="00210FB4">
      <w:pPr>
        <w:autoSpaceDE w:val="0"/>
        <w:autoSpaceDN w:val="0"/>
        <w:adjustRightInd w:val="0"/>
        <w:spacing w:after="0" w:line="240" w:lineRule="auto"/>
        <w:jc w:val="both"/>
        <w:rPr>
          <w:rFonts w:ascii="Times New Roman" w:hAnsi="Times New Roman" w:cs="Times New Roman"/>
          <w:sz w:val="24"/>
          <w:szCs w:val="24"/>
        </w:rPr>
      </w:pPr>
    </w:p>
    <w:p w14:paraId="0E5C5D81" w14:textId="77777777" w:rsidR="00A05444" w:rsidRDefault="00D31C6C" w:rsidP="00210FB4">
      <w:pPr>
        <w:autoSpaceDE w:val="0"/>
        <w:autoSpaceDN w:val="0"/>
        <w:adjustRightInd w:val="0"/>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Au Togo, la valeur économique de la forêt est reconnue. A titre d’exemple, la filière bois rond a créé à elle seule près de 1000 emplois en 2009. En 2010, les estimations de nombre d’emplois générés par les filières du secteur bois est de 655 425 pour les producteurs de bois de chauffe à des fins commerciales et de 206 239  pour ceux de charbon de bois, sans compter les nombreuses personnes qui interviennent dans la commercialisation des produits forestiers non ligneux (miel, plantes médicinales, champ</w:t>
      </w:r>
      <w:r w:rsidR="00A05444">
        <w:rPr>
          <w:rFonts w:ascii="Times New Roman" w:hAnsi="Times New Roman" w:cs="Times New Roman"/>
          <w:sz w:val="24"/>
          <w:szCs w:val="24"/>
        </w:rPr>
        <w:t>ignon, amande de karité, etc.).</w:t>
      </w:r>
    </w:p>
    <w:p w14:paraId="087BC953" w14:textId="77777777" w:rsidR="00A05444" w:rsidRDefault="00A05444" w:rsidP="00210FB4">
      <w:pPr>
        <w:autoSpaceDE w:val="0"/>
        <w:autoSpaceDN w:val="0"/>
        <w:adjustRightInd w:val="0"/>
        <w:spacing w:after="0" w:line="240" w:lineRule="auto"/>
        <w:jc w:val="both"/>
        <w:rPr>
          <w:rFonts w:ascii="Times New Roman" w:hAnsi="Times New Roman" w:cs="Times New Roman"/>
          <w:sz w:val="24"/>
          <w:szCs w:val="24"/>
        </w:rPr>
      </w:pPr>
    </w:p>
    <w:p w14:paraId="0FE7361E" w14:textId="514E302B" w:rsidR="00A05444" w:rsidRDefault="00D31C6C" w:rsidP="00210FB4">
      <w:pPr>
        <w:autoSpaceDE w:val="0"/>
        <w:autoSpaceDN w:val="0"/>
        <w:adjustRightInd w:val="0"/>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En matière de promotion d’une agriculture durable, les actions réalisées par le Togo contribuent à la viabilité des systèmes de production alimentaire et à la mise en œuvre des pratiques agricoles résilientes qui permettent d’accroître la productivité et la production tout en contribuant à la préservation des écosystèmes.</w:t>
      </w:r>
      <w:r w:rsidR="00C43706">
        <w:rPr>
          <w:rFonts w:ascii="Times New Roman" w:hAnsi="Times New Roman" w:cs="Times New Roman"/>
          <w:sz w:val="24"/>
          <w:szCs w:val="24"/>
        </w:rPr>
        <w:t xml:space="preserve"> </w:t>
      </w:r>
      <w:r w:rsidRPr="00210FB4">
        <w:rPr>
          <w:rFonts w:ascii="Times New Roman" w:hAnsi="Times New Roman" w:cs="Times New Roman"/>
          <w:sz w:val="24"/>
          <w:szCs w:val="24"/>
        </w:rPr>
        <w:t>Les projections de productions agricoles alimentaires croisées aux besoins alimentaires dans le temps indiquent globalement que les besoins alimentaires du pays restent couverts et des excédents conséquents pourraient être dégagés d’ici 2023. Par rapport aux céréales, les besoins ne seront couverts qu’à partir de 2024 et 2029, respectivemen</w:t>
      </w:r>
      <w:r w:rsidR="00A05444">
        <w:rPr>
          <w:rFonts w:ascii="Times New Roman" w:hAnsi="Times New Roman" w:cs="Times New Roman"/>
          <w:sz w:val="24"/>
          <w:szCs w:val="24"/>
        </w:rPr>
        <w:t>t pour le riz et le sorgho/mil.</w:t>
      </w:r>
    </w:p>
    <w:p w14:paraId="3413E2E2" w14:textId="77777777" w:rsidR="00A05444" w:rsidRDefault="00A05444" w:rsidP="00210FB4">
      <w:pPr>
        <w:autoSpaceDE w:val="0"/>
        <w:autoSpaceDN w:val="0"/>
        <w:adjustRightInd w:val="0"/>
        <w:spacing w:after="0" w:line="240" w:lineRule="auto"/>
        <w:jc w:val="both"/>
        <w:rPr>
          <w:rFonts w:ascii="Times New Roman" w:hAnsi="Times New Roman" w:cs="Times New Roman"/>
          <w:sz w:val="24"/>
          <w:szCs w:val="24"/>
        </w:rPr>
      </w:pPr>
    </w:p>
    <w:p w14:paraId="79F3C49A" w14:textId="61E3BB16" w:rsidR="00D31C6C" w:rsidRPr="00210FB4" w:rsidRDefault="00D31C6C" w:rsidP="00210FB4">
      <w:pPr>
        <w:autoSpaceDE w:val="0"/>
        <w:autoSpaceDN w:val="0"/>
        <w:adjustRightInd w:val="0"/>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Relativement aux tubercules/racines, les productions restent excédentaires et pourront tripler par rapport aux besoins d’ici 2030. Toutefois, pour l’igname, les besoins ne seront couverts qu’à partir de</w:t>
      </w:r>
      <w:r w:rsidR="00C43706">
        <w:rPr>
          <w:rFonts w:ascii="Times New Roman" w:hAnsi="Times New Roman" w:cs="Times New Roman"/>
          <w:sz w:val="24"/>
          <w:szCs w:val="24"/>
        </w:rPr>
        <w:t xml:space="preserve"> </w:t>
      </w:r>
      <w:r w:rsidRPr="00210FB4">
        <w:rPr>
          <w:rFonts w:ascii="Times New Roman" w:hAnsi="Times New Roman" w:cs="Times New Roman"/>
          <w:sz w:val="24"/>
          <w:szCs w:val="24"/>
        </w:rPr>
        <w:t>2020 (PAM, 2018). Aussi</w:t>
      </w:r>
      <w:r w:rsidR="00E4370C">
        <w:rPr>
          <w:rFonts w:ascii="Times New Roman" w:hAnsi="Times New Roman" w:cs="Times New Roman"/>
          <w:sz w:val="24"/>
          <w:szCs w:val="24"/>
        </w:rPr>
        <w:t>,</w:t>
      </w:r>
      <w:r w:rsidRPr="00210FB4">
        <w:rPr>
          <w:rFonts w:ascii="Times New Roman" w:hAnsi="Times New Roman" w:cs="Times New Roman"/>
          <w:sz w:val="24"/>
          <w:szCs w:val="24"/>
        </w:rPr>
        <w:t xml:space="preserve"> la prise en compte de la biodiversité pour l’alimentation et l’agriculture se retrouve-t-elle dans les objectifs 6, 7 et 13 des ODD qui visent à réduire significativement, l’érosion génétique des plantes cultivées, des animaux d’élevage et des parents sauvages des espèces à valeur socio-économique ou culturelle. Dans ce sens, il faut signaler l’importance de la SPANB 2011-2020 élaboré en 2014 qui préconise qu’une attention particulière soit accordée à la conservation de la diversité génétique (animale, végétale, fongique et microbienne) domestique et sauvage. Elle préconise aussi que leur fonctionnement et leur adaptation au changement climatique, leurs développements économiques (pharmaceutique, médicale, agroalimentaire, cosmétique) soit privilégiés.</w:t>
      </w:r>
    </w:p>
    <w:p w14:paraId="17CA333F" w14:textId="77777777" w:rsidR="00D31C6C" w:rsidRPr="00210FB4" w:rsidRDefault="00D31C6C" w:rsidP="00210FB4">
      <w:pPr>
        <w:autoSpaceDE w:val="0"/>
        <w:autoSpaceDN w:val="0"/>
        <w:adjustRightInd w:val="0"/>
        <w:spacing w:after="0" w:line="240" w:lineRule="auto"/>
        <w:jc w:val="both"/>
        <w:rPr>
          <w:rFonts w:ascii="Times New Roman" w:hAnsi="Times New Roman" w:cs="Times New Roman"/>
          <w:sz w:val="24"/>
          <w:szCs w:val="24"/>
        </w:rPr>
      </w:pPr>
    </w:p>
    <w:p w14:paraId="431CAF8F" w14:textId="40D61D16" w:rsidR="00D31C6C" w:rsidRPr="00210FB4" w:rsidRDefault="00D31C6C" w:rsidP="00210FB4">
      <w:pPr>
        <w:autoSpaceDE w:val="0"/>
        <w:autoSpaceDN w:val="0"/>
        <w:adjustRightInd w:val="0"/>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 xml:space="preserve">Le Togo a aussi contribué aux enjeux abordés par les objectifs 7, 12, 13, 14 et 15 des ODD, </w:t>
      </w:r>
      <w:r w:rsidR="00E4370C">
        <w:rPr>
          <w:rFonts w:ascii="Times New Roman" w:hAnsi="Times New Roman" w:cs="Times New Roman"/>
          <w:sz w:val="24"/>
          <w:szCs w:val="24"/>
        </w:rPr>
        <w:t>à travers les actions en faveur</w:t>
      </w:r>
      <w:r w:rsidRPr="00210FB4">
        <w:rPr>
          <w:rFonts w:ascii="Times New Roman" w:hAnsi="Times New Roman" w:cs="Times New Roman"/>
          <w:sz w:val="24"/>
          <w:szCs w:val="24"/>
        </w:rPr>
        <w:t xml:space="preserve"> de la gestion durable des ressources halieutiques, la gestion des aires protégées, la restauration des écosystèmes, la réduction des risques d’extinction de la biodiversité, sauvegarde de la diversité génétique, la mise en place des plans de</w:t>
      </w:r>
      <w:r w:rsidRPr="00210FB4">
        <w:rPr>
          <w:rFonts w:ascii="Times New Roman" w:hAnsi="Times New Roman" w:cs="Times New Roman"/>
          <w:iCs/>
          <w:sz w:val="24"/>
          <w:szCs w:val="24"/>
          <w:lang w:val="fr-CA"/>
        </w:rPr>
        <w:t xml:space="preserve"> consommation et de production durables</w:t>
      </w:r>
      <w:r w:rsidR="00E4370C">
        <w:rPr>
          <w:rFonts w:ascii="Times New Roman" w:hAnsi="Times New Roman" w:cs="Times New Roman"/>
          <w:iCs/>
          <w:sz w:val="24"/>
          <w:szCs w:val="24"/>
          <w:lang w:val="fr-CA"/>
        </w:rPr>
        <w:t>, etc.</w:t>
      </w:r>
      <w:r w:rsidRPr="00210FB4">
        <w:rPr>
          <w:rFonts w:ascii="Times New Roman" w:hAnsi="Times New Roman" w:cs="Times New Roman"/>
          <w:sz w:val="24"/>
          <w:szCs w:val="24"/>
        </w:rPr>
        <w:t xml:space="preserve"> A titre d’exemple, l’on peut noter plusieurs interventions spéc</w:t>
      </w:r>
      <w:r w:rsidR="00E4370C">
        <w:rPr>
          <w:rFonts w:ascii="Times New Roman" w:hAnsi="Times New Roman" w:cs="Times New Roman"/>
          <w:sz w:val="24"/>
          <w:szCs w:val="24"/>
        </w:rPr>
        <w:t>ifiques qui ont contribué à la r</w:t>
      </w:r>
      <w:r w:rsidRPr="00210FB4">
        <w:rPr>
          <w:rFonts w:ascii="Times New Roman" w:hAnsi="Times New Roman" w:cs="Times New Roman"/>
          <w:sz w:val="24"/>
          <w:szCs w:val="24"/>
        </w:rPr>
        <w:t xml:space="preserve">estauration et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réhabilitation des reliques forestières et savanes incultes,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restauration et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protection des forêts communautaires et forêts sacrées, au reboisement i</w:t>
      </w:r>
      <w:r w:rsidR="00E4370C">
        <w:rPr>
          <w:rFonts w:ascii="Times New Roman" w:hAnsi="Times New Roman" w:cs="Times New Roman"/>
          <w:sz w:val="24"/>
          <w:szCs w:val="24"/>
        </w:rPr>
        <w:t>ntensive pour le développement c</w:t>
      </w:r>
      <w:r w:rsidRPr="00210FB4">
        <w:rPr>
          <w:rFonts w:ascii="Times New Roman" w:hAnsi="Times New Roman" w:cs="Times New Roman"/>
          <w:sz w:val="24"/>
          <w:szCs w:val="24"/>
        </w:rPr>
        <w:t>ommunautaire à Haute Intensité de Main d’</w:t>
      </w:r>
      <w:r w:rsidR="00FF5271">
        <w:rPr>
          <w:rFonts w:ascii="Times New Roman" w:hAnsi="Times New Roman" w:cs="Times New Roman"/>
          <w:sz w:val="24"/>
          <w:szCs w:val="24"/>
        </w:rPr>
        <w:t>Oe</w:t>
      </w:r>
      <w:r w:rsidRPr="00210FB4">
        <w:rPr>
          <w:rFonts w:ascii="Times New Roman" w:hAnsi="Times New Roman" w:cs="Times New Roman"/>
          <w:sz w:val="24"/>
          <w:szCs w:val="24"/>
        </w:rPr>
        <w:t xml:space="preserve">uvre, </w:t>
      </w:r>
      <w:r w:rsidR="00FF5271">
        <w:rPr>
          <w:rFonts w:ascii="Times New Roman" w:hAnsi="Times New Roman" w:cs="Times New Roman"/>
          <w:sz w:val="24"/>
          <w:szCs w:val="24"/>
        </w:rPr>
        <w:t>le reboisement de bois-</w:t>
      </w:r>
      <w:r w:rsidRPr="00210FB4">
        <w:rPr>
          <w:rFonts w:ascii="Times New Roman" w:hAnsi="Times New Roman" w:cs="Times New Roman"/>
          <w:sz w:val="24"/>
          <w:szCs w:val="24"/>
        </w:rPr>
        <w:t xml:space="preserve">énergie,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plantation privée et étatique de teck,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plantation privée de </w:t>
      </w:r>
      <w:r w:rsidRPr="00210FB4">
        <w:rPr>
          <w:rFonts w:ascii="Times New Roman" w:hAnsi="Times New Roman" w:cs="Times New Roman"/>
          <w:i/>
          <w:sz w:val="24"/>
          <w:szCs w:val="24"/>
        </w:rPr>
        <w:t>Anacardium occidentale</w:t>
      </w:r>
      <w:r w:rsidRPr="00210FB4">
        <w:rPr>
          <w:rFonts w:ascii="Times New Roman" w:hAnsi="Times New Roman" w:cs="Times New Roman"/>
          <w:sz w:val="24"/>
          <w:szCs w:val="24"/>
        </w:rPr>
        <w:t xml:space="preserve">, agroforesterie à karité, </w:t>
      </w:r>
      <w:r w:rsidR="00FF5271">
        <w:rPr>
          <w:rFonts w:ascii="Times New Roman" w:hAnsi="Times New Roman" w:cs="Times New Roman"/>
          <w:sz w:val="24"/>
          <w:szCs w:val="24"/>
        </w:rPr>
        <w:t>l’</w:t>
      </w:r>
      <w:r w:rsidRPr="00210FB4">
        <w:rPr>
          <w:rFonts w:ascii="Times New Roman" w:hAnsi="Times New Roman" w:cs="Times New Roman"/>
          <w:sz w:val="24"/>
          <w:szCs w:val="24"/>
        </w:rPr>
        <w:t xml:space="preserve">agroforesterie à café-cacao,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protection et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restauration de la biodiversité à travers la promotion de l'apiculture, </w:t>
      </w:r>
      <w:r w:rsidR="00FF5271">
        <w:rPr>
          <w:rFonts w:ascii="Times New Roman" w:hAnsi="Times New Roman" w:cs="Times New Roman"/>
          <w:sz w:val="24"/>
          <w:szCs w:val="24"/>
        </w:rPr>
        <w:t>l’initiative</w:t>
      </w:r>
      <w:r w:rsidRPr="00210FB4">
        <w:rPr>
          <w:rFonts w:ascii="Times New Roman" w:hAnsi="Times New Roman" w:cs="Times New Roman"/>
          <w:sz w:val="24"/>
          <w:szCs w:val="24"/>
        </w:rPr>
        <w:t xml:space="preserve"> d’agroforesterie et de foresterie Villageoise, </w:t>
      </w:r>
      <w:r w:rsidR="00FF5271">
        <w:rPr>
          <w:rFonts w:ascii="Times New Roman" w:hAnsi="Times New Roman" w:cs="Times New Roman"/>
          <w:sz w:val="24"/>
          <w:szCs w:val="24"/>
        </w:rPr>
        <w:t>plantation d'arbres fertilisants</w:t>
      </w:r>
      <w:r w:rsidRPr="00210FB4">
        <w:rPr>
          <w:rFonts w:ascii="Times New Roman" w:hAnsi="Times New Roman" w:cs="Times New Roman"/>
          <w:sz w:val="24"/>
          <w:szCs w:val="24"/>
        </w:rPr>
        <w:t xml:space="preserve"> dans les champs, protection de berge des cours d’eaux,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restauration de cuvette de barrage,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restauration de flancs de montagnes, terres dégradées et de</w:t>
      </w:r>
      <w:r w:rsidR="00FF5271">
        <w:rPr>
          <w:rFonts w:ascii="Times New Roman" w:hAnsi="Times New Roman" w:cs="Times New Roman"/>
          <w:sz w:val="24"/>
          <w:szCs w:val="24"/>
        </w:rPr>
        <w:t>s</w:t>
      </w:r>
      <w:r w:rsidRPr="00210FB4">
        <w:rPr>
          <w:rFonts w:ascii="Times New Roman" w:hAnsi="Times New Roman" w:cs="Times New Roman"/>
          <w:sz w:val="24"/>
          <w:szCs w:val="24"/>
        </w:rPr>
        <w:t xml:space="preserve"> mangrove</w:t>
      </w:r>
      <w:r w:rsidR="00FF5271">
        <w:rPr>
          <w:rFonts w:ascii="Times New Roman" w:hAnsi="Times New Roman" w:cs="Times New Roman"/>
          <w:sz w:val="24"/>
          <w:szCs w:val="24"/>
        </w:rPr>
        <w:t>s</w:t>
      </w:r>
      <w:r w:rsidRPr="00210FB4">
        <w:rPr>
          <w:rFonts w:ascii="Times New Roman" w:hAnsi="Times New Roman" w:cs="Times New Roman"/>
          <w:sz w:val="24"/>
          <w:szCs w:val="24"/>
        </w:rPr>
        <w:t>. En rapport avec ces objectifs, la mise en place et la r</w:t>
      </w:r>
      <w:r w:rsidR="00FF5271">
        <w:rPr>
          <w:rFonts w:ascii="Times New Roman" w:hAnsi="Times New Roman" w:cs="Times New Roman"/>
          <w:sz w:val="24"/>
          <w:szCs w:val="24"/>
        </w:rPr>
        <w:t>edynamisation des comités anti-</w:t>
      </w:r>
      <w:r w:rsidRPr="00210FB4">
        <w:rPr>
          <w:rFonts w:ascii="Times New Roman" w:hAnsi="Times New Roman" w:cs="Times New Roman"/>
          <w:sz w:val="24"/>
          <w:szCs w:val="24"/>
        </w:rPr>
        <w:t xml:space="preserve">feux au niveau des communautés, l’appui technique et en matériels aux comités anti feux et la réalisation des pare-feu et </w:t>
      </w:r>
      <w:r w:rsidR="00FF5271">
        <w:rPr>
          <w:rFonts w:ascii="Times New Roman" w:hAnsi="Times New Roman" w:cs="Times New Roman"/>
          <w:sz w:val="24"/>
          <w:szCs w:val="24"/>
        </w:rPr>
        <w:t xml:space="preserve">la </w:t>
      </w:r>
      <w:r w:rsidRPr="00210FB4">
        <w:rPr>
          <w:rFonts w:ascii="Times New Roman" w:hAnsi="Times New Roman" w:cs="Times New Roman"/>
          <w:sz w:val="24"/>
          <w:szCs w:val="24"/>
        </w:rPr>
        <w:t xml:space="preserve">surveillance des forêts ont permis par exemple de protéger 20 ha de berge de cours d’eau, 266 ha de forêts dans la plaine de Mô, </w:t>
      </w:r>
      <w:r w:rsidR="0038037D">
        <w:rPr>
          <w:rFonts w:ascii="Times New Roman" w:hAnsi="Times New Roman" w:cs="Times New Roman"/>
          <w:sz w:val="24"/>
          <w:szCs w:val="24"/>
        </w:rPr>
        <w:t>etc.</w:t>
      </w:r>
    </w:p>
    <w:p w14:paraId="3E87D937" w14:textId="77777777" w:rsidR="00D31C6C" w:rsidRPr="00210FB4" w:rsidRDefault="00D31C6C" w:rsidP="00210FB4">
      <w:pPr>
        <w:autoSpaceDE w:val="0"/>
        <w:autoSpaceDN w:val="0"/>
        <w:adjustRightInd w:val="0"/>
        <w:spacing w:after="0" w:line="240" w:lineRule="auto"/>
        <w:jc w:val="both"/>
        <w:rPr>
          <w:rFonts w:ascii="Times New Roman" w:hAnsi="Times New Roman" w:cs="Times New Roman"/>
          <w:sz w:val="24"/>
          <w:szCs w:val="24"/>
        </w:rPr>
      </w:pPr>
    </w:p>
    <w:p w14:paraId="7CA4EBC4" w14:textId="1F9350CD" w:rsidR="00D31C6C" w:rsidRPr="00210FB4" w:rsidRDefault="00D31C6C" w:rsidP="00210FB4">
      <w:pPr>
        <w:autoSpaceDE w:val="0"/>
        <w:autoSpaceDN w:val="0"/>
        <w:adjustRightInd w:val="0"/>
        <w:spacing w:after="0" w:line="240" w:lineRule="auto"/>
        <w:jc w:val="both"/>
        <w:rPr>
          <w:rFonts w:ascii="Times New Roman" w:hAnsi="Times New Roman" w:cs="Times New Roman"/>
          <w:sz w:val="24"/>
          <w:szCs w:val="24"/>
        </w:rPr>
      </w:pPr>
      <w:r w:rsidRPr="00210FB4">
        <w:rPr>
          <w:rFonts w:ascii="Times New Roman" w:hAnsi="Times New Roman" w:cs="Times New Roman"/>
          <w:sz w:val="24"/>
          <w:szCs w:val="24"/>
        </w:rPr>
        <w:t>Les différentes actions réalisées ont par ailleurs contribué à l’amélioration de la mobilisation de ressources en vue de la conservation de la biodiversité (Objectifs 20 d’Aichi) et rentre dans l’objectif 17 des ODD. Des actions ayant contribué à la sensibilisation et au renforcement des capacités (Objectif 1 d’Aichi) des acteurs</w:t>
      </w:r>
      <w:r w:rsidR="00FF5271">
        <w:rPr>
          <w:rFonts w:ascii="Times New Roman" w:hAnsi="Times New Roman" w:cs="Times New Roman"/>
          <w:sz w:val="24"/>
          <w:szCs w:val="24"/>
        </w:rPr>
        <w:t>,</w:t>
      </w:r>
      <w:r w:rsidRPr="00210FB4">
        <w:rPr>
          <w:rFonts w:ascii="Times New Roman" w:hAnsi="Times New Roman" w:cs="Times New Roman"/>
          <w:sz w:val="24"/>
          <w:szCs w:val="24"/>
        </w:rPr>
        <w:t xml:space="preserve"> y compris l</w:t>
      </w:r>
      <w:r w:rsidR="00FF5271">
        <w:rPr>
          <w:rFonts w:ascii="Times New Roman" w:hAnsi="Times New Roman" w:cs="Times New Roman"/>
          <w:sz w:val="24"/>
          <w:szCs w:val="24"/>
        </w:rPr>
        <w:t>es communautés locales ont pris</w:t>
      </w:r>
      <w:r w:rsidRPr="00210FB4">
        <w:rPr>
          <w:rFonts w:ascii="Times New Roman" w:hAnsi="Times New Roman" w:cs="Times New Roman"/>
          <w:sz w:val="24"/>
          <w:szCs w:val="24"/>
        </w:rPr>
        <w:t xml:space="preserve"> en compte les femmes et les filles en les éduquant sur l’intérêt de la conservation de la biodiversité et les rendant autonome à travers les activités génératrice</w:t>
      </w:r>
      <w:r w:rsidR="00FF5271">
        <w:rPr>
          <w:rFonts w:ascii="Times New Roman" w:hAnsi="Times New Roman" w:cs="Times New Roman"/>
          <w:sz w:val="24"/>
          <w:szCs w:val="24"/>
        </w:rPr>
        <w:t>s de revenus. Ces activités rent</w:t>
      </w:r>
      <w:r w:rsidRPr="00210FB4">
        <w:rPr>
          <w:rFonts w:ascii="Times New Roman" w:hAnsi="Times New Roman" w:cs="Times New Roman"/>
          <w:sz w:val="24"/>
          <w:szCs w:val="24"/>
        </w:rPr>
        <w:t>re</w:t>
      </w:r>
      <w:r w:rsidR="00FF5271">
        <w:rPr>
          <w:rFonts w:ascii="Times New Roman" w:hAnsi="Times New Roman" w:cs="Times New Roman"/>
          <w:sz w:val="24"/>
          <w:szCs w:val="24"/>
        </w:rPr>
        <w:t>nt</w:t>
      </w:r>
      <w:r w:rsidRPr="00210FB4">
        <w:rPr>
          <w:rFonts w:ascii="Times New Roman" w:hAnsi="Times New Roman" w:cs="Times New Roman"/>
          <w:sz w:val="24"/>
          <w:szCs w:val="24"/>
        </w:rPr>
        <w:t xml:space="preserve"> dans les objectifs 4 et 5 des ODD.</w:t>
      </w:r>
    </w:p>
    <w:p w14:paraId="38FDBD4A" w14:textId="21B08996" w:rsidR="00893992" w:rsidRPr="00AD6D69" w:rsidRDefault="00210FB4" w:rsidP="0038037D">
      <w:pPr>
        <w:rPr>
          <w:rFonts w:ascii="Times New Roman Gras" w:eastAsiaTheme="majorEastAsia" w:hAnsi="Times New Roman Gras" w:cs="Times New Roman"/>
          <w:b/>
          <w:bCs/>
          <w:caps/>
          <w:color w:val="2E74B5" w:themeColor="accent1" w:themeShade="BF"/>
          <w:sz w:val="28"/>
          <w:szCs w:val="28"/>
        </w:rPr>
      </w:pPr>
      <w:r>
        <w:rPr>
          <w:rFonts w:ascii="Times New Roman" w:hAnsi="Times New Roman" w:cs="Times New Roman"/>
          <w:b/>
          <w:color w:val="000000"/>
          <w:sz w:val="24"/>
          <w:szCs w:val="24"/>
        </w:rPr>
        <w:br w:type="page"/>
      </w:r>
      <w:bookmarkStart w:id="71" w:name="_Toc533413765"/>
      <w:r w:rsidR="00893992" w:rsidRPr="00AD6D69">
        <w:rPr>
          <w:rFonts w:ascii="Times New Roman Gras" w:eastAsiaTheme="majorEastAsia" w:hAnsi="Times New Roman Gras" w:cs="Times New Roman"/>
          <w:b/>
          <w:bCs/>
          <w:caps/>
          <w:color w:val="2E74B5" w:themeColor="accent1" w:themeShade="BF"/>
          <w:sz w:val="28"/>
          <w:szCs w:val="28"/>
        </w:rPr>
        <w:t>V. Contribution nationale en vue de la réalisation des objectifs de la Stratégie mondiale pour la conservation des plantes</w:t>
      </w:r>
      <w:bookmarkEnd w:id="71"/>
    </w:p>
    <w:p w14:paraId="795388DC" w14:textId="77777777" w:rsidR="00CD0979" w:rsidRPr="001557BB" w:rsidRDefault="00CD0979" w:rsidP="001557BB">
      <w:pPr>
        <w:autoSpaceDE w:val="0"/>
        <w:autoSpaceDN w:val="0"/>
        <w:adjustRightInd w:val="0"/>
        <w:spacing w:after="0" w:line="240" w:lineRule="auto"/>
        <w:jc w:val="both"/>
        <w:rPr>
          <w:rFonts w:ascii="Times New Roman" w:hAnsi="Times New Roman" w:cs="Times New Roman"/>
          <w:b/>
          <w:color w:val="000000"/>
          <w:sz w:val="24"/>
          <w:szCs w:val="24"/>
        </w:rPr>
      </w:pPr>
    </w:p>
    <w:p w14:paraId="14B65CFB" w14:textId="1727B7FD" w:rsidR="007E55BC" w:rsidRPr="001557BB" w:rsidRDefault="007E55BC"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Lors de la sixième réunion de la conférence des Parties de la Convention sur la diversité qui s’est tenue à La Haye en avril 2002</w:t>
      </w:r>
      <w:r w:rsidR="00D66250" w:rsidRPr="001557BB">
        <w:rPr>
          <w:rFonts w:ascii="Times New Roman" w:hAnsi="Times New Roman" w:cs="Times New Roman"/>
          <w:sz w:val="24"/>
          <w:szCs w:val="24"/>
        </w:rPr>
        <w:t>, les p</w:t>
      </w:r>
      <w:r w:rsidRPr="001557BB">
        <w:rPr>
          <w:rFonts w:ascii="Times New Roman" w:hAnsi="Times New Roman" w:cs="Times New Roman"/>
          <w:sz w:val="24"/>
          <w:szCs w:val="24"/>
        </w:rPr>
        <w:t>arties signataires, les autres gouvernements et les</w:t>
      </w:r>
      <w:r w:rsidR="00C43706">
        <w:rPr>
          <w:rFonts w:ascii="Times New Roman" w:hAnsi="Times New Roman" w:cs="Times New Roman"/>
          <w:sz w:val="24"/>
          <w:szCs w:val="24"/>
        </w:rPr>
        <w:t xml:space="preserve"> </w:t>
      </w:r>
      <w:r w:rsidR="00A66194" w:rsidRPr="001557BB">
        <w:rPr>
          <w:rFonts w:ascii="Times New Roman" w:hAnsi="Times New Roman" w:cs="Times New Roman"/>
          <w:sz w:val="24"/>
          <w:szCs w:val="24"/>
        </w:rPr>
        <w:t>ONG</w:t>
      </w:r>
      <w:r w:rsidR="00C43706">
        <w:rPr>
          <w:rFonts w:ascii="Times New Roman" w:hAnsi="Times New Roman" w:cs="Times New Roman"/>
          <w:sz w:val="24"/>
          <w:szCs w:val="24"/>
        </w:rPr>
        <w:t xml:space="preserve"> </w:t>
      </w:r>
      <w:r w:rsidR="00D66250" w:rsidRPr="001557BB">
        <w:rPr>
          <w:rFonts w:ascii="Times New Roman" w:hAnsi="Times New Roman" w:cs="Times New Roman"/>
          <w:sz w:val="24"/>
          <w:szCs w:val="24"/>
        </w:rPr>
        <w:t>ont</w:t>
      </w:r>
      <w:r w:rsidR="00C43706">
        <w:rPr>
          <w:rFonts w:ascii="Times New Roman" w:hAnsi="Times New Roman" w:cs="Times New Roman"/>
          <w:sz w:val="24"/>
          <w:szCs w:val="24"/>
        </w:rPr>
        <w:t xml:space="preserve"> </w:t>
      </w:r>
      <w:r w:rsidR="00D66250" w:rsidRPr="001557BB">
        <w:rPr>
          <w:rFonts w:ascii="Times New Roman" w:hAnsi="Times New Roman" w:cs="Times New Roman"/>
          <w:sz w:val="24"/>
          <w:szCs w:val="24"/>
        </w:rPr>
        <w:t>mis en place la</w:t>
      </w:r>
      <w:r w:rsidRPr="001557BB">
        <w:rPr>
          <w:rFonts w:ascii="Times New Roman" w:hAnsi="Times New Roman" w:cs="Times New Roman"/>
          <w:sz w:val="24"/>
          <w:szCs w:val="24"/>
        </w:rPr>
        <w:t xml:space="preserve"> stratégie mondiale pour la</w:t>
      </w:r>
      <w:r w:rsidR="00C43706">
        <w:rPr>
          <w:rFonts w:ascii="Times New Roman" w:hAnsi="Times New Roman" w:cs="Times New Roman"/>
          <w:sz w:val="24"/>
          <w:szCs w:val="24"/>
        </w:rPr>
        <w:t xml:space="preserve"> </w:t>
      </w:r>
      <w:r w:rsidRPr="001557BB">
        <w:rPr>
          <w:rFonts w:ascii="Times New Roman" w:hAnsi="Times New Roman" w:cs="Times New Roman"/>
          <w:sz w:val="24"/>
          <w:szCs w:val="24"/>
        </w:rPr>
        <w:t xml:space="preserve">conservation des </w:t>
      </w:r>
      <w:r w:rsidR="00CA6300" w:rsidRPr="001557BB">
        <w:rPr>
          <w:rFonts w:ascii="Times New Roman" w:hAnsi="Times New Roman" w:cs="Times New Roman"/>
          <w:sz w:val="24"/>
          <w:szCs w:val="24"/>
        </w:rPr>
        <w:t>plantes</w:t>
      </w:r>
      <w:r w:rsidR="00C43706">
        <w:rPr>
          <w:rFonts w:ascii="Times New Roman" w:hAnsi="Times New Roman" w:cs="Times New Roman"/>
          <w:sz w:val="24"/>
          <w:szCs w:val="24"/>
        </w:rPr>
        <w:t xml:space="preserve"> </w:t>
      </w:r>
      <w:r w:rsidR="00CA6300" w:rsidRPr="001557BB">
        <w:rPr>
          <w:rFonts w:ascii="Times New Roman" w:hAnsi="Times New Roman" w:cs="Times New Roman"/>
          <w:sz w:val="24"/>
          <w:szCs w:val="24"/>
        </w:rPr>
        <w:t xml:space="preserve">(SMCP) </w:t>
      </w:r>
      <w:r w:rsidRPr="001557BB">
        <w:rPr>
          <w:rFonts w:ascii="Times New Roman" w:hAnsi="Times New Roman" w:cs="Times New Roman"/>
          <w:sz w:val="24"/>
          <w:szCs w:val="24"/>
        </w:rPr>
        <w:t>(Décision VI/9</w:t>
      </w:r>
      <w:r w:rsidR="00A66194" w:rsidRPr="001557BB">
        <w:rPr>
          <w:rFonts w:ascii="Times New Roman" w:hAnsi="Times New Roman" w:cs="Times New Roman"/>
          <w:sz w:val="24"/>
          <w:szCs w:val="24"/>
        </w:rPr>
        <w:t>)</w:t>
      </w:r>
      <w:r w:rsidR="00C43706">
        <w:rPr>
          <w:rFonts w:ascii="Times New Roman" w:hAnsi="Times New Roman" w:cs="Times New Roman"/>
          <w:sz w:val="24"/>
          <w:szCs w:val="24"/>
        </w:rPr>
        <w:t xml:space="preserve"> </w:t>
      </w:r>
      <w:r w:rsidR="00A66194" w:rsidRPr="001557BB">
        <w:rPr>
          <w:rFonts w:ascii="Times New Roman" w:hAnsi="Times New Roman" w:cs="Times New Roman"/>
          <w:sz w:val="24"/>
          <w:szCs w:val="24"/>
        </w:rPr>
        <w:t xml:space="preserve">qui a été </w:t>
      </w:r>
      <w:r w:rsidR="00D66250" w:rsidRPr="001557BB">
        <w:rPr>
          <w:rFonts w:ascii="Times New Roman" w:hAnsi="Times New Roman" w:cs="Times New Roman"/>
          <w:sz w:val="24"/>
          <w:szCs w:val="24"/>
        </w:rPr>
        <w:t>unanimement adoptée</w:t>
      </w:r>
      <w:r w:rsidRPr="001557BB">
        <w:rPr>
          <w:rFonts w:ascii="Times New Roman" w:hAnsi="Times New Roman" w:cs="Times New Roman"/>
          <w:sz w:val="24"/>
          <w:szCs w:val="24"/>
        </w:rPr>
        <w:t>. Bien que l’entrée principale de lastratégie soit la conservation des plantes, d’autres</w:t>
      </w:r>
      <w:r w:rsidR="00C43706">
        <w:rPr>
          <w:rFonts w:ascii="Times New Roman" w:hAnsi="Times New Roman" w:cs="Times New Roman"/>
          <w:sz w:val="24"/>
          <w:szCs w:val="24"/>
        </w:rPr>
        <w:t xml:space="preserve"> </w:t>
      </w:r>
      <w:r w:rsidRPr="001557BB">
        <w:rPr>
          <w:rFonts w:ascii="Times New Roman" w:hAnsi="Times New Roman" w:cs="Times New Roman"/>
          <w:sz w:val="24"/>
          <w:szCs w:val="24"/>
        </w:rPr>
        <w:t>aspects tel</w:t>
      </w:r>
      <w:r w:rsidR="007C5F06">
        <w:rPr>
          <w:rFonts w:ascii="Times New Roman" w:hAnsi="Times New Roman" w:cs="Times New Roman"/>
          <w:sz w:val="24"/>
          <w:szCs w:val="24"/>
        </w:rPr>
        <w:t>s que l’exploitation durable, et le</w:t>
      </w:r>
      <w:r w:rsidRPr="001557BB">
        <w:rPr>
          <w:rFonts w:ascii="Times New Roman" w:hAnsi="Times New Roman" w:cs="Times New Roman"/>
          <w:sz w:val="24"/>
          <w:szCs w:val="24"/>
        </w:rPr>
        <w:t xml:space="preserve"> partage des</w:t>
      </w:r>
      <w:r w:rsidR="00C43706">
        <w:rPr>
          <w:rFonts w:ascii="Times New Roman" w:hAnsi="Times New Roman" w:cs="Times New Roman"/>
          <w:sz w:val="24"/>
          <w:szCs w:val="24"/>
        </w:rPr>
        <w:t xml:space="preserve"> </w:t>
      </w:r>
      <w:r w:rsidRPr="001557BB">
        <w:rPr>
          <w:rFonts w:ascii="Times New Roman" w:hAnsi="Times New Roman" w:cs="Times New Roman"/>
          <w:sz w:val="24"/>
          <w:szCs w:val="24"/>
        </w:rPr>
        <w:t>bénéfices sont également</w:t>
      </w:r>
      <w:r w:rsidR="00C43706">
        <w:rPr>
          <w:rFonts w:ascii="Times New Roman" w:hAnsi="Times New Roman" w:cs="Times New Roman"/>
          <w:sz w:val="24"/>
          <w:szCs w:val="24"/>
        </w:rPr>
        <w:t xml:space="preserve"> </w:t>
      </w:r>
      <w:r w:rsidRPr="001557BB">
        <w:rPr>
          <w:rFonts w:ascii="Times New Roman" w:hAnsi="Times New Roman" w:cs="Times New Roman"/>
          <w:sz w:val="24"/>
          <w:szCs w:val="24"/>
        </w:rPr>
        <w:t>abordés.</w:t>
      </w:r>
    </w:p>
    <w:p w14:paraId="3319C2CE" w14:textId="77777777" w:rsidR="00D66250" w:rsidRPr="001557BB" w:rsidRDefault="00D66250" w:rsidP="001557BB">
      <w:pPr>
        <w:autoSpaceDE w:val="0"/>
        <w:autoSpaceDN w:val="0"/>
        <w:adjustRightInd w:val="0"/>
        <w:spacing w:after="0" w:line="240" w:lineRule="auto"/>
        <w:jc w:val="both"/>
        <w:rPr>
          <w:rFonts w:ascii="Times New Roman" w:hAnsi="Times New Roman" w:cs="Times New Roman"/>
          <w:sz w:val="24"/>
          <w:szCs w:val="24"/>
        </w:rPr>
      </w:pPr>
    </w:p>
    <w:p w14:paraId="7E532675" w14:textId="557848EC" w:rsidR="00A66194" w:rsidRPr="001557BB" w:rsidRDefault="00A66194"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La stratégie fournie un cadre innovant pour les actions au niveau mondial, régional, national et local. La dimension mondiale est importante car elle facilite le développement d’un consensus sur les objectifs, les buts et les actions clés et engendre </w:t>
      </w:r>
      <w:r w:rsidR="00606381">
        <w:rPr>
          <w:rFonts w:ascii="Times New Roman" w:hAnsi="Times New Roman" w:cs="Times New Roman"/>
          <w:sz w:val="24"/>
          <w:szCs w:val="24"/>
        </w:rPr>
        <w:t xml:space="preserve">la </w:t>
      </w:r>
      <w:r w:rsidRPr="001557BB">
        <w:rPr>
          <w:rFonts w:ascii="Times New Roman" w:hAnsi="Times New Roman" w:cs="Times New Roman"/>
          <w:sz w:val="24"/>
          <w:szCs w:val="24"/>
        </w:rPr>
        <w:t xml:space="preserve">collaboration et </w:t>
      </w:r>
      <w:r w:rsidR="00606381">
        <w:rPr>
          <w:rFonts w:ascii="Times New Roman" w:hAnsi="Times New Roman" w:cs="Times New Roman"/>
          <w:sz w:val="24"/>
          <w:szCs w:val="24"/>
        </w:rPr>
        <w:t xml:space="preserve">la </w:t>
      </w:r>
      <w:r w:rsidRPr="001557BB">
        <w:rPr>
          <w:rFonts w:ascii="Times New Roman" w:hAnsi="Times New Roman" w:cs="Times New Roman"/>
          <w:sz w:val="24"/>
          <w:szCs w:val="24"/>
        </w:rPr>
        <w:t xml:space="preserve">synergie à tous les niveaux. La stratégie est soutenue par un grand nombre d’organisations et d’institutions </w:t>
      </w:r>
      <w:r w:rsidR="00606381">
        <w:rPr>
          <w:rFonts w:ascii="Times New Roman" w:hAnsi="Times New Roman" w:cs="Times New Roman"/>
          <w:sz w:val="24"/>
          <w:szCs w:val="24"/>
        </w:rPr>
        <w:t>(</w:t>
      </w:r>
      <w:r w:rsidRPr="001557BB">
        <w:rPr>
          <w:rFonts w:ascii="Times New Roman" w:hAnsi="Times New Roman" w:cs="Times New Roman"/>
          <w:sz w:val="24"/>
          <w:szCs w:val="24"/>
        </w:rPr>
        <w:t>gouvernements, organisations inter-gouvernementales, organismes de conservation et de recherche (tels que des programmes de gestion des réserves, des jardins botaniques et des banques de gènes), des universités, des instituts de recherche, des organisations non-gouvernementales et leurs réseaux, et le secteur privé</w:t>
      </w:r>
      <w:r w:rsidR="00606381">
        <w:rPr>
          <w:rFonts w:ascii="Times New Roman" w:hAnsi="Times New Roman" w:cs="Times New Roman"/>
          <w:sz w:val="24"/>
          <w:szCs w:val="24"/>
        </w:rPr>
        <w:t>)</w:t>
      </w:r>
      <w:r w:rsidRPr="001557BB">
        <w:rPr>
          <w:rFonts w:ascii="Times New Roman" w:hAnsi="Times New Roman" w:cs="Times New Roman"/>
          <w:sz w:val="24"/>
          <w:szCs w:val="24"/>
        </w:rPr>
        <w:t>. L’élément le plus innovant de la stratégie est qu’elle comprend 16 objectifs concrets, visant à atteindre une série de réalisations mesurables à l’horizon 2010.</w:t>
      </w:r>
    </w:p>
    <w:p w14:paraId="56F75D99" w14:textId="77777777" w:rsidR="00A66194" w:rsidRPr="001557BB" w:rsidRDefault="00A66194" w:rsidP="001557BB">
      <w:pPr>
        <w:autoSpaceDE w:val="0"/>
        <w:autoSpaceDN w:val="0"/>
        <w:adjustRightInd w:val="0"/>
        <w:spacing w:after="0" w:line="240" w:lineRule="auto"/>
        <w:jc w:val="both"/>
        <w:rPr>
          <w:rFonts w:ascii="Times New Roman" w:hAnsi="Times New Roman" w:cs="Times New Roman"/>
          <w:sz w:val="24"/>
          <w:szCs w:val="24"/>
        </w:rPr>
      </w:pPr>
    </w:p>
    <w:p w14:paraId="6ACEA39A" w14:textId="77777777" w:rsidR="00FE24C6" w:rsidRPr="001557BB" w:rsidRDefault="00FE24C6" w:rsidP="001557BB">
      <w:pPr>
        <w:autoSpaceDE w:val="0"/>
        <w:autoSpaceDN w:val="0"/>
        <w:adjustRightInd w:val="0"/>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Au Togo</w:t>
      </w:r>
      <w:r w:rsidR="00606381">
        <w:rPr>
          <w:rFonts w:ascii="Times New Roman" w:hAnsi="Times New Roman" w:cs="Times New Roman"/>
          <w:sz w:val="24"/>
          <w:szCs w:val="24"/>
        </w:rPr>
        <w:t>,</w:t>
      </w:r>
      <w:r w:rsidRPr="001557BB">
        <w:rPr>
          <w:rFonts w:ascii="Times New Roman" w:hAnsi="Times New Roman" w:cs="Times New Roman"/>
          <w:sz w:val="24"/>
          <w:szCs w:val="24"/>
        </w:rPr>
        <w:t xml:space="preserve"> la SMCP a été accueillie favorablement</w:t>
      </w:r>
      <w:r w:rsidR="00606381">
        <w:rPr>
          <w:rFonts w:ascii="Times New Roman" w:hAnsi="Times New Roman" w:cs="Times New Roman"/>
          <w:sz w:val="24"/>
          <w:szCs w:val="24"/>
        </w:rPr>
        <w:t xml:space="preserve"> avec la nomination d’</w:t>
      </w:r>
      <w:r w:rsidRPr="001557BB">
        <w:rPr>
          <w:rFonts w:ascii="Times New Roman" w:hAnsi="Times New Roman" w:cs="Times New Roman"/>
          <w:sz w:val="24"/>
          <w:szCs w:val="24"/>
        </w:rPr>
        <w:t xml:space="preserve">un point focal  </w:t>
      </w:r>
      <w:r w:rsidR="00606381">
        <w:rPr>
          <w:rFonts w:ascii="Times New Roman" w:hAnsi="Times New Roman" w:cs="Times New Roman"/>
          <w:sz w:val="24"/>
          <w:szCs w:val="24"/>
        </w:rPr>
        <w:t xml:space="preserve">au </w:t>
      </w:r>
      <w:r w:rsidRPr="001557BB">
        <w:rPr>
          <w:rFonts w:ascii="Times New Roman" w:hAnsi="Times New Roman" w:cs="Times New Roman"/>
          <w:sz w:val="24"/>
          <w:szCs w:val="24"/>
        </w:rPr>
        <w:t xml:space="preserve">Ministère de l’Environnement et des Ressources Forestières (MERF). </w:t>
      </w:r>
      <w:r w:rsidR="00606381">
        <w:rPr>
          <w:rFonts w:ascii="Times New Roman" w:hAnsi="Times New Roman" w:cs="Times New Roman"/>
          <w:sz w:val="24"/>
          <w:szCs w:val="24"/>
        </w:rPr>
        <w:t>D</w:t>
      </w:r>
      <w:r w:rsidRPr="001557BB">
        <w:rPr>
          <w:rFonts w:ascii="Times New Roman" w:hAnsi="Times New Roman" w:cs="Times New Roman"/>
          <w:sz w:val="24"/>
          <w:szCs w:val="24"/>
        </w:rPr>
        <w:t xml:space="preserve">ans le cadre du </w:t>
      </w:r>
      <w:r w:rsidR="00606381">
        <w:rPr>
          <w:rFonts w:ascii="Times New Roman" w:hAnsi="Times New Roman" w:cs="Times New Roman"/>
          <w:sz w:val="24"/>
          <w:szCs w:val="24"/>
        </w:rPr>
        <w:t xml:space="preserve">présent rapport </w:t>
      </w:r>
      <w:r w:rsidRPr="001557BB">
        <w:rPr>
          <w:rFonts w:ascii="Times New Roman" w:hAnsi="Times New Roman" w:cs="Times New Roman"/>
          <w:sz w:val="24"/>
          <w:szCs w:val="24"/>
        </w:rPr>
        <w:t>des initiatives contribu</w:t>
      </w:r>
      <w:r w:rsidR="00606381">
        <w:rPr>
          <w:rFonts w:ascii="Times New Roman" w:hAnsi="Times New Roman" w:cs="Times New Roman"/>
          <w:sz w:val="24"/>
          <w:szCs w:val="24"/>
        </w:rPr>
        <w:t>a</w:t>
      </w:r>
      <w:r w:rsidRPr="001557BB">
        <w:rPr>
          <w:rFonts w:ascii="Times New Roman" w:hAnsi="Times New Roman" w:cs="Times New Roman"/>
          <w:sz w:val="24"/>
          <w:szCs w:val="24"/>
        </w:rPr>
        <w:t xml:space="preserve">nt à la mise en œuvre de </w:t>
      </w:r>
      <w:r w:rsidR="00D71AC4" w:rsidRPr="001557BB">
        <w:rPr>
          <w:rFonts w:ascii="Times New Roman" w:hAnsi="Times New Roman" w:cs="Times New Roman"/>
          <w:sz w:val="24"/>
          <w:szCs w:val="24"/>
        </w:rPr>
        <w:t xml:space="preserve">la </w:t>
      </w:r>
      <w:r w:rsidR="00606381">
        <w:rPr>
          <w:rFonts w:ascii="Times New Roman" w:hAnsi="Times New Roman" w:cs="Times New Roman"/>
          <w:sz w:val="24"/>
          <w:szCs w:val="24"/>
        </w:rPr>
        <w:t>S</w:t>
      </w:r>
      <w:r w:rsidR="00D71AC4" w:rsidRPr="001557BB">
        <w:rPr>
          <w:rFonts w:ascii="Times New Roman" w:hAnsi="Times New Roman" w:cs="Times New Roman"/>
          <w:sz w:val="24"/>
          <w:szCs w:val="24"/>
        </w:rPr>
        <w:t xml:space="preserve">MCP </w:t>
      </w:r>
      <w:r w:rsidR="00606381">
        <w:rPr>
          <w:rFonts w:ascii="Times New Roman" w:hAnsi="Times New Roman" w:cs="Times New Roman"/>
          <w:sz w:val="24"/>
          <w:szCs w:val="24"/>
        </w:rPr>
        <w:t xml:space="preserve">a été exploré </w:t>
      </w:r>
      <w:r w:rsidRPr="001557BB">
        <w:rPr>
          <w:rFonts w:ascii="Times New Roman" w:hAnsi="Times New Roman" w:cs="Times New Roman"/>
          <w:sz w:val="24"/>
          <w:szCs w:val="24"/>
        </w:rPr>
        <w:t>à travers ses 16 objectifs.</w:t>
      </w:r>
    </w:p>
    <w:p w14:paraId="14672FCD" w14:textId="77777777" w:rsidR="00FE24C6" w:rsidRPr="001557BB" w:rsidRDefault="00FE24C6" w:rsidP="001557BB">
      <w:pPr>
        <w:autoSpaceDE w:val="0"/>
        <w:autoSpaceDN w:val="0"/>
        <w:adjustRightInd w:val="0"/>
        <w:spacing w:after="0" w:line="240" w:lineRule="auto"/>
        <w:jc w:val="both"/>
        <w:rPr>
          <w:rFonts w:ascii="Times New Roman" w:hAnsi="Times New Roman" w:cs="Times New Roman"/>
          <w:sz w:val="18"/>
          <w:szCs w:val="18"/>
        </w:rPr>
      </w:pPr>
    </w:p>
    <w:p w14:paraId="55A191D4" w14:textId="77777777" w:rsidR="00893992" w:rsidRPr="001557BB" w:rsidRDefault="00893992" w:rsidP="00A05444">
      <w:pPr>
        <w:autoSpaceDE w:val="0"/>
        <w:autoSpaceDN w:val="0"/>
        <w:adjustRightInd w:val="0"/>
        <w:spacing w:after="0" w:line="240" w:lineRule="auto"/>
        <w:outlineLvl w:val="0"/>
        <w:rPr>
          <w:rFonts w:ascii="Times New Roman" w:hAnsi="Times New Roman" w:cs="Times New Roman"/>
          <w:b/>
          <w:color w:val="000000"/>
          <w:sz w:val="24"/>
          <w:szCs w:val="24"/>
        </w:rPr>
      </w:pPr>
      <w:bookmarkStart w:id="72" w:name="_Toc533413766"/>
      <w:r w:rsidRPr="001557BB">
        <w:rPr>
          <w:rFonts w:ascii="Times New Roman" w:hAnsi="Times New Roman" w:cs="Times New Roman"/>
          <w:b/>
          <w:color w:val="000000"/>
          <w:sz w:val="24"/>
          <w:szCs w:val="24"/>
        </w:rPr>
        <w:t>5.1. Objectifs nationaux en lien avec les objectifs de la SMCP</w:t>
      </w:r>
      <w:bookmarkEnd w:id="72"/>
    </w:p>
    <w:p w14:paraId="3264615C" w14:textId="77777777" w:rsidR="00CD0979" w:rsidRPr="001557BB" w:rsidRDefault="00CD0979" w:rsidP="001557BB">
      <w:pPr>
        <w:autoSpaceDE w:val="0"/>
        <w:autoSpaceDN w:val="0"/>
        <w:adjustRightInd w:val="0"/>
        <w:spacing w:after="0" w:line="240" w:lineRule="auto"/>
        <w:jc w:val="both"/>
        <w:rPr>
          <w:rFonts w:ascii="Times New Roman" w:hAnsi="Times New Roman" w:cs="Times New Roman"/>
          <w:b/>
          <w:color w:val="000000"/>
          <w:sz w:val="24"/>
          <w:szCs w:val="24"/>
        </w:rPr>
      </w:pPr>
    </w:p>
    <w:p w14:paraId="4FF7DD1D" w14:textId="69CA2F50" w:rsidR="003B141C" w:rsidRPr="001557BB" w:rsidRDefault="003B141C"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sz w:val="24"/>
          <w:szCs w:val="24"/>
        </w:rPr>
        <w:t xml:space="preserve">À ce jour, le Togo n’a pas mis en place </w:t>
      </w:r>
      <w:r w:rsidR="00D71AC4" w:rsidRPr="001557BB">
        <w:rPr>
          <w:rFonts w:ascii="Times New Roman" w:hAnsi="Times New Roman" w:cs="Times New Roman"/>
          <w:sz w:val="24"/>
          <w:szCs w:val="24"/>
        </w:rPr>
        <w:t>des</w:t>
      </w:r>
      <w:r w:rsidRPr="001557BB">
        <w:rPr>
          <w:rFonts w:ascii="Times New Roman" w:hAnsi="Times New Roman" w:cs="Times New Roman"/>
          <w:sz w:val="24"/>
          <w:szCs w:val="24"/>
        </w:rPr>
        <w:t xml:space="preserve"> objectifs nationaux correspondant aux objectifs mondiaux et intégré ces derniers dans des plans, stratégies et programmes pertinents. Toutefois</w:t>
      </w:r>
      <w:r w:rsidR="007C5F06">
        <w:rPr>
          <w:rFonts w:ascii="Times New Roman" w:hAnsi="Times New Roman" w:cs="Times New Roman"/>
          <w:sz w:val="24"/>
          <w:szCs w:val="24"/>
        </w:rPr>
        <w:t>,</w:t>
      </w:r>
      <w:r w:rsidRPr="001557BB">
        <w:rPr>
          <w:rFonts w:ascii="Times New Roman" w:hAnsi="Times New Roman" w:cs="Times New Roman"/>
          <w:sz w:val="24"/>
          <w:szCs w:val="24"/>
        </w:rPr>
        <w:t xml:space="preserve"> les objectifs de la SMCP ont été intégrés dans le cinquième rapport national sur la diversité biologique du Togo 2009-2014, au titre de l’article 26 de la Convention sur la diversité biologique.</w:t>
      </w:r>
    </w:p>
    <w:p w14:paraId="72EA8171" w14:textId="77777777" w:rsidR="003B141C" w:rsidRPr="001557BB" w:rsidRDefault="003B141C" w:rsidP="001557BB">
      <w:pPr>
        <w:spacing w:after="0" w:line="240" w:lineRule="auto"/>
        <w:jc w:val="both"/>
        <w:rPr>
          <w:rFonts w:ascii="Times New Roman" w:hAnsi="Times New Roman" w:cs="Times New Roman"/>
          <w:sz w:val="24"/>
          <w:szCs w:val="24"/>
        </w:rPr>
      </w:pPr>
    </w:p>
    <w:p w14:paraId="2974B913" w14:textId="6A5C036B" w:rsidR="006E2E11" w:rsidRPr="001557BB" w:rsidRDefault="006E2E11" w:rsidP="001557BB">
      <w:pPr>
        <w:spacing w:after="0" w:line="240" w:lineRule="auto"/>
        <w:jc w:val="both"/>
        <w:rPr>
          <w:rFonts w:ascii="Times New Roman" w:hAnsi="Times New Roman" w:cs="Times New Roman"/>
          <w:sz w:val="24"/>
          <w:szCs w:val="24"/>
        </w:rPr>
      </w:pPr>
      <w:r w:rsidRPr="001557BB">
        <w:rPr>
          <w:rFonts w:ascii="Times New Roman" w:hAnsi="Times New Roman" w:cs="Times New Roman"/>
          <w:bCs/>
          <w:sz w:val="24"/>
          <w:szCs w:val="24"/>
        </w:rPr>
        <w:t>Ainsi</w:t>
      </w:r>
      <w:r w:rsidR="00E21BAB" w:rsidRPr="001557BB">
        <w:rPr>
          <w:rFonts w:ascii="Times New Roman" w:hAnsi="Times New Roman" w:cs="Times New Roman"/>
          <w:bCs/>
          <w:sz w:val="24"/>
          <w:szCs w:val="24"/>
        </w:rPr>
        <w:t>,</w:t>
      </w:r>
      <w:r w:rsidRPr="001557BB">
        <w:rPr>
          <w:rFonts w:ascii="Times New Roman" w:hAnsi="Times New Roman" w:cs="Times New Roman"/>
          <w:bCs/>
          <w:sz w:val="24"/>
          <w:szCs w:val="24"/>
        </w:rPr>
        <w:t xml:space="preserve"> plusieurs plans stratégiques et programmes sectoriels ont pris en compte l</w:t>
      </w:r>
      <w:r w:rsidRPr="001557BB">
        <w:rPr>
          <w:rFonts w:ascii="Times New Roman" w:hAnsi="Times New Roman" w:cs="Times New Roman"/>
          <w:sz w:val="24"/>
          <w:szCs w:val="24"/>
        </w:rPr>
        <w:t xml:space="preserve">es préoccupations environnementales en général et de la diversité biologique en particulier dans les stratégies, plans et programmes. Cette intégration est une réalité dans les documents de planification au niveau national comme la stratégie de </w:t>
      </w:r>
      <w:r w:rsidR="00606381">
        <w:rPr>
          <w:rFonts w:ascii="Times New Roman" w:hAnsi="Times New Roman" w:cs="Times New Roman"/>
          <w:sz w:val="24"/>
          <w:szCs w:val="24"/>
        </w:rPr>
        <w:t>croissance accélérée et de promotion de l’emploi</w:t>
      </w:r>
      <w:r w:rsidR="0069265F">
        <w:rPr>
          <w:rFonts w:ascii="Times New Roman" w:hAnsi="Times New Roman" w:cs="Times New Roman"/>
          <w:sz w:val="24"/>
          <w:szCs w:val="24"/>
        </w:rPr>
        <w:t xml:space="preserve"> </w:t>
      </w:r>
      <w:r w:rsidRPr="001557BB">
        <w:rPr>
          <w:rFonts w:ascii="Times New Roman" w:hAnsi="Times New Roman" w:cs="Times New Roman"/>
          <w:sz w:val="24"/>
          <w:szCs w:val="24"/>
        </w:rPr>
        <w:t xml:space="preserve">(SCAPE). </w:t>
      </w:r>
      <w:r w:rsidR="00E21BAB" w:rsidRPr="001557BB">
        <w:rPr>
          <w:rFonts w:ascii="Times New Roman" w:eastAsia="Times New Roman" w:hAnsi="Times New Roman" w:cs="Times New Roman"/>
          <w:iCs/>
          <w:sz w:val="24"/>
          <w:szCs w:val="24"/>
        </w:rPr>
        <w:t>L</w:t>
      </w:r>
      <w:r w:rsidR="002C74FE" w:rsidRPr="001557BB">
        <w:rPr>
          <w:rFonts w:ascii="Times New Roman" w:eastAsia="Times New Roman" w:hAnsi="Times New Roman" w:cs="Times New Roman"/>
          <w:iCs/>
          <w:sz w:val="24"/>
          <w:szCs w:val="24"/>
        </w:rPr>
        <w:t xml:space="preserve">’atteinte </w:t>
      </w:r>
      <w:r w:rsidR="00E21BAB" w:rsidRPr="001557BB">
        <w:rPr>
          <w:rFonts w:ascii="Times New Roman" w:eastAsia="Times New Roman" w:hAnsi="Times New Roman" w:cs="Times New Roman"/>
          <w:iCs/>
          <w:sz w:val="24"/>
          <w:szCs w:val="24"/>
        </w:rPr>
        <w:t xml:space="preserve">des objectifs nationaux </w:t>
      </w:r>
      <w:r w:rsidR="002C74FE" w:rsidRPr="001557BB">
        <w:rPr>
          <w:rFonts w:ascii="Times New Roman" w:eastAsia="Times New Roman" w:hAnsi="Times New Roman" w:cs="Times New Roman"/>
          <w:iCs/>
          <w:sz w:val="24"/>
          <w:szCs w:val="24"/>
        </w:rPr>
        <w:t>de la protection durable de l’environnement marin et côtier afin de valoriser les ressources naturelles biologiques</w:t>
      </w:r>
      <w:r w:rsidR="00C43706">
        <w:rPr>
          <w:rFonts w:ascii="Times New Roman" w:eastAsia="Times New Roman" w:hAnsi="Times New Roman" w:cs="Times New Roman"/>
          <w:iCs/>
          <w:sz w:val="24"/>
          <w:szCs w:val="24"/>
        </w:rPr>
        <w:t xml:space="preserve"> </w:t>
      </w:r>
      <w:r w:rsidR="00032367" w:rsidRPr="001557BB">
        <w:rPr>
          <w:rFonts w:ascii="Times New Roman" w:hAnsi="Times New Roman" w:cs="Times New Roman"/>
          <w:sz w:val="24"/>
          <w:szCs w:val="24"/>
        </w:rPr>
        <w:t>a été reprise</w:t>
      </w:r>
      <w:r w:rsidR="00E21BAB" w:rsidRPr="001557BB">
        <w:rPr>
          <w:rFonts w:ascii="Times New Roman" w:hAnsi="Times New Roman" w:cs="Times New Roman"/>
          <w:sz w:val="24"/>
          <w:szCs w:val="24"/>
        </w:rPr>
        <w:t xml:space="preserve"> dans le </w:t>
      </w:r>
      <w:r w:rsidR="002C74FE" w:rsidRPr="001557BB">
        <w:rPr>
          <w:rFonts w:ascii="Times New Roman" w:hAnsi="Times New Roman" w:cs="Times New Roman"/>
          <w:sz w:val="24"/>
          <w:szCs w:val="24"/>
        </w:rPr>
        <w:t>P</w:t>
      </w:r>
      <w:r w:rsidR="00E21BAB" w:rsidRPr="001557BB">
        <w:rPr>
          <w:rFonts w:ascii="Times New Roman" w:hAnsi="Times New Roman" w:cs="Times New Roman"/>
          <w:sz w:val="24"/>
          <w:szCs w:val="24"/>
        </w:rPr>
        <w:t>lan</w:t>
      </w:r>
      <w:r w:rsidR="002C74FE" w:rsidRPr="001557BB">
        <w:rPr>
          <w:rFonts w:ascii="Times New Roman" w:hAnsi="Times New Roman" w:cs="Times New Roman"/>
          <w:sz w:val="24"/>
          <w:szCs w:val="24"/>
        </w:rPr>
        <w:t xml:space="preserve"> N</w:t>
      </w:r>
      <w:r w:rsidR="00E21BAB" w:rsidRPr="001557BB">
        <w:rPr>
          <w:rFonts w:ascii="Times New Roman" w:hAnsi="Times New Roman" w:cs="Times New Roman"/>
          <w:sz w:val="24"/>
          <w:szCs w:val="24"/>
        </w:rPr>
        <w:t>ational</w:t>
      </w:r>
      <w:r w:rsidR="0069265F">
        <w:rPr>
          <w:rFonts w:ascii="Times New Roman" w:hAnsi="Times New Roman" w:cs="Times New Roman"/>
          <w:sz w:val="24"/>
          <w:szCs w:val="24"/>
        </w:rPr>
        <w:t xml:space="preserve"> </w:t>
      </w:r>
      <w:r w:rsidR="00E21BAB" w:rsidRPr="001557BB">
        <w:rPr>
          <w:rFonts w:ascii="Times New Roman" w:hAnsi="Times New Roman" w:cs="Times New Roman"/>
          <w:sz w:val="24"/>
          <w:szCs w:val="24"/>
        </w:rPr>
        <w:t>de</w:t>
      </w:r>
      <w:r w:rsidR="002C74FE" w:rsidRPr="001557BB">
        <w:rPr>
          <w:rFonts w:ascii="Times New Roman" w:hAnsi="Times New Roman" w:cs="Times New Roman"/>
          <w:sz w:val="24"/>
          <w:szCs w:val="24"/>
        </w:rPr>
        <w:t xml:space="preserve"> D</w:t>
      </w:r>
      <w:r w:rsidR="00E21BAB" w:rsidRPr="001557BB">
        <w:rPr>
          <w:rFonts w:ascii="Times New Roman" w:hAnsi="Times New Roman" w:cs="Times New Roman"/>
          <w:sz w:val="24"/>
          <w:szCs w:val="24"/>
        </w:rPr>
        <w:t>éveloppement</w:t>
      </w:r>
      <w:r w:rsidR="002C74FE" w:rsidRPr="001557BB">
        <w:rPr>
          <w:rFonts w:ascii="Times New Roman" w:hAnsi="Times New Roman" w:cs="Times New Roman"/>
          <w:sz w:val="24"/>
          <w:szCs w:val="24"/>
        </w:rPr>
        <w:t xml:space="preserve"> (PND) 2018-2022</w:t>
      </w:r>
      <w:r w:rsidR="00E21BAB" w:rsidRPr="001557BB">
        <w:rPr>
          <w:rFonts w:ascii="Times New Roman" w:hAnsi="Times New Roman" w:cs="Times New Roman"/>
          <w:sz w:val="24"/>
          <w:szCs w:val="24"/>
        </w:rPr>
        <w:t xml:space="preserve">. </w:t>
      </w:r>
      <w:r w:rsidRPr="001557BB">
        <w:rPr>
          <w:rFonts w:ascii="Times New Roman" w:hAnsi="Times New Roman" w:cs="Times New Roman"/>
          <w:sz w:val="24"/>
          <w:szCs w:val="24"/>
        </w:rPr>
        <w:t>Au ni</w:t>
      </w:r>
      <w:r w:rsidR="0069265F">
        <w:rPr>
          <w:rFonts w:ascii="Times New Roman" w:hAnsi="Times New Roman" w:cs="Times New Roman"/>
          <w:sz w:val="24"/>
          <w:szCs w:val="24"/>
        </w:rPr>
        <w:t>veau de certains secteurs comme</w:t>
      </w:r>
      <w:r w:rsidRPr="001557BB">
        <w:rPr>
          <w:rFonts w:ascii="Times New Roman" w:hAnsi="Times New Roman" w:cs="Times New Roman"/>
          <w:sz w:val="24"/>
          <w:szCs w:val="24"/>
        </w:rPr>
        <w:t xml:space="preserve"> l’eau et les ressources forestière</w:t>
      </w:r>
      <w:r w:rsidR="00C43706">
        <w:rPr>
          <w:rFonts w:ascii="Times New Roman" w:hAnsi="Times New Roman" w:cs="Times New Roman"/>
          <w:sz w:val="24"/>
          <w:szCs w:val="24"/>
        </w:rPr>
        <w:t>s</w:t>
      </w:r>
      <w:r w:rsidRPr="001557BB">
        <w:rPr>
          <w:rFonts w:ascii="Times New Roman" w:hAnsi="Times New Roman" w:cs="Times New Roman"/>
          <w:sz w:val="24"/>
          <w:szCs w:val="24"/>
        </w:rPr>
        <w:t xml:space="preserve"> on note une prise en compte de la diversité biologique dans les stratégies de ces secteurs. Dans les secteurs comme l’agriculture, les mines </w:t>
      </w:r>
      <w:r w:rsidR="00E21BAB" w:rsidRPr="001557BB">
        <w:rPr>
          <w:rFonts w:ascii="Times New Roman" w:hAnsi="Times New Roman" w:cs="Times New Roman"/>
          <w:sz w:val="24"/>
          <w:szCs w:val="24"/>
        </w:rPr>
        <w:t xml:space="preserve">et énergie, les infrastructures, </w:t>
      </w:r>
      <w:r w:rsidRPr="001557BB">
        <w:rPr>
          <w:rFonts w:ascii="Times New Roman" w:hAnsi="Times New Roman" w:cs="Times New Roman"/>
          <w:sz w:val="24"/>
          <w:szCs w:val="24"/>
        </w:rPr>
        <w:t xml:space="preserve">il reste encore des efforts à </w:t>
      </w:r>
      <w:r w:rsidR="00B4348F">
        <w:rPr>
          <w:rFonts w:ascii="Times New Roman" w:hAnsi="Times New Roman" w:cs="Times New Roman"/>
          <w:sz w:val="24"/>
          <w:szCs w:val="24"/>
        </w:rPr>
        <w:t>consentir</w:t>
      </w:r>
      <w:r w:rsidRPr="001557BB">
        <w:rPr>
          <w:rFonts w:ascii="Times New Roman" w:hAnsi="Times New Roman" w:cs="Times New Roman"/>
          <w:sz w:val="24"/>
          <w:szCs w:val="24"/>
        </w:rPr>
        <w:t xml:space="preserve">. </w:t>
      </w:r>
    </w:p>
    <w:p w14:paraId="7DECCC77" w14:textId="77777777" w:rsidR="006E2E11" w:rsidRPr="001557BB" w:rsidRDefault="006E2E11" w:rsidP="001557BB">
      <w:pPr>
        <w:autoSpaceDE w:val="0"/>
        <w:autoSpaceDN w:val="0"/>
        <w:adjustRightInd w:val="0"/>
        <w:spacing w:after="0" w:line="240" w:lineRule="auto"/>
        <w:rPr>
          <w:rFonts w:ascii="Times New Roman" w:hAnsi="Times New Roman" w:cs="Times New Roman"/>
          <w:color w:val="000000"/>
          <w:sz w:val="24"/>
          <w:szCs w:val="24"/>
        </w:rPr>
      </w:pPr>
    </w:p>
    <w:p w14:paraId="006CE4C6" w14:textId="77777777" w:rsidR="00782437" w:rsidRPr="001557BB" w:rsidRDefault="000754BE" w:rsidP="001557BB">
      <w:pPr>
        <w:spacing w:after="0" w:line="240" w:lineRule="auto"/>
        <w:jc w:val="both"/>
        <w:rPr>
          <w:rFonts w:ascii="Times New Roman" w:eastAsia="Times New Roman" w:hAnsi="Times New Roman" w:cs="Times New Roman"/>
          <w:iCs/>
          <w:sz w:val="24"/>
          <w:szCs w:val="24"/>
        </w:rPr>
      </w:pPr>
      <w:r w:rsidRPr="001557BB">
        <w:rPr>
          <w:rFonts w:ascii="Times New Roman" w:eastAsia="Times New Roman" w:hAnsi="Times New Roman" w:cs="Times New Roman"/>
          <w:iCs/>
          <w:sz w:val="24"/>
          <w:szCs w:val="24"/>
        </w:rPr>
        <w:t xml:space="preserve">Les objectifs nationaux en lien avec la </w:t>
      </w:r>
      <w:r w:rsidR="00782437" w:rsidRPr="001557BB">
        <w:rPr>
          <w:rFonts w:ascii="Times New Roman" w:eastAsia="Times New Roman" w:hAnsi="Times New Roman" w:cs="Times New Roman"/>
          <w:iCs/>
          <w:sz w:val="24"/>
          <w:szCs w:val="24"/>
        </w:rPr>
        <w:t xml:space="preserve">SMCP sont résumés dans le tableau </w:t>
      </w:r>
      <w:r w:rsidR="00525F7B">
        <w:rPr>
          <w:rFonts w:ascii="Times New Roman" w:eastAsia="Times New Roman" w:hAnsi="Times New Roman" w:cs="Times New Roman"/>
          <w:iCs/>
          <w:sz w:val="24"/>
          <w:szCs w:val="24"/>
        </w:rPr>
        <w:t>11</w:t>
      </w:r>
      <w:r w:rsidR="00210FB4">
        <w:rPr>
          <w:rFonts w:ascii="Times New Roman" w:eastAsia="Times New Roman" w:hAnsi="Times New Roman" w:cs="Times New Roman"/>
          <w:iCs/>
          <w:sz w:val="24"/>
          <w:szCs w:val="24"/>
        </w:rPr>
        <w:t>.</w:t>
      </w:r>
    </w:p>
    <w:p w14:paraId="6C913700" w14:textId="77777777" w:rsidR="00525F7B" w:rsidRPr="00C059F3" w:rsidRDefault="00525F7B" w:rsidP="00525F7B">
      <w:pPr>
        <w:pStyle w:val="Lgende"/>
        <w:rPr>
          <w:rFonts w:ascii="Times New Roman" w:hAnsi="Times New Roman"/>
          <w:b w:val="0"/>
          <w:sz w:val="24"/>
          <w:szCs w:val="24"/>
        </w:rPr>
      </w:pPr>
    </w:p>
    <w:p w14:paraId="19F7E840" w14:textId="77777777" w:rsidR="00C059F3" w:rsidRDefault="00C059F3" w:rsidP="00525F7B">
      <w:pPr>
        <w:pStyle w:val="Lgende"/>
        <w:rPr>
          <w:rFonts w:ascii="Times New Roman" w:hAnsi="Times New Roman"/>
          <w:sz w:val="24"/>
          <w:szCs w:val="24"/>
        </w:rPr>
        <w:sectPr w:rsidR="00C059F3" w:rsidSect="00717026">
          <w:pgSz w:w="11906" w:h="16838"/>
          <w:pgMar w:top="1418" w:right="1274" w:bottom="1418" w:left="1418" w:header="709" w:footer="709" w:gutter="0"/>
          <w:cols w:space="708"/>
          <w:docGrid w:linePitch="360"/>
        </w:sectPr>
      </w:pPr>
    </w:p>
    <w:p w14:paraId="569597D2" w14:textId="47E0C816" w:rsidR="00210FB4" w:rsidRPr="00525F7B" w:rsidRDefault="00525F7B" w:rsidP="00C059F3">
      <w:pPr>
        <w:pStyle w:val="Lgende"/>
        <w:jc w:val="center"/>
        <w:rPr>
          <w:rFonts w:ascii="Times New Roman" w:eastAsia="Times New Roman" w:hAnsi="Times New Roman"/>
          <w:iCs/>
          <w:sz w:val="24"/>
          <w:szCs w:val="24"/>
        </w:rPr>
      </w:pPr>
      <w:bookmarkStart w:id="73" w:name="_Toc533413479"/>
      <w:r w:rsidRPr="00525F7B">
        <w:rPr>
          <w:rFonts w:ascii="Times New Roman" w:hAnsi="Times New Roman"/>
          <w:sz w:val="24"/>
          <w:szCs w:val="24"/>
        </w:rPr>
        <w:t xml:space="preserve">Tableau </w:t>
      </w:r>
      <w:r w:rsidR="00620BEA" w:rsidRPr="00525F7B">
        <w:rPr>
          <w:rFonts w:ascii="Times New Roman" w:hAnsi="Times New Roman"/>
          <w:sz w:val="24"/>
          <w:szCs w:val="24"/>
        </w:rPr>
        <w:fldChar w:fldCharType="begin"/>
      </w:r>
      <w:r w:rsidRPr="00525F7B">
        <w:rPr>
          <w:rFonts w:ascii="Times New Roman" w:hAnsi="Times New Roman"/>
          <w:sz w:val="24"/>
          <w:szCs w:val="24"/>
        </w:rPr>
        <w:instrText xml:space="preserve"> SEQ Tableau \* ARABIC </w:instrText>
      </w:r>
      <w:r w:rsidR="00620BEA" w:rsidRPr="00525F7B">
        <w:rPr>
          <w:rFonts w:ascii="Times New Roman" w:hAnsi="Times New Roman"/>
          <w:sz w:val="24"/>
          <w:szCs w:val="24"/>
        </w:rPr>
        <w:fldChar w:fldCharType="separate"/>
      </w:r>
      <w:r w:rsidR="00C47BFF">
        <w:rPr>
          <w:rFonts w:ascii="Times New Roman" w:hAnsi="Times New Roman"/>
          <w:noProof/>
          <w:sz w:val="24"/>
          <w:szCs w:val="24"/>
        </w:rPr>
        <w:t>8</w:t>
      </w:r>
      <w:r w:rsidR="00620BEA" w:rsidRPr="00525F7B">
        <w:rPr>
          <w:rFonts w:ascii="Times New Roman" w:hAnsi="Times New Roman"/>
          <w:sz w:val="24"/>
          <w:szCs w:val="24"/>
        </w:rPr>
        <w:fldChar w:fldCharType="end"/>
      </w:r>
      <w:r w:rsidRPr="00525F7B">
        <w:rPr>
          <w:rFonts w:ascii="Times New Roman" w:hAnsi="Times New Roman"/>
          <w:sz w:val="24"/>
          <w:szCs w:val="24"/>
        </w:rPr>
        <w:t>: Objectifs nationaux en lien avec la SMCP</w:t>
      </w:r>
      <w:bookmarkEnd w:id="73"/>
    </w:p>
    <w:tbl>
      <w:tblPr>
        <w:tblStyle w:val="Grilledutableau"/>
        <w:tblW w:w="15168" w:type="dxa"/>
        <w:tblInd w:w="-431" w:type="dxa"/>
        <w:tblLook w:val="04A0" w:firstRow="1" w:lastRow="0" w:firstColumn="1" w:lastColumn="0" w:noHBand="0" w:noVBand="1"/>
      </w:tblPr>
      <w:tblGrid>
        <w:gridCol w:w="2269"/>
        <w:gridCol w:w="1985"/>
        <w:gridCol w:w="10914"/>
      </w:tblGrid>
      <w:tr w:rsidR="00782437" w:rsidRPr="00C059F3" w14:paraId="657323A4" w14:textId="77777777" w:rsidTr="00C059F3">
        <w:tc>
          <w:tcPr>
            <w:tcW w:w="2269" w:type="dxa"/>
            <w:vAlign w:val="center"/>
          </w:tcPr>
          <w:p w14:paraId="43EE3273" w14:textId="77777777" w:rsidR="00782437" w:rsidRPr="00C059F3" w:rsidRDefault="00782437" w:rsidP="001557BB">
            <w:pPr>
              <w:jc w:val="both"/>
              <w:rPr>
                <w:rFonts w:ascii="Times New Roman" w:eastAsia="Times New Roman" w:hAnsi="Times New Roman" w:cs="Times New Roman"/>
                <w:b/>
                <w:iCs/>
                <w:sz w:val="24"/>
                <w:szCs w:val="24"/>
              </w:rPr>
            </w:pPr>
            <w:r w:rsidRPr="00C059F3">
              <w:rPr>
                <w:rFonts w:ascii="Times New Roman" w:eastAsia="Times New Roman" w:hAnsi="Times New Roman" w:cs="Times New Roman"/>
                <w:b/>
                <w:iCs/>
                <w:sz w:val="24"/>
                <w:szCs w:val="24"/>
              </w:rPr>
              <w:t>Objectif</w:t>
            </w:r>
            <w:r w:rsidR="00090C00" w:rsidRPr="00C059F3">
              <w:rPr>
                <w:rFonts w:ascii="Times New Roman" w:eastAsia="Times New Roman" w:hAnsi="Times New Roman" w:cs="Times New Roman"/>
                <w:b/>
                <w:iCs/>
                <w:sz w:val="24"/>
                <w:szCs w:val="24"/>
              </w:rPr>
              <w:t xml:space="preserve"> nationaux dans le Programme National de Développement (PND)</w:t>
            </w:r>
          </w:p>
        </w:tc>
        <w:tc>
          <w:tcPr>
            <w:tcW w:w="1985" w:type="dxa"/>
            <w:vAlign w:val="center"/>
          </w:tcPr>
          <w:p w14:paraId="2412337B" w14:textId="77777777" w:rsidR="00782437" w:rsidRPr="00C059F3" w:rsidRDefault="00782437" w:rsidP="001557BB">
            <w:pPr>
              <w:jc w:val="both"/>
              <w:rPr>
                <w:rFonts w:ascii="Times New Roman" w:eastAsia="Times New Roman" w:hAnsi="Times New Roman" w:cs="Times New Roman"/>
                <w:b/>
                <w:iCs/>
                <w:sz w:val="24"/>
                <w:szCs w:val="24"/>
              </w:rPr>
            </w:pPr>
            <w:r w:rsidRPr="00C059F3">
              <w:rPr>
                <w:rFonts w:ascii="Times New Roman" w:eastAsia="Times New Roman" w:hAnsi="Times New Roman" w:cs="Times New Roman"/>
                <w:b/>
                <w:iCs/>
                <w:sz w:val="24"/>
                <w:szCs w:val="24"/>
              </w:rPr>
              <w:t>Action</w:t>
            </w:r>
          </w:p>
        </w:tc>
        <w:tc>
          <w:tcPr>
            <w:tcW w:w="10914" w:type="dxa"/>
            <w:vAlign w:val="center"/>
          </w:tcPr>
          <w:p w14:paraId="694DB705" w14:textId="77777777" w:rsidR="00782437" w:rsidRPr="00C059F3" w:rsidRDefault="00782437" w:rsidP="001557BB">
            <w:pPr>
              <w:jc w:val="both"/>
              <w:rPr>
                <w:rFonts w:ascii="Times New Roman" w:eastAsia="Times New Roman" w:hAnsi="Times New Roman" w:cs="Times New Roman"/>
                <w:b/>
                <w:iCs/>
                <w:sz w:val="24"/>
                <w:szCs w:val="24"/>
              </w:rPr>
            </w:pPr>
            <w:r w:rsidRPr="00C059F3">
              <w:rPr>
                <w:rFonts w:ascii="Times New Roman" w:eastAsia="Times New Roman" w:hAnsi="Times New Roman" w:cs="Times New Roman"/>
                <w:b/>
                <w:iCs/>
                <w:sz w:val="24"/>
                <w:szCs w:val="24"/>
              </w:rPr>
              <w:t>Programme/Projet</w:t>
            </w:r>
          </w:p>
        </w:tc>
      </w:tr>
      <w:tr w:rsidR="00AF1263" w:rsidRPr="00C059F3" w14:paraId="5856AB8B" w14:textId="77777777" w:rsidTr="00C059F3">
        <w:tc>
          <w:tcPr>
            <w:tcW w:w="2269" w:type="dxa"/>
            <w:vAlign w:val="center"/>
          </w:tcPr>
          <w:p w14:paraId="0D2B28D7" w14:textId="77777777" w:rsidR="00AF1263" w:rsidRPr="00C059F3" w:rsidRDefault="00090C00" w:rsidP="001557BB">
            <w:pPr>
              <w:jc w:val="both"/>
              <w:rPr>
                <w:rFonts w:ascii="Times New Roman" w:eastAsia="Times New Roman" w:hAnsi="Times New Roman" w:cs="Times New Roman"/>
                <w:iCs/>
                <w:sz w:val="24"/>
                <w:szCs w:val="24"/>
              </w:rPr>
            </w:pPr>
            <w:r w:rsidRPr="00C059F3">
              <w:rPr>
                <w:rFonts w:ascii="Times New Roman" w:hAnsi="Times New Roman" w:cs="Times New Roman"/>
                <w:sz w:val="24"/>
                <w:szCs w:val="24"/>
              </w:rPr>
              <w:t>M</w:t>
            </w:r>
            <w:r w:rsidR="00AF1263" w:rsidRPr="00C059F3">
              <w:rPr>
                <w:rFonts w:ascii="Times New Roman" w:hAnsi="Times New Roman" w:cs="Times New Roman"/>
                <w:sz w:val="24"/>
                <w:szCs w:val="24"/>
              </w:rPr>
              <w:t>aintenir les services environnementaux des écosystèmes et préserver la biodiversité</w:t>
            </w:r>
          </w:p>
        </w:tc>
        <w:tc>
          <w:tcPr>
            <w:tcW w:w="1985" w:type="dxa"/>
            <w:vAlign w:val="center"/>
          </w:tcPr>
          <w:p w14:paraId="4BCA86EA" w14:textId="77777777" w:rsidR="00AF1263" w:rsidRPr="00C059F3" w:rsidRDefault="00090C00" w:rsidP="001557BB">
            <w:pPr>
              <w:jc w:val="both"/>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R</w:t>
            </w:r>
            <w:r w:rsidR="00AF1263" w:rsidRPr="00C059F3">
              <w:rPr>
                <w:rFonts w:ascii="Times New Roman" w:eastAsia="Times New Roman" w:hAnsi="Times New Roman" w:cs="Times New Roman"/>
                <w:iCs/>
                <w:sz w:val="24"/>
                <w:szCs w:val="24"/>
              </w:rPr>
              <w:t>éduire la pression anthropique sur les ressources forestières </w:t>
            </w:r>
          </w:p>
        </w:tc>
        <w:tc>
          <w:tcPr>
            <w:tcW w:w="10914" w:type="dxa"/>
            <w:vMerge w:val="restart"/>
            <w:vAlign w:val="center"/>
          </w:tcPr>
          <w:p w14:paraId="33A68B70" w14:textId="66FC2012" w:rsidR="00AF1263" w:rsidRPr="00C059F3" w:rsidRDefault="00090C00" w:rsidP="001557BB">
            <w:pPr>
              <w:shd w:val="clear" w:color="auto" w:fill="FFFFFF"/>
              <w:jc w:val="both"/>
              <w:textAlignment w:val="baseline"/>
              <w:rPr>
                <w:rFonts w:ascii="Times New Roman" w:eastAsiaTheme="majorEastAsia" w:hAnsi="Times New Roman" w:cs="Times New Roman"/>
                <w:iCs/>
                <w:sz w:val="24"/>
                <w:szCs w:val="24"/>
              </w:rPr>
            </w:pPr>
            <w:r w:rsidRPr="00C059F3">
              <w:rPr>
                <w:rFonts w:ascii="Times New Roman" w:eastAsia="Times New Roman" w:hAnsi="Times New Roman" w:cs="Times New Roman"/>
                <w:iCs/>
                <w:sz w:val="24"/>
                <w:szCs w:val="24"/>
              </w:rPr>
              <w:t>T</w:t>
            </w:r>
            <w:r w:rsidR="00AF1263" w:rsidRPr="00C059F3">
              <w:rPr>
                <w:rFonts w:ascii="Times New Roman" w:eastAsia="Times New Roman" w:hAnsi="Times New Roman" w:cs="Times New Roman"/>
                <w:iCs/>
                <w:sz w:val="24"/>
                <w:szCs w:val="24"/>
              </w:rPr>
              <w:t>rois projets de création de réserves de biosphère dont une réserve transfrontière, celle du bassin du Mono. La création de la réserve nationale de biosphère du Togo a pe</w:t>
            </w:r>
            <w:r w:rsidR="002750E4" w:rsidRPr="00C059F3">
              <w:rPr>
                <w:rFonts w:ascii="Times New Roman" w:eastAsia="Times New Roman" w:hAnsi="Times New Roman" w:cs="Times New Roman"/>
                <w:iCs/>
                <w:sz w:val="24"/>
                <w:szCs w:val="24"/>
              </w:rPr>
              <w:t>rmis au pays d’intégrer 15</w:t>
            </w:r>
            <w:r w:rsidR="00AF1263" w:rsidRPr="00C059F3">
              <w:rPr>
                <w:rFonts w:ascii="Times New Roman" w:eastAsia="Times New Roman" w:hAnsi="Times New Roman" w:cs="Times New Roman"/>
                <w:iCs/>
                <w:sz w:val="24"/>
                <w:szCs w:val="24"/>
              </w:rPr>
              <w:t>750 hectares de terres forestières au système national d’aires protégées</w:t>
            </w:r>
            <w:r w:rsidR="002750E4" w:rsidRPr="00C059F3">
              <w:rPr>
                <w:rFonts w:ascii="Times New Roman" w:eastAsia="Times New Roman" w:hAnsi="Times New Roman" w:cs="Times New Roman"/>
                <w:iCs/>
                <w:sz w:val="24"/>
                <w:szCs w:val="24"/>
              </w:rPr>
              <w:t> :</w:t>
            </w:r>
            <w:r w:rsidR="002750E4" w:rsidRPr="00C059F3">
              <w:rPr>
                <w:rFonts w:ascii="Times New Roman" w:eastAsiaTheme="majorEastAsia" w:hAnsi="Times New Roman" w:cs="Times New Roman"/>
                <w:iCs/>
                <w:sz w:val="24"/>
                <w:szCs w:val="24"/>
              </w:rPr>
              <w:t xml:space="preserve"> Parc Fazao-Malfakassa, </w:t>
            </w:r>
            <w:r w:rsidR="00AF1263" w:rsidRPr="00C059F3">
              <w:rPr>
                <w:rFonts w:ascii="Times New Roman" w:eastAsiaTheme="majorEastAsia" w:hAnsi="Times New Roman" w:cs="Times New Roman"/>
                <w:iCs/>
                <w:sz w:val="24"/>
                <w:szCs w:val="24"/>
              </w:rPr>
              <w:t xml:space="preserve">Forêts d’Abdoulaye, d’Aledjo et de Balam, soit un total de plus de 226.000 ha, </w:t>
            </w:r>
            <w:r w:rsidR="002750E4" w:rsidRPr="00C059F3">
              <w:rPr>
                <w:rFonts w:ascii="Times New Roman" w:eastAsiaTheme="majorEastAsia" w:hAnsi="Times New Roman" w:cs="Times New Roman"/>
                <w:iCs/>
                <w:sz w:val="24"/>
                <w:szCs w:val="24"/>
              </w:rPr>
              <w:t xml:space="preserve">qui </w:t>
            </w:r>
            <w:r w:rsidR="00AF1263" w:rsidRPr="00C059F3">
              <w:rPr>
                <w:rFonts w:ascii="Times New Roman" w:eastAsiaTheme="majorEastAsia" w:hAnsi="Times New Roman" w:cs="Times New Roman"/>
                <w:iCs/>
                <w:sz w:val="24"/>
                <w:szCs w:val="24"/>
              </w:rPr>
              <w:t>disposent de plans d’aménagement et de gestion et sont dans le processus de requalification et de cogestion avec les populations locales.</w:t>
            </w:r>
            <w:r w:rsidR="0032558C">
              <w:rPr>
                <w:rFonts w:ascii="Times New Roman" w:eastAsiaTheme="majorEastAsia" w:hAnsi="Times New Roman" w:cs="Times New Roman"/>
                <w:iCs/>
                <w:sz w:val="24"/>
                <w:szCs w:val="24"/>
              </w:rPr>
              <w:t xml:space="preserve"> </w:t>
            </w:r>
            <w:r w:rsidR="00C559FE" w:rsidRPr="00C059F3">
              <w:rPr>
                <w:rFonts w:ascii="Times New Roman" w:hAnsi="Times New Roman" w:cs="Times New Roman"/>
                <w:sz w:val="24"/>
                <w:szCs w:val="24"/>
              </w:rPr>
              <w:t xml:space="preserve">La part des superficies des écosystèmes protégés a progressé au cours des trois dernières années </w:t>
            </w:r>
            <w:r w:rsidR="0069265F">
              <w:rPr>
                <w:rFonts w:ascii="Times New Roman" w:hAnsi="Times New Roman" w:cs="Times New Roman"/>
                <w:sz w:val="24"/>
                <w:szCs w:val="24"/>
              </w:rPr>
              <w:t xml:space="preserve">en </w:t>
            </w:r>
            <w:r w:rsidR="00C559FE" w:rsidRPr="00C059F3">
              <w:rPr>
                <w:rFonts w:ascii="Times New Roman" w:hAnsi="Times New Roman" w:cs="Times New Roman"/>
                <w:sz w:val="24"/>
                <w:szCs w:val="24"/>
              </w:rPr>
              <w:t>passant de 7 à 7,4%.</w:t>
            </w:r>
          </w:p>
          <w:p w14:paraId="174005A8" w14:textId="25D1B40C" w:rsidR="00AF1263" w:rsidRPr="00C059F3" w:rsidRDefault="00C559FE" w:rsidP="001557BB">
            <w:pPr>
              <w:shd w:val="clear" w:color="auto" w:fill="FFFFFF"/>
              <w:jc w:val="both"/>
              <w:textAlignment w:val="baseline"/>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Le p</w:t>
            </w:r>
            <w:r w:rsidR="00AF1263" w:rsidRPr="00C059F3">
              <w:rPr>
                <w:rFonts w:ascii="Times New Roman" w:eastAsia="Times New Roman" w:hAnsi="Times New Roman" w:cs="Times New Roman"/>
                <w:iCs/>
                <w:sz w:val="24"/>
                <w:szCs w:val="24"/>
              </w:rPr>
              <w:t xml:space="preserve">remier inventaire forestier national </w:t>
            </w:r>
            <w:r w:rsidRPr="00C059F3">
              <w:rPr>
                <w:rFonts w:ascii="Times New Roman" w:eastAsia="Times New Roman" w:hAnsi="Times New Roman" w:cs="Times New Roman"/>
                <w:iCs/>
                <w:sz w:val="24"/>
                <w:szCs w:val="24"/>
              </w:rPr>
              <w:t xml:space="preserve">a été </w:t>
            </w:r>
            <w:r w:rsidR="00AF1263" w:rsidRPr="00C059F3">
              <w:rPr>
                <w:rFonts w:ascii="Times New Roman" w:eastAsia="Times New Roman" w:hAnsi="Times New Roman" w:cs="Times New Roman"/>
                <w:iCs/>
                <w:sz w:val="24"/>
                <w:szCs w:val="24"/>
              </w:rPr>
              <w:t>réalisé par le gouvernement en 201</w:t>
            </w:r>
            <w:r w:rsidR="0032558C">
              <w:rPr>
                <w:rFonts w:ascii="Times New Roman" w:eastAsia="Times New Roman" w:hAnsi="Times New Roman" w:cs="Times New Roman"/>
                <w:iCs/>
                <w:sz w:val="24"/>
                <w:szCs w:val="24"/>
              </w:rPr>
              <w:t>6</w:t>
            </w:r>
            <w:r w:rsidR="00AF1263" w:rsidRPr="00C059F3">
              <w:rPr>
                <w:rFonts w:ascii="Times New Roman" w:eastAsia="Times New Roman" w:hAnsi="Times New Roman" w:cs="Times New Roman"/>
                <w:iCs/>
                <w:sz w:val="24"/>
                <w:szCs w:val="24"/>
              </w:rPr>
              <w:t>, dans le cadre du pro</w:t>
            </w:r>
            <w:r w:rsidR="0069265F">
              <w:rPr>
                <w:rFonts w:ascii="Times New Roman" w:eastAsia="Times New Roman" w:hAnsi="Times New Roman" w:cs="Times New Roman"/>
                <w:iCs/>
                <w:sz w:val="24"/>
                <w:szCs w:val="24"/>
              </w:rPr>
              <w:t>-</w:t>
            </w:r>
            <w:r w:rsidR="00AF1263" w:rsidRPr="00C059F3">
              <w:rPr>
                <w:rFonts w:ascii="Times New Roman" w:eastAsia="Times New Roman" w:hAnsi="Times New Roman" w:cs="Times New Roman"/>
                <w:iCs/>
                <w:sz w:val="24"/>
                <w:szCs w:val="24"/>
              </w:rPr>
              <w:t xml:space="preserve"> REDD+, le Togo dispose d’un taux de couverture en ressources forestières de 24,24% en 2015 contre 5% en 2010. L’exploitation de ces ressources constitue un potentiel important, en termes de création d'emplois, de revenus générés, aussi bien pour les populations que pour l'État. Cependant, leur part dans le PIB a chuté entre 2013 et 2016, passant de 3,2% à 2,8% en raison des restrictions imposées dans la délivrance des permis d’exploitation et du moratoire de dix ans décrété en juin 2016 sur l’exploitation, l’importation et la réexportation des madriers du </w:t>
            </w:r>
            <w:r w:rsidR="002750E4" w:rsidRPr="00C059F3">
              <w:rPr>
                <w:rFonts w:ascii="Times New Roman" w:eastAsia="Times New Roman" w:hAnsi="Times New Roman" w:cs="Times New Roman"/>
                <w:i/>
                <w:iCs/>
                <w:sz w:val="24"/>
                <w:szCs w:val="24"/>
              </w:rPr>
              <w:t>Pte</w:t>
            </w:r>
            <w:r w:rsidR="00AF1263" w:rsidRPr="00C059F3">
              <w:rPr>
                <w:rFonts w:ascii="Times New Roman" w:eastAsia="Times New Roman" w:hAnsi="Times New Roman" w:cs="Times New Roman"/>
                <w:i/>
                <w:iCs/>
                <w:sz w:val="24"/>
                <w:szCs w:val="24"/>
              </w:rPr>
              <w:t>rocarpus</w:t>
            </w:r>
            <w:r w:rsidR="0069265F">
              <w:rPr>
                <w:rFonts w:ascii="Times New Roman" w:eastAsia="Times New Roman" w:hAnsi="Times New Roman" w:cs="Times New Roman"/>
                <w:i/>
                <w:iCs/>
                <w:sz w:val="24"/>
                <w:szCs w:val="24"/>
              </w:rPr>
              <w:t xml:space="preserve"> </w:t>
            </w:r>
            <w:r w:rsidR="00AF1263" w:rsidRPr="00C059F3">
              <w:rPr>
                <w:rFonts w:ascii="Times New Roman" w:eastAsia="Times New Roman" w:hAnsi="Times New Roman" w:cs="Times New Roman"/>
                <w:i/>
                <w:iCs/>
                <w:sz w:val="24"/>
                <w:szCs w:val="24"/>
              </w:rPr>
              <w:t>erinaceus</w:t>
            </w:r>
            <w:r w:rsidR="00AF1263" w:rsidRPr="00C059F3">
              <w:rPr>
                <w:rFonts w:ascii="Times New Roman" w:eastAsia="Times New Roman" w:hAnsi="Times New Roman" w:cs="Times New Roman"/>
                <w:iCs/>
                <w:sz w:val="24"/>
                <w:szCs w:val="24"/>
              </w:rPr>
              <w:t>, une essence forestière particulièrement surexploitée dans le pays. En conséquence, l’indicateur portant sur le « volume de bois issu des plantations légaleme</w:t>
            </w:r>
            <w:r w:rsidR="002750E4" w:rsidRPr="00C059F3">
              <w:rPr>
                <w:rFonts w:ascii="Times New Roman" w:eastAsia="Times New Roman" w:hAnsi="Times New Roman" w:cs="Times New Roman"/>
                <w:iCs/>
                <w:sz w:val="24"/>
                <w:szCs w:val="24"/>
              </w:rPr>
              <w:t>nt exploitées » est passé de 43</w:t>
            </w:r>
            <w:r w:rsidR="00AF1263" w:rsidRPr="00C059F3">
              <w:rPr>
                <w:rFonts w:ascii="Times New Roman" w:eastAsia="Times New Roman" w:hAnsi="Times New Roman" w:cs="Times New Roman"/>
                <w:iCs/>
                <w:sz w:val="24"/>
                <w:szCs w:val="24"/>
              </w:rPr>
              <w:t>768 m</w:t>
            </w:r>
            <w:r w:rsidR="00AF1263" w:rsidRPr="00C059F3">
              <w:rPr>
                <w:rFonts w:ascii="Times New Roman" w:eastAsia="Times New Roman" w:hAnsi="Times New Roman" w:cs="Times New Roman"/>
                <w:iCs/>
                <w:sz w:val="24"/>
                <w:szCs w:val="24"/>
                <w:vertAlign w:val="superscript"/>
              </w:rPr>
              <w:t>3</w:t>
            </w:r>
            <w:r w:rsidR="002750E4" w:rsidRPr="00C059F3">
              <w:rPr>
                <w:rFonts w:ascii="Times New Roman" w:eastAsia="Times New Roman" w:hAnsi="Times New Roman" w:cs="Times New Roman"/>
                <w:iCs/>
                <w:sz w:val="24"/>
                <w:szCs w:val="24"/>
              </w:rPr>
              <w:t xml:space="preserve"> en 2014 à 22</w:t>
            </w:r>
            <w:r w:rsidR="00AF1263" w:rsidRPr="00C059F3">
              <w:rPr>
                <w:rFonts w:ascii="Times New Roman" w:eastAsia="Times New Roman" w:hAnsi="Times New Roman" w:cs="Times New Roman"/>
                <w:iCs/>
                <w:sz w:val="24"/>
                <w:szCs w:val="24"/>
              </w:rPr>
              <w:t>000 m</w:t>
            </w:r>
            <w:r w:rsidR="00AF1263" w:rsidRPr="00C059F3">
              <w:rPr>
                <w:rFonts w:ascii="Times New Roman" w:eastAsia="Times New Roman" w:hAnsi="Times New Roman" w:cs="Times New Roman"/>
                <w:iCs/>
                <w:sz w:val="24"/>
                <w:szCs w:val="24"/>
                <w:vertAlign w:val="superscript"/>
              </w:rPr>
              <w:t>3</w:t>
            </w:r>
            <w:r w:rsidR="00AF1263" w:rsidRPr="00C059F3">
              <w:rPr>
                <w:rFonts w:ascii="Times New Roman" w:eastAsia="Times New Roman" w:hAnsi="Times New Roman" w:cs="Times New Roman"/>
                <w:iCs/>
                <w:sz w:val="24"/>
                <w:szCs w:val="24"/>
              </w:rPr>
              <w:t xml:space="preserve"> en 2015.</w:t>
            </w:r>
          </w:p>
          <w:p w14:paraId="0E25B9D4" w14:textId="77777777" w:rsidR="00AF1263" w:rsidRPr="00C059F3" w:rsidRDefault="00C559FE" w:rsidP="001557BB">
            <w:pPr>
              <w:shd w:val="clear" w:color="auto" w:fill="FFFFFF"/>
              <w:jc w:val="both"/>
              <w:textAlignment w:val="baseline"/>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Le Projet de gestion intégrée des catastrophes et des terres (PGICT) a financé 68 sous-projets, faisant passer l</w:t>
            </w:r>
            <w:r w:rsidR="00AF1263" w:rsidRPr="00C059F3">
              <w:rPr>
                <w:rFonts w:ascii="Times New Roman" w:hAnsi="Times New Roman" w:cs="Times New Roman"/>
                <w:sz w:val="24"/>
                <w:szCs w:val="24"/>
              </w:rPr>
              <w:t>a superficie de</w:t>
            </w:r>
            <w:r w:rsidRPr="00C059F3">
              <w:rPr>
                <w:rFonts w:ascii="Times New Roman" w:hAnsi="Times New Roman" w:cs="Times New Roman"/>
                <w:sz w:val="24"/>
                <w:szCs w:val="24"/>
              </w:rPr>
              <w:t>s</w:t>
            </w:r>
            <w:r w:rsidR="00AF1263" w:rsidRPr="00C059F3">
              <w:rPr>
                <w:rFonts w:ascii="Times New Roman" w:hAnsi="Times New Roman" w:cs="Times New Roman"/>
                <w:sz w:val="24"/>
                <w:szCs w:val="24"/>
              </w:rPr>
              <w:t xml:space="preserve"> terres dégradées restaurée</w:t>
            </w:r>
            <w:r w:rsidRPr="00C059F3">
              <w:rPr>
                <w:rFonts w:ascii="Times New Roman" w:hAnsi="Times New Roman" w:cs="Times New Roman"/>
                <w:sz w:val="24"/>
                <w:szCs w:val="24"/>
              </w:rPr>
              <w:t>s</w:t>
            </w:r>
            <w:r w:rsidR="00AF1263" w:rsidRPr="00C059F3">
              <w:rPr>
                <w:rFonts w:ascii="Times New Roman" w:hAnsi="Times New Roman" w:cs="Times New Roman"/>
                <w:sz w:val="24"/>
                <w:szCs w:val="24"/>
              </w:rPr>
              <w:t xml:space="preserve"> de 171,5 ha en 2014 à 210 ha en 2015, traduisant les avancées en matière de gestion durable des terres.</w:t>
            </w:r>
          </w:p>
        </w:tc>
      </w:tr>
      <w:tr w:rsidR="00AF1263" w:rsidRPr="00C059F3" w14:paraId="314FC4F9" w14:textId="77777777" w:rsidTr="00C059F3">
        <w:tc>
          <w:tcPr>
            <w:tcW w:w="2269" w:type="dxa"/>
            <w:vAlign w:val="center"/>
          </w:tcPr>
          <w:p w14:paraId="0FFFCFD0" w14:textId="77777777" w:rsidR="00AF1263" w:rsidRPr="00C059F3" w:rsidRDefault="00090C00" w:rsidP="001557BB">
            <w:pPr>
              <w:jc w:val="both"/>
              <w:rPr>
                <w:rFonts w:ascii="Times New Roman" w:eastAsia="Times New Roman" w:hAnsi="Times New Roman" w:cs="Times New Roman"/>
                <w:iCs/>
                <w:sz w:val="24"/>
                <w:szCs w:val="24"/>
              </w:rPr>
            </w:pPr>
            <w:r w:rsidRPr="00C059F3">
              <w:rPr>
                <w:rFonts w:ascii="Times New Roman" w:hAnsi="Times New Roman" w:cs="Times New Roman"/>
                <w:sz w:val="24"/>
                <w:szCs w:val="24"/>
              </w:rPr>
              <w:t>A</w:t>
            </w:r>
            <w:r w:rsidR="00AF1263" w:rsidRPr="00C059F3">
              <w:rPr>
                <w:rFonts w:ascii="Times New Roman" w:hAnsi="Times New Roman" w:cs="Times New Roman"/>
                <w:sz w:val="24"/>
                <w:szCs w:val="24"/>
              </w:rPr>
              <w:t>ssurer la gestion durable des terres</w:t>
            </w:r>
          </w:p>
        </w:tc>
        <w:tc>
          <w:tcPr>
            <w:tcW w:w="1985" w:type="dxa"/>
            <w:vAlign w:val="center"/>
          </w:tcPr>
          <w:p w14:paraId="63D409A5" w14:textId="77777777" w:rsidR="00AF1263" w:rsidRPr="00C059F3" w:rsidRDefault="00090C00" w:rsidP="001557BB">
            <w:pPr>
              <w:jc w:val="both"/>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S</w:t>
            </w:r>
            <w:r w:rsidR="00AF1263" w:rsidRPr="00C059F3">
              <w:rPr>
                <w:rFonts w:ascii="Times New Roman" w:eastAsia="Times New Roman" w:hAnsi="Times New Roman" w:cs="Times New Roman"/>
                <w:iCs/>
                <w:sz w:val="24"/>
                <w:szCs w:val="24"/>
              </w:rPr>
              <w:t>écuriser davantage le domaine forestier de l’Etat impliquant équitablement les hommes et les femmes</w:t>
            </w:r>
          </w:p>
        </w:tc>
        <w:tc>
          <w:tcPr>
            <w:tcW w:w="10914" w:type="dxa"/>
            <w:vMerge/>
            <w:vAlign w:val="center"/>
          </w:tcPr>
          <w:p w14:paraId="5882E9CA" w14:textId="77777777" w:rsidR="00AF1263" w:rsidRPr="00C059F3" w:rsidRDefault="00AF1263" w:rsidP="001557BB">
            <w:pPr>
              <w:shd w:val="clear" w:color="auto" w:fill="FFFFFF"/>
              <w:jc w:val="both"/>
              <w:textAlignment w:val="baseline"/>
              <w:rPr>
                <w:rFonts w:ascii="Times New Roman" w:eastAsia="Times New Roman" w:hAnsi="Times New Roman" w:cs="Times New Roman"/>
                <w:iCs/>
                <w:sz w:val="24"/>
                <w:szCs w:val="24"/>
              </w:rPr>
            </w:pPr>
          </w:p>
        </w:tc>
      </w:tr>
      <w:tr w:rsidR="00782437" w:rsidRPr="00C059F3" w14:paraId="75457EB4" w14:textId="77777777" w:rsidTr="00C059F3">
        <w:tc>
          <w:tcPr>
            <w:tcW w:w="2269" w:type="dxa"/>
            <w:vAlign w:val="center"/>
          </w:tcPr>
          <w:p w14:paraId="5C444F16" w14:textId="77777777" w:rsidR="00782437" w:rsidRPr="00C059F3" w:rsidRDefault="00090C00" w:rsidP="001557BB">
            <w:pPr>
              <w:jc w:val="both"/>
              <w:rPr>
                <w:rFonts w:ascii="Times New Roman" w:eastAsia="Times New Roman" w:hAnsi="Times New Roman" w:cs="Times New Roman"/>
                <w:iCs/>
                <w:sz w:val="24"/>
                <w:szCs w:val="24"/>
              </w:rPr>
            </w:pPr>
            <w:r w:rsidRPr="00C059F3">
              <w:rPr>
                <w:rFonts w:ascii="Times New Roman" w:hAnsi="Times New Roman" w:cs="Times New Roman"/>
                <w:sz w:val="24"/>
                <w:szCs w:val="24"/>
              </w:rPr>
              <w:t>L</w:t>
            </w:r>
            <w:r w:rsidR="00782437" w:rsidRPr="00C059F3">
              <w:rPr>
                <w:rFonts w:ascii="Times New Roman" w:hAnsi="Times New Roman" w:cs="Times New Roman"/>
                <w:sz w:val="24"/>
                <w:szCs w:val="24"/>
              </w:rPr>
              <w:t>utter contre les changements climatiques</w:t>
            </w:r>
          </w:p>
        </w:tc>
        <w:tc>
          <w:tcPr>
            <w:tcW w:w="1985" w:type="dxa"/>
            <w:vAlign w:val="center"/>
          </w:tcPr>
          <w:p w14:paraId="439AD589" w14:textId="77777777" w:rsidR="00782437" w:rsidRPr="00C059F3" w:rsidRDefault="00090C00" w:rsidP="001557BB">
            <w:pPr>
              <w:jc w:val="both"/>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P</w:t>
            </w:r>
            <w:r w:rsidR="00782437" w:rsidRPr="00C059F3">
              <w:rPr>
                <w:rFonts w:ascii="Times New Roman" w:eastAsia="Times New Roman" w:hAnsi="Times New Roman" w:cs="Times New Roman"/>
                <w:iCs/>
                <w:sz w:val="24"/>
                <w:szCs w:val="24"/>
              </w:rPr>
              <w:t xml:space="preserve">romouvoir les bonnes pratiques </w:t>
            </w:r>
            <w:r w:rsidR="00782437" w:rsidRPr="00C059F3">
              <w:rPr>
                <w:rFonts w:ascii="Times New Roman" w:eastAsiaTheme="majorEastAsia" w:hAnsi="Times New Roman" w:cs="Times New Roman"/>
                <w:iCs/>
                <w:sz w:val="24"/>
                <w:szCs w:val="24"/>
              </w:rPr>
              <w:t>d’adaptation aux changements climatiques,</w:t>
            </w:r>
            <w:r w:rsidR="00782437" w:rsidRPr="00C059F3">
              <w:rPr>
                <w:rFonts w:ascii="Times New Roman" w:eastAsia="Times New Roman" w:hAnsi="Times New Roman" w:cs="Times New Roman"/>
                <w:iCs/>
                <w:sz w:val="24"/>
                <w:szCs w:val="24"/>
              </w:rPr>
              <w:t xml:space="preserve"> de gestion durable des terres, des forêts et de l’eau</w:t>
            </w:r>
          </w:p>
          <w:p w14:paraId="25FEBABE" w14:textId="77777777" w:rsidR="00090C00" w:rsidRPr="00C059F3" w:rsidRDefault="00090C00" w:rsidP="001557BB">
            <w:pPr>
              <w:jc w:val="both"/>
              <w:rPr>
                <w:rFonts w:ascii="Times New Roman" w:hAnsi="Times New Roman" w:cs="Times New Roman"/>
                <w:sz w:val="24"/>
                <w:szCs w:val="24"/>
              </w:rPr>
            </w:pPr>
          </w:p>
          <w:p w14:paraId="384ED9EC" w14:textId="77777777" w:rsidR="004D1360" w:rsidRPr="00C059F3" w:rsidRDefault="00090C00" w:rsidP="001557BB">
            <w:pPr>
              <w:jc w:val="both"/>
              <w:rPr>
                <w:rFonts w:ascii="Times New Roman" w:eastAsia="Times New Roman" w:hAnsi="Times New Roman" w:cs="Times New Roman"/>
                <w:iCs/>
                <w:sz w:val="24"/>
                <w:szCs w:val="24"/>
              </w:rPr>
            </w:pPr>
            <w:r w:rsidRPr="00C059F3">
              <w:rPr>
                <w:rFonts w:ascii="Times New Roman" w:hAnsi="Times New Roman" w:cs="Times New Roman"/>
                <w:sz w:val="24"/>
                <w:szCs w:val="24"/>
              </w:rPr>
              <w:t>A</w:t>
            </w:r>
            <w:r w:rsidR="004D1360" w:rsidRPr="00C059F3">
              <w:rPr>
                <w:rFonts w:ascii="Times New Roman" w:hAnsi="Times New Roman" w:cs="Times New Roman"/>
                <w:sz w:val="24"/>
                <w:szCs w:val="24"/>
              </w:rPr>
              <w:t>ssurer la gestion de l’environnement et la transition vers l’économie verte</w:t>
            </w:r>
          </w:p>
        </w:tc>
        <w:tc>
          <w:tcPr>
            <w:tcW w:w="10914" w:type="dxa"/>
            <w:vAlign w:val="center"/>
          </w:tcPr>
          <w:p w14:paraId="440B16D7" w14:textId="2E218AE6" w:rsidR="00026D41" w:rsidRPr="00C059F3" w:rsidRDefault="00026D41" w:rsidP="001557BB">
            <w:pPr>
              <w:jc w:val="both"/>
              <w:rPr>
                <w:rFonts w:ascii="Times New Roman" w:hAnsi="Times New Roman" w:cs="Times New Roman"/>
                <w:sz w:val="24"/>
                <w:szCs w:val="24"/>
              </w:rPr>
            </w:pPr>
            <w:r w:rsidRPr="00C059F3">
              <w:rPr>
                <w:rFonts w:ascii="Times New Roman" w:hAnsi="Times New Roman" w:cs="Times New Roman"/>
                <w:sz w:val="24"/>
                <w:szCs w:val="24"/>
              </w:rPr>
              <w:t>Le Togo est l’un des dix-huit pays engagés dans le processus REDD+ sur le continent africain. Il tient à son ambition de disposer une stratégie nationale REDD+ d’ici à 20</w:t>
            </w:r>
            <w:r w:rsidR="0032558C">
              <w:rPr>
                <w:rFonts w:ascii="Times New Roman" w:hAnsi="Times New Roman" w:cs="Times New Roman"/>
                <w:sz w:val="24"/>
                <w:szCs w:val="24"/>
              </w:rPr>
              <w:t>20</w:t>
            </w:r>
            <w:r w:rsidRPr="00C059F3">
              <w:rPr>
                <w:rFonts w:ascii="Times New Roman" w:hAnsi="Times New Roman" w:cs="Times New Roman"/>
                <w:sz w:val="24"/>
                <w:szCs w:val="24"/>
              </w:rPr>
              <w:t xml:space="preserve">. </w:t>
            </w:r>
          </w:p>
          <w:p w14:paraId="7878035A" w14:textId="6A84047C" w:rsidR="005814B3" w:rsidRPr="00C059F3" w:rsidRDefault="00026D41" w:rsidP="001557BB">
            <w:pPr>
              <w:jc w:val="both"/>
              <w:rPr>
                <w:rFonts w:ascii="Times New Roman" w:eastAsia="Batang" w:hAnsi="Times New Roman" w:cs="Times New Roman"/>
                <w:sz w:val="24"/>
                <w:szCs w:val="24"/>
                <w:lang w:eastAsia="fr-FR"/>
              </w:rPr>
            </w:pPr>
            <w:r w:rsidRPr="00C059F3">
              <w:rPr>
                <w:rStyle w:val="fullarticletexte"/>
                <w:rFonts w:ascii="Times New Roman" w:hAnsi="Times New Roman" w:cs="Times New Roman"/>
                <w:sz w:val="24"/>
                <w:szCs w:val="24"/>
              </w:rPr>
              <w:t xml:space="preserve">Le programme Alliance Mondiale contre le Changement Climatique (AMCC + Togo) ou encore </w:t>
            </w:r>
            <w:r w:rsidRPr="00C059F3">
              <w:rPr>
                <w:rFonts w:ascii="Times New Roman" w:eastAsia="Calibri" w:hAnsi="Times New Roman" w:cs="Times New Roman"/>
                <w:sz w:val="24"/>
                <w:szCs w:val="24"/>
              </w:rPr>
              <w:t>Programme d'Appui à la Lutte contre le Changement Climatique au TOGO (PALCC –TOGO)</w:t>
            </w:r>
            <w:r w:rsidR="0069265F">
              <w:rPr>
                <w:rFonts w:ascii="Times New Roman" w:eastAsia="Calibri" w:hAnsi="Times New Roman" w:cs="Times New Roman"/>
                <w:sz w:val="24"/>
                <w:szCs w:val="24"/>
              </w:rPr>
              <w:t xml:space="preserve"> </w:t>
            </w:r>
            <w:r w:rsidR="005814B3" w:rsidRPr="00C059F3">
              <w:rPr>
                <w:rFonts w:ascii="Times New Roman" w:hAnsi="Times New Roman" w:cs="Times New Roman"/>
                <w:sz w:val="24"/>
                <w:szCs w:val="24"/>
              </w:rPr>
              <w:t xml:space="preserve">a démarré au Togo. Financé par </w:t>
            </w:r>
            <w:r w:rsidR="005814B3" w:rsidRPr="00C059F3">
              <w:rPr>
                <w:rStyle w:val="fullarticletexte"/>
                <w:rFonts w:ascii="Times New Roman" w:hAnsi="Times New Roman" w:cs="Times New Roman"/>
                <w:sz w:val="24"/>
                <w:szCs w:val="24"/>
              </w:rPr>
              <w:t xml:space="preserve">l'Union Européenne à hauteur de 10 millions d'euro, il doit aider à renforcer la lutte contre les changements climatiques. </w:t>
            </w:r>
            <w:r w:rsidR="005814B3" w:rsidRPr="00C059F3">
              <w:rPr>
                <w:rFonts w:ascii="Times New Roman" w:eastAsia="Calibri" w:hAnsi="Times New Roman" w:cs="Times New Roman"/>
                <w:sz w:val="24"/>
                <w:szCs w:val="24"/>
                <w:lang w:val="fr-CA"/>
              </w:rPr>
              <w:t>Les résultats envisagés par le PALCC au niveau national sont les suivants</w:t>
            </w:r>
            <w:r w:rsidR="0069265F">
              <w:rPr>
                <w:rFonts w:ascii="Times New Roman" w:eastAsia="Calibri" w:hAnsi="Times New Roman" w:cs="Times New Roman"/>
                <w:sz w:val="24"/>
                <w:szCs w:val="24"/>
                <w:lang w:val="fr-CA"/>
              </w:rPr>
              <w:t xml:space="preserve"> </w:t>
            </w:r>
            <w:r w:rsidR="005814B3" w:rsidRPr="00C059F3">
              <w:rPr>
                <w:rFonts w:ascii="Times New Roman" w:eastAsia="Batang" w:hAnsi="Times New Roman" w:cs="Times New Roman"/>
                <w:sz w:val="24"/>
                <w:szCs w:val="24"/>
                <w:lang w:eastAsia="fr-FR"/>
              </w:rPr>
              <w:t>:</w:t>
            </w:r>
          </w:p>
          <w:p w14:paraId="2F259E50" w14:textId="77777777" w:rsidR="005814B3" w:rsidRPr="00C059F3" w:rsidRDefault="005814B3" w:rsidP="001557BB">
            <w:pPr>
              <w:jc w:val="both"/>
              <w:rPr>
                <w:rFonts w:ascii="Times New Roman" w:eastAsia="Batang" w:hAnsi="Times New Roman" w:cs="Times New Roman"/>
                <w:sz w:val="24"/>
                <w:szCs w:val="24"/>
                <w:lang w:eastAsia="fr-FR"/>
              </w:rPr>
            </w:pPr>
            <w:r w:rsidRPr="00C059F3">
              <w:rPr>
                <w:rFonts w:ascii="Times New Roman" w:eastAsia="Batang" w:hAnsi="Times New Roman" w:cs="Times New Roman"/>
                <w:sz w:val="24"/>
                <w:szCs w:val="24"/>
                <w:lang w:eastAsia="fr-FR"/>
              </w:rPr>
              <w:t>- R1: la résilience des populations est augmentée par une gestion durable, la réhabilitation et la préservation des sols et du couvert forestier ;</w:t>
            </w:r>
          </w:p>
          <w:p w14:paraId="51373E66" w14:textId="35A86334" w:rsidR="005814B3" w:rsidRPr="00C059F3" w:rsidRDefault="005814B3" w:rsidP="001557BB">
            <w:pPr>
              <w:jc w:val="both"/>
              <w:rPr>
                <w:rFonts w:ascii="Times New Roman" w:eastAsia="Batang" w:hAnsi="Times New Roman" w:cs="Times New Roman"/>
                <w:sz w:val="24"/>
                <w:szCs w:val="24"/>
                <w:lang w:eastAsia="fr-FR"/>
              </w:rPr>
            </w:pPr>
            <w:r w:rsidRPr="00C059F3">
              <w:rPr>
                <w:rFonts w:ascii="Times New Roman" w:eastAsia="Batang" w:hAnsi="Times New Roman" w:cs="Times New Roman"/>
                <w:sz w:val="24"/>
                <w:szCs w:val="24"/>
                <w:lang w:eastAsia="fr-FR"/>
              </w:rPr>
              <w:t>- R2</w:t>
            </w:r>
            <w:r w:rsidR="0069265F">
              <w:rPr>
                <w:rFonts w:ascii="Times New Roman" w:eastAsia="Batang" w:hAnsi="Times New Roman" w:cs="Times New Roman"/>
                <w:sz w:val="24"/>
                <w:szCs w:val="24"/>
                <w:lang w:eastAsia="fr-FR"/>
              </w:rPr>
              <w:t xml:space="preserve"> </w:t>
            </w:r>
            <w:r w:rsidRPr="00C059F3">
              <w:rPr>
                <w:rFonts w:ascii="Times New Roman" w:eastAsia="Batang" w:hAnsi="Times New Roman" w:cs="Times New Roman"/>
                <w:sz w:val="24"/>
                <w:szCs w:val="24"/>
                <w:lang w:eastAsia="fr-FR"/>
              </w:rPr>
              <w:t>: l'utilisation de la ressource biomasse et de la filière bois-énergie est rendue plus efficace pour accompagner une transition vers une économie plus sobre en carbone</w:t>
            </w:r>
            <w:r w:rsidR="0069265F">
              <w:rPr>
                <w:rFonts w:ascii="Times New Roman" w:eastAsia="Batang" w:hAnsi="Times New Roman" w:cs="Times New Roman"/>
                <w:sz w:val="24"/>
                <w:szCs w:val="24"/>
                <w:lang w:eastAsia="fr-FR"/>
              </w:rPr>
              <w:t xml:space="preserve"> </w:t>
            </w:r>
            <w:r w:rsidRPr="00C059F3">
              <w:rPr>
                <w:rFonts w:ascii="Times New Roman" w:eastAsia="Batang" w:hAnsi="Times New Roman" w:cs="Times New Roman"/>
                <w:sz w:val="24"/>
                <w:szCs w:val="24"/>
                <w:lang w:eastAsia="fr-FR"/>
              </w:rPr>
              <w:t>;</w:t>
            </w:r>
          </w:p>
          <w:p w14:paraId="4F61B901" w14:textId="17F2A52C" w:rsidR="005814B3" w:rsidRPr="00C059F3" w:rsidRDefault="005814B3" w:rsidP="001557BB">
            <w:pPr>
              <w:jc w:val="both"/>
              <w:rPr>
                <w:rFonts w:ascii="Times New Roman" w:eastAsia="Batang" w:hAnsi="Times New Roman" w:cs="Times New Roman"/>
                <w:sz w:val="24"/>
                <w:szCs w:val="24"/>
                <w:lang w:eastAsia="fr-FR"/>
              </w:rPr>
            </w:pPr>
            <w:r w:rsidRPr="00C059F3">
              <w:rPr>
                <w:rFonts w:ascii="Times New Roman" w:eastAsia="Batang" w:hAnsi="Times New Roman" w:cs="Times New Roman"/>
                <w:sz w:val="24"/>
                <w:szCs w:val="24"/>
                <w:lang w:eastAsia="fr-FR"/>
              </w:rPr>
              <w:t>- R3</w:t>
            </w:r>
            <w:r w:rsidR="0069265F">
              <w:rPr>
                <w:rFonts w:ascii="Times New Roman" w:eastAsia="Batang" w:hAnsi="Times New Roman" w:cs="Times New Roman"/>
                <w:sz w:val="24"/>
                <w:szCs w:val="24"/>
                <w:lang w:eastAsia="fr-FR"/>
              </w:rPr>
              <w:t xml:space="preserve"> </w:t>
            </w:r>
            <w:r w:rsidRPr="00C059F3">
              <w:rPr>
                <w:rFonts w:ascii="Times New Roman" w:eastAsia="Batang" w:hAnsi="Times New Roman" w:cs="Times New Roman"/>
                <w:sz w:val="24"/>
                <w:szCs w:val="24"/>
                <w:lang w:eastAsia="fr-FR"/>
              </w:rPr>
              <w:t>: les capacités des principaux acteurs de la lutte contre le changement climatique sont renforcées, le changement climatique est mieux intégré dans les stratégies nationales et les politiques publiques.</w:t>
            </w:r>
          </w:p>
          <w:p w14:paraId="73032F0E" w14:textId="77777777" w:rsidR="00AF1263" w:rsidRPr="00C059F3" w:rsidRDefault="00AF1263" w:rsidP="001557BB">
            <w:pPr>
              <w:jc w:val="both"/>
              <w:rPr>
                <w:rFonts w:ascii="Times New Roman" w:hAnsi="Times New Roman" w:cs="Times New Roman"/>
                <w:sz w:val="24"/>
                <w:szCs w:val="24"/>
              </w:rPr>
            </w:pPr>
            <w:r w:rsidRPr="00C059F3">
              <w:rPr>
                <w:rFonts w:ascii="Times New Roman" w:hAnsi="Times New Roman" w:cs="Times New Roman"/>
                <w:sz w:val="24"/>
                <w:szCs w:val="24"/>
              </w:rPr>
              <w:t xml:space="preserve">Dans le cadre de la lutte contre les changements climatiques, au total </w:t>
            </w:r>
            <w:r w:rsidRPr="00C059F3">
              <w:rPr>
                <w:rFonts w:ascii="Times New Roman" w:eastAsia="Calibri" w:hAnsi="Times New Roman" w:cs="Times New Roman"/>
                <w:sz w:val="24"/>
                <w:szCs w:val="24"/>
              </w:rPr>
              <w:t>plus de 150 communautés ont bénéficié</w:t>
            </w:r>
            <w:r w:rsidRPr="00C059F3">
              <w:rPr>
                <w:rFonts w:ascii="Times New Roman" w:hAnsi="Times New Roman" w:cs="Times New Roman"/>
                <w:sz w:val="24"/>
                <w:szCs w:val="24"/>
              </w:rPr>
              <w:t xml:space="preserve"> de projets d’adaptation aux changements climatiques et de gestion durable des terres</w:t>
            </w:r>
            <w:r w:rsidRPr="00C059F3">
              <w:rPr>
                <w:rFonts w:ascii="Times New Roman" w:eastAsia="Calibri" w:hAnsi="Times New Roman" w:cs="Times New Roman"/>
                <w:sz w:val="24"/>
                <w:szCs w:val="24"/>
              </w:rPr>
              <w:t xml:space="preserve"> à travers le PGICT, le programme de micro financement du FEM et le PRCNDGE</w:t>
            </w:r>
            <w:r w:rsidRPr="00C059F3">
              <w:rPr>
                <w:rFonts w:ascii="Times New Roman" w:hAnsi="Times New Roman" w:cs="Times New Roman"/>
                <w:sz w:val="24"/>
                <w:szCs w:val="24"/>
              </w:rPr>
              <w:t>, répartis dans toutes les régions du pa</w:t>
            </w:r>
            <w:r w:rsidR="005814B3" w:rsidRPr="00C059F3">
              <w:rPr>
                <w:rFonts w:ascii="Times New Roman" w:hAnsi="Times New Roman" w:cs="Times New Roman"/>
                <w:sz w:val="24"/>
                <w:szCs w:val="24"/>
              </w:rPr>
              <w:t xml:space="preserve">ys ont été financés en 2015 et </w:t>
            </w:r>
            <w:r w:rsidRPr="00C059F3">
              <w:rPr>
                <w:rFonts w:ascii="Times New Roman" w:hAnsi="Times New Roman" w:cs="Times New Roman"/>
                <w:sz w:val="24"/>
                <w:szCs w:val="24"/>
              </w:rPr>
              <w:t>exécutés au cours de l’année 2016. Ce package de sous-projets contient 30 sous-projets visant la réduction des risques et catastrophes dans les bassins fluviaux, 48 activités communautaires  sur les terres de culture et de pâturage et 17 activités communautaires de gestion durable des forêts</w:t>
            </w:r>
            <w:r w:rsidRPr="00C059F3">
              <w:rPr>
                <w:rFonts w:ascii="Times New Roman" w:eastAsia="Calibri" w:hAnsi="Times New Roman" w:cs="Times New Roman"/>
                <w:sz w:val="24"/>
                <w:szCs w:val="24"/>
              </w:rPr>
              <w:t xml:space="preserve"> et plus de 50 projets d’adaptation et de réduction de la vulnérabilité des populations aux changements climatiques</w:t>
            </w:r>
            <w:r w:rsidRPr="00C059F3">
              <w:rPr>
                <w:rFonts w:ascii="Times New Roman" w:hAnsi="Times New Roman" w:cs="Times New Roman"/>
                <w:sz w:val="24"/>
                <w:szCs w:val="24"/>
              </w:rPr>
              <w:t>.</w:t>
            </w:r>
          </w:p>
          <w:p w14:paraId="5C31282A" w14:textId="77777777" w:rsidR="00AF1263" w:rsidRPr="00C059F3" w:rsidRDefault="00AF1263" w:rsidP="001557BB">
            <w:pPr>
              <w:jc w:val="both"/>
              <w:rPr>
                <w:rFonts w:ascii="Times New Roman" w:hAnsi="Times New Roman" w:cs="Times New Roman"/>
                <w:sz w:val="24"/>
                <w:szCs w:val="24"/>
              </w:rPr>
            </w:pPr>
            <w:r w:rsidRPr="00C059F3">
              <w:rPr>
                <w:rFonts w:ascii="Times New Roman" w:hAnsi="Times New Roman" w:cs="Times New Roman"/>
                <w:sz w:val="24"/>
                <w:szCs w:val="24"/>
              </w:rPr>
              <w:t xml:space="preserve">Dans le cadre de la </w:t>
            </w:r>
            <w:r w:rsidRPr="00C059F3">
              <w:rPr>
                <w:rFonts w:ascii="Times New Roman" w:eastAsia="Calibri" w:hAnsi="Times New Roman" w:cs="Times New Roman"/>
                <w:sz w:val="24"/>
                <w:szCs w:val="24"/>
              </w:rPr>
              <w:t xml:space="preserve">planification nationale en matière de </w:t>
            </w:r>
            <w:r w:rsidRPr="00C059F3">
              <w:rPr>
                <w:rFonts w:ascii="Times New Roman" w:hAnsi="Times New Roman" w:cs="Times New Roman"/>
                <w:sz w:val="24"/>
                <w:szCs w:val="24"/>
              </w:rPr>
              <w:t xml:space="preserve">changements climatiques, plusieurs </w:t>
            </w:r>
            <w:r w:rsidRPr="00C059F3">
              <w:rPr>
                <w:rFonts w:ascii="Times New Roman" w:eastAsia="Calibri" w:hAnsi="Times New Roman" w:cs="Times New Roman"/>
                <w:sz w:val="24"/>
                <w:szCs w:val="24"/>
              </w:rPr>
              <w:t>documents ont été élaborés. Il s’agit de :</w:t>
            </w:r>
          </w:p>
          <w:p w14:paraId="64DECBAA" w14:textId="77777777" w:rsidR="00AF1263" w:rsidRPr="00C059F3" w:rsidRDefault="005814B3" w:rsidP="001557BB">
            <w:pPr>
              <w:jc w:val="both"/>
              <w:rPr>
                <w:rFonts w:ascii="Times New Roman" w:eastAsia="Calibri" w:hAnsi="Times New Roman" w:cs="Times New Roman"/>
                <w:sz w:val="24"/>
                <w:szCs w:val="24"/>
              </w:rPr>
            </w:pPr>
            <w:r w:rsidRPr="00C059F3">
              <w:rPr>
                <w:rFonts w:ascii="Times New Roman" w:eastAsia="Calibri" w:hAnsi="Times New Roman" w:cs="Times New Roman"/>
                <w:sz w:val="24"/>
                <w:szCs w:val="24"/>
              </w:rPr>
              <w:t xml:space="preserve">- </w:t>
            </w:r>
            <w:r w:rsidR="00AF1263" w:rsidRPr="00C059F3">
              <w:rPr>
                <w:rFonts w:ascii="Times New Roman" w:eastAsia="Calibri" w:hAnsi="Times New Roman" w:cs="Times New Roman"/>
                <w:sz w:val="24"/>
                <w:szCs w:val="24"/>
              </w:rPr>
              <w:t>La contribution déterminée au niveau national (CDN) dans lequel le Togo s’est engagé à réduire ses émissions de façon inconditionnelle de 11,14% par rapport au scenario de référence en 2030 et a adossé à ses impératifs de développement une trajectoire de croissance sobre en carbone qui se traduira par une réduction conditionnelle de 20% ;</w:t>
            </w:r>
          </w:p>
          <w:p w14:paraId="523834FD" w14:textId="77777777" w:rsidR="00AF1263" w:rsidRPr="00C059F3" w:rsidRDefault="005814B3" w:rsidP="001557BB">
            <w:pPr>
              <w:contextualSpacing/>
              <w:jc w:val="both"/>
              <w:rPr>
                <w:rFonts w:ascii="Times New Roman" w:eastAsia="Calibri" w:hAnsi="Times New Roman" w:cs="Times New Roman"/>
                <w:sz w:val="24"/>
                <w:szCs w:val="24"/>
              </w:rPr>
            </w:pPr>
            <w:r w:rsidRPr="00C059F3">
              <w:rPr>
                <w:rFonts w:ascii="Times New Roman" w:eastAsia="Calibri" w:hAnsi="Times New Roman" w:cs="Times New Roman"/>
                <w:sz w:val="24"/>
                <w:szCs w:val="24"/>
              </w:rPr>
              <w:t xml:space="preserve">- </w:t>
            </w:r>
            <w:r w:rsidR="00AF1263" w:rsidRPr="00C059F3">
              <w:rPr>
                <w:rFonts w:ascii="Times New Roman" w:eastAsia="Calibri" w:hAnsi="Times New Roman" w:cs="Times New Roman"/>
                <w:sz w:val="24"/>
                <w:szCs w:val="24"/>
              </w:rPr>
              <w:t>La Troisième communication nationale sur les changements climatiques (TCNCC) qui actualise les données du Togo sur les circonstances nationales, les émissions de gaz à effet de serre, la vulnérabilité du pays au climat, les politiques et mesure d’adaptation et d’atténuation des changements climatiques, l’évaluation des besoins en financement, technologie et en renforcement des capacités pour  la lutte contre les changements climatiques ainsi que l’état des recherches sur les changements climatiques ;</w:t>
            </w:r>
          </w:p>
          <w:p w14:paraId="5155ADE4" w14:textId="77777777" w:rsidR="00AF1263" w:rsidRPr="00C059F3" w:rsidRDefault="005814B3" w:rsidP="001557BB">
            <w:pPr>
              <w:contextualSpacing/>
              <w:jc w:val="both"/>
              <w:rPr>
                <w:rFonts w:ascii="Times New Roman" w:eastAsia="Calibri" w:hAnsi="Times New Roman" w:cs="Times New Roman"/>
                <w:sz w:val="24"/>
                <w:szCs w:val="24"/>
              </w:rPr>
            </w:pPr>
            <w:r w:rsidRPr="00C059F3">
              <w:rPr>
                <w:rFonts w:ascii="Times New Roman" w:eastAsia="Calibri" w:hAnsi="Times New Roman" w:cs="Times New Roman"/>
                <w:sz w:val="24"/>
                <w:szCs w:val="24"/>
              </w:rPr>
              <w:t xml:space="preserve">- </w:t>
            </w:r>
            <w:r w:rsidR="00AF1263" w:rsidRPr="00C059F3">
              <w:rPr>
                <w:rFonts w:ascii="Times New Roman" w:eastAsia="Calibri" w:hAnsi="Times New Roman" w:cs="Times New Roman"/>
                <w:sz w:val="24"/>
                <w:szCs w:val="24"/>
              </w:rPr>
              <w:t xml:space="preserve">Le premier rapport biennal actualisé </w:t>
            </w:r>
            <w:r w:rsidR="00E13963" w:rsidRPr="00C059F3">
              <w:rPr>
                <w:rFonts w:ascii="Times New Roman" w:eastAsia="Calibri" w:hAnsi="Times New Roman" w:cs="Times New Roman"/>
                <w:sz w:val="24"/>
                <w:szCs w:val="24"/>
              </w:rPr>
              <w:t xml:space="preserve">(PRBA) </w:t>
            </w:r>
            <w:r w:rsidR="00AF1263" w:rsidRPr="00C059F3">
              <w:rPr>
                <w:rFonts w:ascii="Times New Roman" w:eastAsia="Calibri" w:hAnsi="Times New Roman" w:cs="Times New Roman"/>
                <w:sz w:val="24"/>
                <w:szCs w:val="24"/>
              </w:rPr>
              <w:t>sur les changements climatiques actualise les émissions sur les gaz à effet de serre et permet d’évaluer le système de mesure, de notification et vérification pour la transparence des efforts en matière de lutte contre les changements climatiques au Togo ;</w:t>
            </w:r>
          </w:p>
          <w:p w14:paraId="5EFCF7D1" w14:textId="77777777" w:rsidR="00AF1263" w:rsidRPr="00C059F3" w:rsidRDefault="005814B3" w:rsidP="001557BB">
            <w:pPr>
              <w:contextualSpacing/>
              <w:jc w:val="both"/>
              <w:rPr>
                <w:rFonts w:ascii="Times New Roman" w:eastAsia="Calibri" w:hAnsi="Times New Roman" w:cs="Times New Roman"/>
                <w:sz w:val="24"/>
                <w:szCs w:val="24"/>
              </w:rPr>
            </w:pPr>
            <w:r w:rsidRPr="00C059F3">
              <w:rPr>
                <w:rFonts w:ascii="Times New Roman" w:eastAsia="Calibri" w:hAnsi="Times New Roman" w:cs="Times New Roman"/>
                <w:sz w:val="24"/>
                <w:szCs w:val="24"/>
              </w:rPr>
              <w:t xml:space="preserve">- </w:t>
            </w:r>
            <w:r w:rsidR="00AF1263" w:rsidRPr="00C059F3">
              <w:rPr>
                <w:rFonts w:ascii="Times New Roman" w:eastAsia="Calibri" w:hAnsi="Times New Roman" w:cs="Times New Roman"/>
                <w:sz w:val="24"/>
                <w:szCs w:val="24"/>
              </w:rPr>
              <w:t>Le Plan national d’adaptation aux changements climatiques (PNACC) a identifié les méthodologies, les moyens et les outils à utiliser pour la planification de l’adaptation aux changements climatiques dans les politiques, stratégie, plan et programme dans les différents secteurs les plus vulnérables au Togo ;</w:t>
            </w:r>
          </w:p>
          <w:p w14:paraId="29BBEDA9" w14:textId="77777777" w:rsidR="00AF1263" w:rsidRPr="00C059F3" w:rsidRDefault="00543641" w:rsidP="001557BB">
            <w:pPr>
              <w:contextualSpacing/>
              <w:jc w:val="both"/>
              <w:rPr>
                <w:rFonts w:ascii="Times New Roman" w:eastAsia="Calibri" w:hAnsi="Times New Roman" w:cs="Times New Roman"/>
                <w:sz w:val="24"/>
                <w:szCs w:val="24"/>
              </w:rPr>
            </w:pPr>
            <w:r w:rsidRPr="00C059F3">
              <w:rPr>
                <w:rFonts w:ascii="Times New Roman" w:eastAsia="Calibri" w:hAnsi="Times New Roman" w:cs="Times New Roman"/>
                <w:sz w:val="24"/>
                <w:szCs w:val="24"/>
              </w:rPr>
              <w:t xml:space="preserve">- </w:t>
            </w:r>
            <w:r w:rsidR="00AF1263" w:rsidRPr="00C059F3">
              <w:rPr>
                <w:rFonts w:ascii="Times New Roman" w:eastAsia="Calibri" w:hAnsi="Times New Roman" w:cs="Times New Roman"/>
                <w:sz w:val="24"/>
                <w:szCs w:val="24"/>
              </w:rPr>
              <w:t>Le Guide d’intégration de l’adaptation aux changements climatiques (GIACC) a identifié la méthodologie à utiliser pour la prise en compte de l’adaptation aux changements climatiques dans les politiques, stratégies, plans et programme et projets de développement ;</w:t>
            </w:r>
          </w:p>
          <w:p w14:paraId="299932FB" w14:textId="77777777" w:rsidR="005814B3" w:rsidRPr="00C059F3" w:rsidRDefault="00543641" w:rsidP="001557BB">
            <w:pPr>
              <w:jc w:val="both"/>
              <w:rPr>
                <w:rFonts w:ascii="Times New Roman" w:eastAsia="Times New Roman" w:hAnsi="Times New Roman" w:cs="Times New Roman"/>
                <w:iCs/>
                <w:sz w:val="24"/>
                <w:szCs w:val="24"/>
              </w:rPr>
            </w:pPr>
            <w:r w:rsidRPr="00C059F3">
              <w:rPr>
                <w:rFonts w:ascii="Times New Roman" w:hAnsi="Times New Roman" w:cs="Times New Roman"/>
                <w:sz w:val="24"/>
                <w:szCs w:val="24"/>
              </w:rPr>
              <w:t>West African Science Service Center on Climate Change and Adapted Land Use (WASCAL) a pour vocation d’éduquer la prochaine génération de scientifiques et à la doter de connaissances sur le changement climatique afin d’aider la région ouest africaine à élaborer des stratégies de gestion appropriées. Après 3 promotions (2012-2018) de masters sur la thématique changement climatique et sécurité humaine, WASCAL Togo va sortir des Docteurs en Changement Climatique et Gestion des Risques de Catastrophe.</w:t>
            </w:r>
          </w:p>
        </w:tc>
      </w:tr>
      <w:tr w:rsidR="00782437" w:rsidRPr="00C059F3" w14:paraId="0232BC6A" w14:textId="77777777" w:rsidTr="00C059F3">
        <w:tc>
          <w:tcPr>
            <w:tcW w:w="2269" w:type="dxa"/>
            <w:vAlign w:val="center"/>
          </w:tcPr>
          <w:p w14:paraId="061AB016" w14:textId="77777777" w:rsidR="00782437" w:rsidRPr="00C059F3" w:rsidRDefault="00090C00" w:rsidP="001557BB">
            <w:pPr>
              <w:jc w:val="both"/>
              <w:rPr>
                <w:rFonts w:ascii="Times New Roman" w:eastAsia="Times New Roman" w:hAnsi="Times New Roman" w:cs="Times New Roman"/>
                <w:iCs/>
                <w:sz w:val="24"/>
                <w:szCs w:val="24"/>
              </w:rPr>
            </w:pPr>
            <w:r w:rsidRPr="00C059F3">
              <w:rPr>
                <w:rFonts w:ascii="Times New Roman" w:hAnsi="Times New Roman" w:cs="Times New Roman"/>
                <w:sz w:val="24"/>
                <w:szCs w:val="24"/>
              </w:rPr>
              <w:t>A</w:t>
            </w:r>
            <w:r w:rsidR="00782437" w:rsidRPr="00C059F3">
              <w:rPr>
                <w:rFonts w:ascii="Times New Roman" w:hAnsi="Times New Roman" w:cs="Times New Roman"/>
                <w:sz w:val="24"/>
                <w:szCs w:val="24"/>
              </w:rPr>
              <w:t>ssurer la gestion durable de la zone côtière</w:t>
            </w:r>
          </w:p>
        </w:tc>
        <w:tc>
          <w:tcPr>
            <w:tcW w:w="1985" w:type="dxa"/>
            <w:vAlign w:val="center"/>
          </w:tcPr>
          <w:p w14:paraId="48E1F6A9" w14:textId="77777777" w:rsidR="00782437" w:rsidRPr="00C059F3" w:rsidRDefault="00090C00" w:rsidP="001557BB">
            <w:pPr>
              <w:jc w:val="both"/>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C</w:t>
            </w:r>
            <w:r w:rsidR="00782437" w:rsidRPr="00C059F3">
              <w:rPr>
                <w:rFonts w:ascii="Times New Roman" w:eastAsia="Times New Roman" w:hAnsi="Times New Roman" w:cs="Times New Roman"/>
                <w:iCs/>
                <w:sz w:val="24"/>
                <w:szCs w:val="24"/>
              </w:rPr>
              <w:t>onserver et exploiter de manière durable les océans, les mers et les ressources marines aux fins du développement durable</w:t>
            </w:r>
          </w:p>
        </w:tc>
        <w:tc>
          <w:tcPr>
            <w:tcW w:w="10914" w:type="dxa"/>
            <w:vAlign w:val="center"/>
          </w:tcPr>
          <w:p w14:paraId="1FC093DA" w14:textId="0F1FB412" w:rsidR="00AF1263" w:rsidRPr="00C059F3" w:rsidRDefault="00AF1263" w:rsidP="001557BB">
            <w:pPr>
              <w:jc w:val="both"/>
              <w:rPr>
                <w:rFonts w:ascii="Times New Roman" w:eastAsia="Times New Roman" w:hAnsi="Times New Roman" w:cs="Times New Roman"/>
                <w:iCs/>
                <w:sz w:val="24"/>
                <w:szCs w:val="24"/>
              </w:rPr>
            </w:pPr>
            <w:r w:rsidRPr="00C059F3">
              <w:rPr>
                <w:rFonts w:ascii="Times New Roman" w:eastAsia="Times New Roman" w:hAnsi="Times New Roman" w:cs="Times New Roman"/>
                <w:iCs/>
                <w:sz w:val="24"/>
                <w:szCs w:val="24"/>
              </w:rPr>
              <w:t>Pour assurer une gestion durable des mers et des océans, le pays s’est doté d’une stratégie nationale pour la mer et le littoral (SNPML) en 2016. Cette stratégie est organisée autour de cinq (05) axes stratégiques à savoir : le renforcement de la gouvernance maritime, le développement d’une économie bleue, la protection durable de l’environnement marin et côtier, la promotion de la recherche et la sensibilisation dans la connaissance du domaine maritime et le développement d’une coopération internationale dynamique et diversifiée.Au plan institutionnel, il a été créé en 20</w:t>
            </w:r>
            <w:r w:rsidR="00C96614">
              <w:rPr>
                <w:rFonts w:ascii="Times New Roman" w:eastAsia="Times New Roman" w:hAnsi="Times New Roman" w:cs="Times New Roman"/>
                <w:iCs/>
                <w:sz w:val="24"/>
                <w:szCs w:val="24"/>
              </w:rPr>
              <w:t>14 ,</w:t>
            </w:r>
            <w:r w:rsidRPr="00C059F3">
              <w:rPr>
                <w:rFonts w:ascii="Times New Roman" w:eastAsia="Times New Roman" w:hAnsi="Times New Roman" w:cs="Times New Roman"/>
                <w:iCs/>
                <w:sz w:val="24"/>
                <w:szCs w:val="24"/>
              </w:rPr>
              <w:t xml:space="preserve"> l’Organisme National chargé de l’action de l’Etat en mer (ONAEM) constitué de trois (03) organes que sont : (i) le Haut Conseil pour la Mer (HCM) ; (ii) les Services du conseiller pour la mer et (iii) la Préfecture maritime.</w:t>
            </w:r>
          </w:p>
          <w:p w14:paraId="39F4DF99" w14:textId="62D81471" w:rsidR="00543641" w:rsidRPr="00C059F3" w:rsidRDefault="0069265F" w:rsidP="001557BB">
            <w:pPr>
              <w:pStyle w:val="NormalWeb"/>
              <w:spacing w:before="0" w:beforeAutospacing="0" w:after="0" w:afterAutospacing="0"/>
              <w:jc w:val="both"/>
            </w:pPr>
            <w:r>
              <w:t xml:space="preserve">Le </w:t>
            </w:r>
            <w:r w:rsidRPr="0069265F">
              <w:t>projet d’investissement de la résilience des zones côtières en Afrique de l’Ouest (WACA-ResIP)</w:t>
            </w:r>
            <w:r>
              <w:t xml:space="preserve"> </w:t>
            </w:r>
            <w:r w:rsidR="00ED29C7" w:rsidRPr="00C059F3">
              <w:t xml:space="preserve">a été conçu pour répondre au besoin croissant d’intégration régionale pour préserver le littoral ouest-africain au profit des générations futures. </w:t>
            </w:r>
            <w:r w:rsidR="00E856AC" w:rsidRPr="00C059F3">
              <w:t>L</w:t>
            </w:r>
            <w:r w:rsidR="00ED29C7" w:rsidRPr="00C059F3">
              <w:t>es pays seront mieux en mesure de gérer les zones les plus touchées par l’érosion, et de préserver les bienfaits qu’un écosystème côtier sain procure à la population et à l’économie d’un pays.</w:t>
            </w:r>
            <w:r w:rsidR="00E856AC" w:rsidRPr="00C059F3">
              <w:t xml:space="preserve"> Il s’agit aussi de promouvoir</w:t>
            </w:r>
            <w:r w:rsidR="00ED29C7" w:rsidRPr="00C059F3">
              <w:t xml:space="preserve"> l’économie bleue </w:t>
            </w:r>
            <w:r w:rsidR="00E856AC" w:rsidRPr="00C059F3">
              <w:t xml:space="preserve">par </w:t>
            </w:r>
            <w:r w:rsidR="00ED29C7" w:rsidRPr="00C059F3">
              <w:t>« un usage durable et une gestion conservatoire des écosystèmes aquatiques et marins et des ressources qui leur sont associées ».</w:t>
            </w:r>
          </w:p>
        </w:tc>
      </w:tr>
    </w:tbl>
    <w:p w14:paraId="6F72DB16" w14:textId="77777777" w:rsidR="00C059F3" w:rsidRDefault="00C059F3" w:rsidP="001557BB">
      <w:pPr>
        <w:spacing w:after="0" w:line="240" w:lineRule="auto"/>
        <w:jc w:val="both"/>
        <w:rPr>
          <w:rFonts w:ascii="Times New Roman" w:eastAsia="Times New Roman" w:hAnsi="Times New Roman" w:cs="Times New Roman"/>
          <w:iCs/>
          <w:sz w:val="24"/>
          <w:szCs w:val="24"/>
        </w:rPr>
        <w:sectPr w:rsidR="00C059F3" w:rsidSect="00C059F3">
          <w:pgSz w:w="16838" w:h="11906" w:orient="landscape"/>
          <w:pgMar w:top="1418" w:right="1418" w:bottom="1418" w:left="1418" w:header="709" w:footer="709" w:gutter="0"/>
          <w:cols w:space="708"/>
          <w:docGrid w:linePitch="360"/>
        </w:sectPr>
      </w:pPr>
    </w:p>
    <w:p w14:paraId="244BDE1F" w14:textId="169526F8" w:rsidR="004D1360" w:rsidRDefault="004D1360" w:rsidP="001557BB">
      <w:pPr>
        <w:spacing w:after="0" w:line="240" w:lineRule="auto"/>
        <w:jc w:val="both"/>
        <w:rPr>
          <w:rFonts w:ascii="Times New Roman" w:eastAsia="Times New Roman" w:hAnsi="Times New Roman" w:cs="Times New Roman"/>
          <w:iCs/>
          <w:sz w:val="24"/>
          <w:szCs w:val="24"/>
        </w:rPr>
      </w:pPr>
      <w:r w:rsidRPr="001557BB">
        <w:rPr>
          <w:rFonts w:ascii="Times New Roman" w:eastAsia="Times New Roman" w:hAnsi="Times New Roman" w:cs="Times New Roman"/>
          <w:iCs/>
          <w:sz w:val="24"/>
          <w:szCs w:val="24"/>
        </w:rPr>
        <w:t>Cependant</w:t>
      </w:r>
      <w:r w:rsidR="0069265F">
        <w:rPr>
          <w:rFonts w:ascii="Times New Roman" w:eastAsia="Times New Roman" w:hAnsi="Times New Roman" w:cs="Times New Roman"/>
          <w:iCs/>
          <w:sz w:val="24"/>
          <w:szCs w:val="24"/>
        </w:rPr>
        <w:t>,</w:t>
      </w:r>
      <w:r w:rsidRPr="001557BB">
        <w:rPr>
          <w:rFonts w:ascii="Times New Roman" w:eastAsia="Times New Roman" w:hAnsi="Times New Roman" w:cs="Times New Roman"/>
          <w:iCs/>
          <w:sz w:val="24"/>
          <w:szCs w:val="24"/>
        </w:rPr>
        <w:t xml:space="preserve"> quelques secteur</w:t>
      </w:r>
      <w:r w:rsidR="00817ED3" w:rsidRPr="001557BB">
        <w:rPr>
          <w:rFonts w:ascii="Times New Roman" w:eastAsia="Times New Roman" w:hAnsi="Times New Roman" w:cs="Times New Roman"/>
          <w:iCs/>
          <w:sz w:val="24"/>
          <w:szCs w:val="24"/>
        </w:rPr>
        <w:t>s prennent faiblement en compte</w:t>
      </w:r>
      <w:r w:rsidR="00E13963" w:rsidRPr="001557BB">
        <w:rPr>
          <w:rFonts w:ascii="Times New Roman" w:eastAsia="Times New Roman" w:hAnsi="Times New Roman" w:cs="Times New Roman"/>
          <w:iCs/>
          <w:sz w:val="24"/>
          <w:szCs w:val="24"/>
        </w:rPr>
        <w:t xml:space="preserve"> la SMCP</w:t>
      </w:r>
      <w:r w:rsidR="00817ED3" w:rsidRPr="001557BB">
        <w:rPr>
          <w:rFonts w:ascii="Times New Roman" w:eastAsia="Times New Roman" w:hAnsi="Times New Roman" w:cs="Times New Roman"/>
          <w:iCs/>
          <w:sz w:val="24"/>
          <w:szCs w:val="24"/>
        </w:rPr>
        <w:t xml:space="preserve">. Il s’agit de : </w:t>
      </w:r>
    </w:p>
    <w:p w14:paraId="7304AB7E" w14:textId="77777777" w:rsidR="0069265F" w:rsidRPr="0069265F" w:rsidRDefault="0069265F" w:rsidP="001557BB">
      <w:pPr>
        <w:spacing w:after="0" w:line="240" w:lineRule="auto"/>
        <w:jc w:val="both"/>
        <w:rPr>
          <w:rFonts w:ascii="Times New Roman" w:eastAsia="Times New Roman" w:hAnsi="Times New Roman" w:cs="Times New Roman"/>
          <w:iCs/>
          <w:sz w:val="10"/>
          <w:szCs w:val="24"/>
        </w:rPr>
      </w:pPr>
    </w:p>
    <w:p w14:paraId="0D9510E0" w14:textId="50E14E41" w:rsidR="00CA0AD4" w:rsidRDefault="006E2E11" w:rsidP="00E50666">
      <w:pPr>
        <w:pStyle w:val="Paragraphedeliste"/>
        <w:numPr>
          <w:ilvl w:val="0"/>
          <w:numId w:val="30"/>
        </w:numPr>
        <w:autoSpaceDE w:val="0"/>
        <w:autoSpaceDN w:val="0"/>
        <w:adjustRightInd w:val="0"/>
        <w:spacing w:after="0" w:line="240" w:lineRule="auto"/>
        <w:jc w:val="both"/>
        <w:rPr>
          <w:rFonts w:ascii="Times New Roman" w:hAnsi="Times New Roman" w:cs="Times New Roman"/>
          <w:color w:val="000000"/>
          <w:sz w:val="24"/>
          <w:szCs w:val="24"/>
        </w:rPr>
      </w:pPr>
      <w:r w:rsidRPr="00CA0AD4">
        <w:rPr>
          <w:rFonts w:ascii="Times New Roman" w:hAnsi="Times New Roman" w:cs="Times New Roman"/>
          <w:b/>
          <w:bCs/>
          <w:color w:val="000000"/>
          <w:sz w:val="24"/>
          <w:szCs w:val="24"/>
        </w:rPr>
        <w:t>Agriculture</w:t>
      </w:r>
      <w:r w:rsidR="0069265F">
        <w:rPr>
          <w:rFonts w:ascii="Times New Roman" w:hAnsi="Times New Roman" w:cs="Times New Roman"/>
          <w:b/>
          <w:bCs/>
          <w:color w:val="000000"/>
          <w:sz w:val="24"/>
          <w:szCs w:val="24"/>
        </w:rPr>
        <w:t xml:space="preserve"> </w:t>
      </w:r>
      <w:r w:rsidRPr="00CA0AD4">
        <w:rPr>
          <w:rFonts w:ascii="Times New Roman" w:hAnsi="Times New Roman" w:cs="Times New Roman"/>
          <w:b/>
          <w:bCs/>
          <w:color w:val="000000"/>
          <w:sz w:val="24"/>
          <w:szCs w:val="24"/>
        </w:rPr>
        <w:t xml:space="preserve">: </w:t>
      </w:r>
      <w:r w:rsidR="0069265F">
        <w:rPr>
          <w:rFonts w:ascii="Times New Roman" w:hAnsi="Times New Roman" w:cs="Times New Roman"/>
          <w:color w:val="000000"/>
          <w:sz w:val="24"/>
          <w:szCs w:val="24"/>
        </w:rPr>
        <w:t>à</w:t>
      </w:r>
      <w:r w:rsidR="00E13963" w:rsidRPr="00CA0AD4">
        <w:rPr>
          <w:rFonts w:ascii="Times New Roman" w:hAnsi="Times New Roman" w:cs="Times New Roman"/>
          <w:color w:val="000000"/>
          <w:sz w:val="24"/>
          <w:szCs w:val="24"/>
        </w:rPr>
        <w:t xml:space="preserve"> l’analyse du </w:t>
      </w:r>
      <w:r w:rsidRPr="00CA0AD4">
        <w:rPr>
          <w:rFonts w:ascii="Times New Roman" w:hAnsi="Times New Roman" w:cs="Times New Roman"/>
          <w:color w:val="000000"/>
          <w:sz w:val="24"/>
          <w:szCs w:val="24"/>
        </w:rPr>
        <w:t>document stratégique de planification du secteur agricole</w:t>
      </w:r>
      <w:r w:rsidR="00817ED3" w:rsidRPr="00CA0AD4">
        <w:rPr>
          <w:rFonts w:ascii="Times New Roman" w:hAnsi="Times New Roman" w:cs="Times New Roman"/>
          <w:color w:val="000000"/>
          <w:sz w:val="24"/>
          <w:szCs w:val="24"/>
        </w:rPr>
        <w:t xml:space="preserve"> mis en œuvre à travers le Programme National d’Investissement Agricole et de Sécurité Alimentaire (PNIASA)</w:t>
      </w:r>
      <w:r w:rsidRPr="00CA0AD4">
        <w:rPr>
          <w:rFonts w:ascii="Times New Roman" w:hAnsi="Times New Roman" w:cs="Times New Roman"/>
          <w:color w:val="000000"/>
          <w:sz w:val="24"/>
          <w:szCs w:val="24"/>
        </w:rPr>
        <w:t>, la diversité biologique n’est pas assez mise en exergue. Seul</w:t>
      </w:r>
      <w:r w:rsidR="0069265F">
        <w:rPr>
          <w:rFonts w:ascii="Times New Roman" w:hAnsi="Times New Roman" w:cs="Times New Roman"/>
          <w:color w:val="000000"/>
          <w:sz w:val="24"/>
          <w:szCs w:val="24"/>
        </w:rPr>
        <w:t>,</w:t>
      </w:r>
      <w:r w:rsidRPr="00CA0AD4">
        <w:rPr>
          <w:rFonts w:ascii="Times New Roman" w:hAnsi="Times New Roman" w:cs="Times New Roman"/>
          <w:color w:val="000000"/>
          <w:sz w:val="24"/>
          <w:szCs w:val="24"/>
        </w:rPr>
        <w:t xml:space="preserve"> dans le sous-programme 5 relatif à la recherche, notamment au niveau de la composante n°1 intitulée «</w:t>
      </w:r>
      <w:r w:rsidRPr="00CA0AD4">
        <w:rPr>
          <w:rFonts w:ascii="Times New Roman" w:hAnsi="Times New Roman" w:cs="Times New Roman"/>
          <w:i/>
          <w:iCs/>
          <w:color w:val="000000"/>
          <w:sz w:val="24"/>
          <w:szCs w:val="24"/>
        </w:rPr>
        <w:t xml:space="preserve">développement des technologies améliorées», </w:t>
      </w:r>
      <w:r w:rsidRPr="00CA0AD4">
        <w:rPr>
          <w:rFonts w:ascii="Times New Roman" w:hAnsi="Times New Roman" w:cs="Times New Roman"/>
          <w:color w:val="000000"/>
          <w:sz w:val="24"/>
          <w:szCs w:val="24"/>
        </w:rPr>
        <w:t>on peut noter la perspective du développement de nouveaux matériels génétiques des espèces végétales, animales et halieutiques comme actions spécifique</w:t>
      </w:r>
      <w:r w:rsidR="0032558C">
        <w:rPr>
          <w:rFonts w:ascii="Times New Roman" w:hAnsi="Times New Roman" w:cs="Times New Roman"/>
          <w:color w:val="000000"/>
          <w:sz w:val="24"/>
          <w:szCs w:val="24"/>
        </w:rPr>
        <w:t>s</w:t>
      </w:r>
      <w:r w:rsidRPr="00CA0AD4">
        <w:rPr>
          <w:rFonts w:ascii="Times New Roman" w:hAnsi="Times New Roman" w:cs="Times New Roman"/>
          <w:color w:val="000000"/>
          <w:sz w:val="24"/>
          <w:szCs w:val="24"/>
        </w:rPr>
        <w:t xml:space="preserve"> liée</w:t>
      </w:r>
      <w:r w:rsidR="0032558C">
        <w:rPr>
          <w:rFonts w:ascii="Times New Roman" w:hAnsi="Times New Roman" w:cs="Times New Roman"/>
          <w:color w:val="000000"/>
          <w:sz w:val="24"/>
          <w:szCs w:val="24"/>
        </w:rPr>
        <w:t>s</w:t>
      </w:r>
      <w:r w:rsidRPr="00CA0AD4">
        <w:rPr>
          <w:rFonts w:ascii="Times New Roman" w:hAnsi="Times New Roman" w:cs="Times New Roman"/>
          <w:color w:val="000000"/>
          <w:sz w:val="24"/>
          <w:szCs w:val="24"/>
        </w:rPr>
        <w:t xml:space="preserve"> à la préservation de la diversité biologique. Une composante du sous-programme 1 qui est intitulée </w:t>
      </w:r>
      <w:r w:rsidRPr="00CA0AD4">
        <w:rPr>
          <w:rFonts w:ascii="Times New Roman" w:hAnsi="Times New Roman" w:cs="Times New Roman"/>
          <w:i/>
          <w:iCs/>
          <w:color w:val="000000"/>
          <w:sz w:val="24"/>
          <w:szCs w:val="24"/>
        </w:rPr>
        <w:t xml:space="preserve">«sécurisation foncière et gestion durable des ressources naturelles» </w:t>
      </w:r>
      <w:r w:rsidRPr="00CA0AD4">
        <w:rPr>
          <w:rFonts w:ascii="Times New Roman" w:hAnsi="Times New Roman" w:cs="Times New Roman"/>
          <w:color w:val="000000"/>
          <w:sz w:val="24"/>
          <w:szCs w:val="24"/>
        </w:rPr>
        <w:t>adresse les défis liés à l’appui aux producteurs dans la gestion durable des ressources naturelles, de l’environnement et leur impac</w:t>
      </w:r>
      <w:r w:rsidR="0069265F">
        <w:rPr>
          <w:rFonts w:ascii="Times New Roman" w:hAnsi="Times New Roman" w:cs="Times New Roman"/>
          <w:color w:val="000000"/>
          <w:sz w:val="24"/>
          <w:szCs w:val="24"/>
        </w:rPr>
        <w:t>t sur les activités économiques,</w:t>
      </w:r>
      <w:r w:rsidRPr="00CA0AD4">
        <w:rPr>
          <w:rFonts w:ascii="Times New Roman" w:hAnsi="Times New Roman" w:cs="Times New Roman"/>
          <w:color w:val="000000"/>
          <w:sz w:val="24"/>
          <w:szCs w:val="24"/>
        </w:rPr>
        <w:t xml:space="preserve"> l’appui aux actions collectives de gestion concertée des ressources naturelles au niveau du terroir</w:t>
      </w:r>
      <w:r w:rsidR="00CA0AD4">
        <w:rPr>
          <w:rFonts w:ascii="Times New Roman" w:hAnsi="Times New Roman" w:cs="Times New Roman"/>
          <w:color w:val="000000"/>
          <w:sz w:val="24"/>
          <w:szCs w:val="24"/>
        </w:rPr>
        <w:t> ;</w:t>
      </w:r>
    </w:p>
    <w:p w14:paraId="2AB50B09" w14:textId="09524661" w:rsidR="00CA0AD4" w:rsidRDefault="0069265F" w:rsidP="00E50666">
      <w:pPr>
        <w:pStyle w:val="Paragraphedeliste"/>
        <w:numPr>
          <w:ilvl w:val="0"/>
          <w:numId w:val="30"/>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b/>
          <w:bCs/>
          <w:color w:val="000000"/>
          <w:sz w:val="24"/>
          <w:szCs w:val="24"/>
        </w:rPr>
        <w:t>E</w:t>
      </w:r>
      <w:r w:rsidR="006E2E11" w:rsidRPr="00CA0AD4">
        <w:rPr>
          <w:rFonts w:ascii="Times New Roman" w:hAnsi="Times New Roman" w:cs="Times New Roman"/>
          <w:b/>
          <w:bCs/>
          <w:color w:val="000000"/>
          <w:sz w:val="24"/>
          <w:szCs w:val="24"/>
        </w:rPr>
        <w:t xml:space="preserve">au et assainissement : </w:t>
      </w:r>
      <w:r w:rsidR="006E2E11" w:rsidRPr="00CA0AD4">
        <w:rPr>
          <w:rFonts w:ascii="Times New Roman" w:hAnsi="Times New Roman" w:cs="Times New Roman"/>
          <w:color w:val="000000"/>
          <w:sz w:val="24"/>
          <w:szCs w:val="24"/>
        </w:rPr>
        <w:t xml:space="preserve">le plan d’action d’approvisionnement en eau potable et d’assainissement et la stratégie de gestion intégrée des ressources en eau ont été fusionnés pour donner un seul plan stratégique appelé Plan d’Actions National pour le Secteur de l’Eau et de l’Assainissement (PANSEA). </w:t>
      </w:r>
      <w:r w:rsidR="00817ED3" w:rsidRPr="00CA0AD4">
        <w:rPr>
          <w:rFonts w:ascii="Times New Roman" w:hAnsi="Times New Roman" w:cs="Times New Roman"/>
          <w:color w:val="000000"/>
          <w:sz w:val="24"/>
          <w:szCs w:val="24"/>
        </w:rPr>
        <w:t>La prise en compte de la biodiversité est traduite dans le PANSEA par la gestion intégrée des trois bassins hydrologique</w:t>
      </w:r>
      <w:r w:rsidR="00A3290B">
        <w:rPr>
          <w:rFonts w:ascii="Times New Roman" w:hAnsi="Times New Roman" w:cs="Times New Roman"/>
          <w:color w:val="000000"/>
          <w:sz w:val="24"/>
          <w:szCs w:val="24"/>
        </w:rPr>
        <w:t>s</w:t>
      </w:r>
      <w:r w:rsidR="00817ED3" w:rsidRPr="00CA0AD4">
        <w:rPr>
          <w:rFonts w:ascii="Times New Roman" w:hAnsi="Times New Roman" w:cs="Times New Roman"/>
          <w:color w:val="000000"/>
          <w:sz w:val="24"/>
          <w:szCs w:val="24"/>
        </w:rPr>
        <w:t xml:space="preserve"> avec un accent sur le bassin de la volta qui regroupe six Etats : Le Bénin, le Burkina Faso, la Côte d’Ivoire, le Ghana, le Mal</w:t>
      </w:r>
      <w:r w:rsidR="00CA0AD4">
        <w:rPr>
          <w:rFonts w:ascii="Times New Roman" w:hAnsi="Times New Roman" w:cs="Times New Roman"/>
          <w:color w:val="000000"/>
          <w:sz w:val="24"/>
          <w:szCs w:val="24"/>
        </w:rPr>
        <w:t>i et le Togo ;</w:t>
      </w:r>
    </w:p>
    <w:p w14:paraId="7E7531CE" w14:textId="3462B534" w:rsidR="00CA0AD4" w:rsidRDefault="006E2E11" w:rsidP="00E50666">
      <w:pPr>
        <w:pStyle w:val="Paragraphedeliste"/>
        <w:numPr>
          <w:ilvl w:val="0"/>
          <w:numId w:val="30"/>
        </w:numPr>
        <w:autoSpaceDE w:val="0"/>
        <w:autoSpaceDN w:val="0"/>
        <w:adjustRightInd w:val="0"/>
        <w:spacing w:after="0" w:line="240" w:lineRule="auto"/>
        <w:jc w:val="both"/>
        <w:rPr>
          <w:rFonts w:ascii="Times New Roman" w:hAnsi="Times New Roman" w:cs="Times New Roman"/>
          <w:color w:val="000000"/>
          <w:sz w:val="24"/>
          <w:szCs w:val="24"/>
        </w:rPr>
      </w:pPr>
      <w:r w:rsidRPr="00CA0AD4">
        <w:rPr>
          <w:rFonts w:ascii="Times New Roman" w:hAnsi="Times New Roman" w:cs="Times New Roman"/>
          <w:b/>
          <w:bCs/>
          <w:color w:val="000000"/>
          <w:sz w:val="24"/>
          <w:szCs w:val="24"/>
        </w:rPr>
        <w:t>Energie</w:t>
      </w:r>
      <w:r w:rsidR="0069265F">
        <w:rPr>
          <w:rFonts w:ascii="Times New Roman" w:hAnsi="Times New Roman" w:cs="Times New Roman"/>
          <w:b/>
          <w:bCs/>
          <w:color w:val="000000"/>
          <w:sz w:val="24"/>
          <w:szCs w:val="24"/>
        </w:rPr>
        <w:t xml:space="preserve"> </w:t>
      </w:r>
      <w:r w:rsidRPr="00CA0AD4">
        <w:rPr>
          <w:rFonts w:ascii="Times New Roman" w:hAnsi="Times New Roman" w:cs="Times New Roman"/>
          <w:b/>
          <w:bCs/>
          <w:color w:val="000000"/>
          <w:sz w:val="24"/>
          <w:szCs w:val="24"/>
        </w:rPr>
        <w:t xml:space="preserve">: </w:t>
      </w:r>
      <w:r w:rsidRPr="00CA0AD4">
        <w:rPr>
          <w:rFonts w:ascii="Times New Roman" w:hAnsi="Times New Roman" w:cs="Times New Roman"/>
          <w:color w:val="000000"/>
          <w:sz w:val="24"/>
          <w:szCs w:val="24"/>
        </w:rPr>
        <w:t xml:space="preserve">le secteur de l’énergie ne dispose pas d’un document de stratégie en tant que tel. Un projet de politique nationale en matière d’énergie assortie d’un plan d’action est élaboré en 2011. La question de la préservation de la diversité biologique mérite d’être regardée avec une attention particulière surtout au niveau des actions du sous-secteur hydro-électricité. </w:t>
      </w:r>
    </w:p>
    <w:p w14:paraId="7104AE5C" w14:textId="4D6B791C" w:rsidR="00CA0AD4" w:rsidRPr="00CA0AD4" w:rsidRDefault="006E2E11" w:rsidP="00E50666">
      <w:pPr>
        <w:pStyle w:val="Paragraphedeliste"/>
        <w:numPr>
          <w:ilvl w:val="0"/>
          <w:numId w:val="30"/>
        </w:numPr>
        <w:autoSpaceDE w:val="0"/>
        <w:autoSpaceDN w:val="0"/>
        <w:adjustRightInd w:val="0"/>
        <w:spacing w:after="0" w:line="240" w:lineRule="auto"/>
        <w:jc w:val="both"/>
        <w:rPr>
          <w:rFonts w:ascii="Times New Roman" w:hAnsi="Times New Roman" w:cs="Times New Roman"/>
          <w:color w:val="000000"/>
          <w:sz w:val="24"/>
          <w:szCs w:val="24"/>
        </w:rPr>
      </w:pPr>
      <w:r w:rsidRPr="00CA0AD4">
        <w:rPr>
          <w:rFonts w:ascii="Times New Roman" w:hAnsi="Times New Roman" w:cs="Times New Roman"/>
          <w:b/>
          <w:bCs/>
          <w:color w:val="000000"/>
          <w:sz w:val="24"/>
          <w:szCs w:val="24"/>
        </w:rPr>
        <w:t xml:space="preserve">Mine et infrastructure: </w:t>
      </w:r>
      <w:r w:rsidR="00080A46" w:rsidRPr="00CA0AD4">
        <w:rPr>
          <w:rFonts w:ascii="Times New Roman" w:hAnsi="Times New Roman" w:cs="Times New Roman"/>
          <w:color w:val="000000"/>
          <w:sz w:val="24"/>
          <w:szCs w:val="24"/>
        </w:rPr>
        <w:t>L’</w:t>
      </w:r>
      <w:r w:rsidRPr="00CA0AD4">
        <w:rPr>
          <w:rFonts w:ascii="Times New Roman" w:hAnsi="Times New Roman" w:cs="Times New Roman"/>
          <w:color w:val="000000"/>
          <w:sz w:val="24"/>
          <w:szCs w:val="24"/>
        </w:rPr>
        <w:t xml:space="preserve">exploitation </w:t>
      </w:r>
      <w:r w:rsidR="00080A46" w:rsidRPr="00CA0AD4">
        <w:rPr>
          <w:rFonts w:ascii="Times New Roman" w:hAnsi="Times New Roman" w:cs="Times New Roman"/>
          <w:color w:val="000000"/>
          <w:sz w:val="24"/>
          <w:szCs w:val="24"/>
        </w:rPr>
        <w:t xml:space="preserve">des mines au Togo </w:t>
      </w:r>
      <w:r w:rsidRPr="00CA0AD4">
        <w:rPr>
          <w:rFonts w:ascii="Times New Roman" w:hAnsi="Times New Roman" w:cs="Times New Roman"/>
          <w:color w:val="000000"/>
          <w:sz w:val="24"/>
          <w:szCs w:val="24"/>
        </w:rPr>
        <w:t xml:space="preserve">met en danger certains écosystèmes terrestres et côtiers. </w:t>
      </w:r>
      <w:r w:rsidR="000B4EAF" w:rsidRPr="00CA0AD4">
        <w:rPr>
          <w:rFonts w:ascii="Times New Roman" w:hAnsi="Times New Roman" w:cs="Times New Roman"/>
          <w:color w:val="000000"/>
          <w:sz w:val="24"/>
          <w:szCs w:val="24"/>
        </w:rPr>
        <w:t>Afin de</w:t>
      </w:r>
      <w:r w:rsidRPr="00CA0AD4">
        <w:rPr>
          <w:rFonts w:ascii="Times New Roman" w:hAnsi="Times New Roman" w:cs="Times New Roman"/>
          <w:color w:val="000000"/>
          <w:sz w:val="24"/>
          <w:szCs w:val="24"/>
        </w:rPr>
        <w:t xml:space="preserve"> veiller à la préservation de la diversité biologique dans les sites d’exploitation des mines et dans les zones d’installation des infra</w:t>
      </w:r>
      <w:r w:rsidR="000B4EAF" w:rsidRPr="00CA0AD4">
        <w:rPr>
          <w:rFonts w:ascii="Times New Roman" w:hAnsi="Times New Roman" w:cs="Times New Roman"/>
          <w:color w:val="000000"/>
          <w:sz w:val="24"/>
          <w:szCs w:val="24"/>
        </w:rPr>
        <w:t xml:space="preserve">structures, </w:t>
      </w:r>
      <w:r w:rsidR="000B4EAF" w:rsidRPr="00CA0AD4">
        <w:rPr>
          <w:rFonts w:ascii="Times New Roman" w:hAnsi="Times New Roman" w:cs="Times New Roman"/>
          <w:sz w:val="24"/>
          <w:szCs w:val="24"/>
        </w:rPr>
        <w:t xml:space="preserve">l’Etat a adopté les </w:t>
      </w:r>
      <w:r w:rsidR="0032558C">
        <w:rPr>
          <w:rFonts w:ascii="Times New Roman" w:eastAsia="Calibri" w:hAnsi="Times New Roman" w:cs="Times New Roman"/>
          <w:sz w:val="24"/>
          <w:szCs w:val="24"/>
        </w:rPr>
        <w:t>arrêtés n</w:t>
      </w:r>
      <w:r w:rsidR="000B4EAF" w:rsidRPr="00CA0AD4">
        <w:rPr>
          <w:rFonts w:ascii="Times New Roman" w:eastAsia="Calibri" w:hAnsi="Times New Roman" w:cs="Times New Roman"/>
          <w:sz w:val="24"/>
          <w:szCs w:val="24"/>
        </w:rPr>
        <w:t>°013/MERF du 01 septembre 2006 portant réglementation de la procédure, de la méthodologie et du contenu des EIE</w:t>
      </w:r>
      <w:r w:rsidR="0032558C">
        <w:rPr>
          <w:rFonts w:ascii="Times New Roman" w:eastAsia="Calibri" w:hAnsi="Times New Roman" w:cs="Times New Roman"/>
          <w:sz w:val="24"/>
          <w:szCs w:val="24"/>
        </w:rPr>
        <w:t>S</w:t>
      </w:r>
      <w:r w:rsidR="000B4EAF" w:rsidRPr="00CA0AD4">
        <w:rPr>
          <w:rFonts w:ascii="Times New Roman" w:eastAsia="Calibri" w:hAnsi="Times New Roman" w:cs="Times New Roman"/>
          <w:sz w:val="24"/>
          <w:szCs w:val="24"/>
        </w:rPr>
        <w:t xml:space="preserve"> et </w:t>
      </w:r>
      <w:r w:rsidR="0032558C">
        <w:rPr>
          <w:rFonts w:ascii="Times New Roman" w:eastAsia="Calibri" w:hAnsi="Times New Roman" w:cs="Times New Roman"/>
          <w:sz w:val="24"/>
          <w:szCs w:val="24"/>
        </w:rPr>
        <w:t>n</w:t>
      </w:r>
      <w:r w:rsidR="006D1105">
        <w:rPr>
          <w:rFonts w:ascii="Times New Roman" w:eastAsia="Calibri" w:hAnsi="Times New Roman" w:cs="Times New Roman"/>
          <w:sz w:val="24"/>
          <w:szCs w:val="24"/>
        </w:rPr>
        <w:t xml:space="preserve">°0151/MERF/ANGE du 22 décembre 2017 fixant la liste des activités et projets soumis à EIES </w:t>
      </w:r>
      <w:r w:rsidR="006D1105">
        <w:rPr>
          <w:rFonts w:ascii="Times New Roman" w:hAnsi="Times New Roman" w:cs="Times New Roman"/>
          <w:sz w:val="24"/>
          <w:szCs w:val="24"/>
        </w:rPr>
        <w:t>relatifs</w:t>
      </w:r>
      <w:r w:rsidR="0032558C">
        <w:rPr>
          <w:rFonts w:ascii="Times New Roman" w:hAnsi="Times New Roman" w:cs="Times New Roman"/>
          <w:sz w:val="24"/>
          <w:szCs w:val="24"/>
        </w:rPr>
        <w:t xml:space="preserve"> </w:t>
      </w:r>
      <w:r w:rsidR="008F4AAB">
        <w:rPr>
          <w:rFonts w:ascii="Times New Roman" w:hAnsi="Times New Roman" w:cs="Times New Roman"/>
          <w:sz w:val="24"/>
          <w:szCs w:val="24"/>
        </w:rPr>
        <w:t xml:space="preserve">aux </w:t>
      </w:r>
      <w:r w:rsidR="000B4EAF" w:rsidRPr="00CA0AD4">
        <w:rPr>
          <w:rFonts w:ascii="Times New Roman" w:eastAsia="Calibri" w:hAnsi="Times New Roman" w:cs="Times New Roman"/>
          <w:sz w:val="24"/>
          <w:szCs w:val="24"/>
        </w:rPr>
        <w:t xml:space="preserve">projets de développement </w:t>
      </w:r>
      <w:r w:rsidR="008F4AAB">
        <w:rPr>
          <w:rFonts w:ascii="Times New Roman" w:eastAsia="Calibri" w:hAnsi="Times New Roman" w:cs="Times New Roman"/>
          <w:sz w:val="24"/>
          <w:szCs w:val="24"/>
        </w:rPr>
        <w:t>dont la mise en œuvre nécessite</w:t>
      </w:r>
      <w:r w:rsidR="000B4EAF" w:rsidRPr="00CA0AD4">
        <w:rPr>
          <w:rFonts w:ascii="Times New Roman" w:hAnsi="Times New Roman" w:cs="Times New Roman"/>
          <w:sz w:val="24"/>
          <w:szCs w:val="24"/>
        </w:rPr>
        <w:t xml:space="preserve"> la délivrance d’un </w:t>
      </w:r>
      <w:r w:rsidR="000B4EAF" w:rsidRPr="00CA0AD4">
        <w:rPr>
          <w:rFonts w:ascii="Times New Roman" w:eastAsia="Calibri" w:hAnsi="Times New Roman" w:cs="Times New Roman"/>
          <w:sz w:val="24"/>
          <w:szCs w:val="24"/>
        </w:rPr>
        <w:t>Certificat de Conformité Environnementale (CCE)</w:t>
      </w:r>
      <w:r w:rsidR="0032558C">
        <w:rPr>
          <w:rFonts w:ascii="Times New Roman" w:eastAsia="Calibri" w:hAnsi="Times New Roman" w:cs="Times New Roman"/>
          <w:sz w:val="24"/>
          <w:szCs w:val="24"/>
        </w:rPr>
        <w:t xml:space="preserve"> </w:t>
      </w:r>
      <w:r w:rsidR="000B4EAF" w:rsidRPr="00CA0AD4">
        <w:rPr>
          <w:rFonts w:ascii="Times New Roman" w:hAnsi="Times New Roman" w:cs="Times New Roman"/>
          <w:sz w:val="24"/>
          <w:szCs w:val="24"/>
        </w:rPr>
        <w:t>aux</w:t>
      </w:r>
      <w:r w:rsidR="000B4EAF" w:rsidRPr="00CA0AD4">
        <w:rPr>
          <w:rFonts w:ascii="Times New Roman" w:eastAsia="Calibri" w:hAnsi="Times New Roman" w:cs="Times New Roman"/>
          <w:sz w:val="24"/>
          <w:szCs w:val="24"/>
        </w:rPr>
        <w:t xml:space="preserve"> société</w:t>
      </w:r>
      <w:r w:rsidR="000B4EAF" w:rsidRPr="00CA0AD4">
        <w:rPr>
          <w:rFonts w:ascii="Times New Roman" w:hAnsi="Times New Roman" w:cs="Times New Roman"/>
          <w:sz w:val="24"/>
          <w:szCs w:val="24"/>
        </w:rPr>
        <w:t>s</w:t>
      </w:r>
      <w:r w:rsidR="000B4EAF" w:rsidRPr="00CA0AD4">
        <w:rPr>
          <w:rFonts w:ascii="Times New Roman" w:eastAsia="Calibri" w:hAnsi="Times New Roman" w:cs="Times New Roman"/>
          <w:sz w:val="24"/>
          <w:szCs w:val="24"/>
        </w:rPr>
        <w:t xml:space="preserve"> promotrice</w:t>
      </w:r>
      <w:r w:rsidR="000B4EAF" w:rsidRPr="00CA0AD4">
        <w:rPr>
          <w:rFonts w:ascii="Times New Roman" w:hAnsi="Times New Roman" w:cs="Times New Roman"/>
          <w:sz w:val="24"/>
          <w:szCs w:val="24"/>
        </w:rPr>
        <w:t>s</w:t>
      </w:r>
      <w:r w:rsidR="00CA0AD4">
        <w:rPr>
          <w:rFonts w:ascii="Times New Roman" w:hAnsi="Times New Roman" w:cs="Times New Roman"/>
          <w:sz w:val="24"/>
          <w:szCs w:val="24"/>
        </w:rPr>
        <w:t> ;</w:t>
      </w:r>
    </w:p>
    <w:p w14:paraId="5BA1E972" w14:textId="77777777" w:rsidR="00F744EC" w:rsidRPr="00CA0AD4" w:rsidRDefault="00C455B7" w:rsidP="00E50666">
      <w:pPr>
        <w:pStyle w:val="Paragraphedeliste"/>
        <w:numPr>
          <w:ilvl w:val="0"/>
          <w:numId w:val="30"/>
        </w:numPr>
        <w:autoSpaceDE w:val="0"/>
        <w:autoSpaceDN w:val="0"/>
        <w:adjustRightInd w:val="0"/>
        <w:spacing w:after="0" w:line="240" w:lineRule="auto"/>
        <w:jc w:val="both"/>
        <w:rPr>
          <w:rFonts w:ascii="Times New Roman" w:hAnsi="Times New Roman" w:cs="Times New Roman"/>
          <w:color w:val="000000"/>
          <w:sz w:val="24"/>
          <w:szCs w:val="24"/>
        </w:rPr>
      </w:pPr>
      <w:r w:rsidRPr="00CA0AD4">
        <w:rPr>
          <w:rFonts w:ascii="Times New Roman" w:hAnsi="Times New Roman" w:cs="Times New Roman"/>
          <w:b/>
          <w:bCs/>
          <w:color w:val="000000"/>
          <w:sz w:val="24"/>
          <w:szCs w:val="24"/>
        </w:rPr>
        <w:t>A</w:t>
      </w:r>
      <w:r w:rsidR="006E2E11" w:rsidRPr="00CA0AD4">
        <w:rPr>
          <w:rFonts w:ascii="Times New Roman" w:hAnsi="Times New Roman" w:cs="Times New Roman"/>
          <w:b/>
          <w:bCs/>
          <w:color w:val="000000"/>
          <w:sz w:val="24"/>
          <w:szCs w:val="24"/>
        </w:rPr>
        <w:t>ménagement du territoire</w:t>
      </w:r>
      <w:r w:rsidR="00BB64E9" w:rsidRPr="00CA0AD4">
        <w:rPr>
          <w:rFonts w:ascii="Times New Roman" w:hAnsi="Times New Roman" w:cs="Times New Roman"/>
          <w:b/>
          <w:bCs/>
          <w:color w:val="000000"/>
          <w:sz w:val="24"/>
          <w:szCs w:val="24"/>
        </w:rPr>
        <w:t xml:space="preserve"> : </w:t>
      </w:r>
      <w:r w:rsidR="00690470">
        <w:rPr>
          <w:rFonts w:ascii="Times New Roman" w:hAnsi="Times New Roman" w:cs="Times New Roman"/>
          <w:color w:val="000000"/>
          <w:sz w:val="24"/>
          <w:szCs w:val="24"/>
        </w:rPr>
        <w:t>e</w:t>
      </w:r>
      <w:r w:rsidR="00BB64E9" w:rsidRPr="00CA0AD4">
        <w:rPr>
          <w:rFonts w:ascii="Times New Roman" w:hAnsi="Times New Roman" w:cs="Times New Roman"/>
          <w:color w:val="000000"/>
          <w:sz w:val="24"/>
          <w:szCs w:val="24"/>
        </w:rPr>
        <w:t>n</w:t>
      </w:r>
      <w:r w:rsidR="006E2E11" w:rsidRPr="00CA0AD4">
        <w:rPr>
          <w:rFonts w:ascii="Times New Roman" w:hAnsi="Times New Roman" w:cs="Times New Roman"/>
          <w:color w:val="000000"/>
          <w:sz w:val="24"/>
          <w:szCs w:val="24"/>
        </w:rPr>
        <w:t xml:space="preserve"> matière d’aménagement du territoire </w:t>
      </w:r>
      <w:r w:rsidR="00BB64E9" w:rsidRPr="00CA0AD4">
        <w:rPr>
          <w:rFonts w:ascii="Times New Roman" w:hAnsi="Times New Roman" w:cs="Times New Roman"/>
          <w:color w:val="000000"/>
          <w:sz w:val="24"/>
          <w:szCs w:val="24"/>
        </w:rPr>
        <w:t xml:space="preserve">c’est au niveau de la gestion de l’environnement </w:t>
      </w:r>
      <w:r w:rsidR="006E2E11" w:rsidRPr="00CA0AD4">
        <w:rPr>
          <w:rFonts w:ascii="Times New Roman" w:hAnsi="Times New Roman" w:cs="Times New Roman"/>
          <w:color w:val="000000"/>
          <w:sz w:val="24"/>
          <w:szCs w:val="24"/>
        </w:rPr>
        <w:t>que l’on retrouve les préoccupations rel</w:t>
      </w:r>
      <w:r w:rsidR="00BB64E9" w:rsidRPr="00CA0AD4">
        <w:rPr>
          <w:rFonts w:ascii="Times New Roman" w:hAnsi="Times New Roman" w:cs="Times New Roman"/>
          <w:color w:val="000000"/>
          <w:sz w:val="24"/>
          <w:szCs w:val="24"/>
        </w:rPr>
        <w:t xml:space="preserve">ative à la diversité biologique, en particulier </w:t>
      </w:r>
      <w:r w:rsidR="006E2E11" w:rsidRPr="00CA0AD4">
        <w:rPr>
          <w:rFonts w:ascii="Times New Roman" w:hAnsi="Times New Roman" w:cs="Times New Roman"/>
          <w:color w:val="000000"/>
          <w:sz w:val="24"/>
          <w:szCs w:val="24"/>
        </w:rPr>
        <w:t xml:space="preserve">la préservation des écosystèmes et des aires protégées. </w:t>
      </w:r>
      <w:r w:rsidR="00BB64E9" w:rsidRPr="00CA0AD4">
        <w:rPr>
          <w:rFonts w:ascii="Times New Roman" w:hAnsi="Times New Roman" w:cs="Times New Roman"/>
          <w:color w:val="000000"/>
          <w:sz w:val="24"/>
          <w:szCs w:val="24"/>
        </w:rPr>
        <w:t>Il est prévu</w:t>
      </w:r>
      <w:r w:rsidR="006E2E11" w:rsidRPr="00CA0AD4">
        <w:rPr>
          <w:rFonts w:ascii="Times New Roman" w:hAnsi="Times New Roman" w:cs="Times New Roman"/>
          <w:color w:val="000000"/>
          <w:sz w:val="24"/>
          <w:szCs w:val="24"/>
        </w:rPr>
        <w:t xml:space="preserve"> la mise en place des instruments techniques de planification </w:t>
      </w:r>
      <w:r w:rsidR="00F744EC" w:rsidRPr="00CA0AD4">
        <w:rPr>
          <w:rFonts w:ascii="Times New Roman" w:hAnsi="Times New Roman" w:cs="Times New Roman"/>
          <w:color w:val="000000"/>
          <w:sz w:val="24"/>
          <w:szCs w:val="24"/>
        </w:rPr>
        <w:t>à</w:t>
      </w:r>
      <w:r w:rsidR="007D1035">
        <w:rPr>
          <w:rFonts w:ascii="Times New Roman" w:hAnsi="Times New Roman" w:cs="Times New Roman"/>
          <w:color w:val="000000"/>
          <w:sz w:val="24"/>
          <w:szCs w:val="24"/>
        </w:rPr>
        <w:t xml:space="preserve"> savoir</w:t>
      </w:r>
      <w:r w:rsidR="00F744EC" w:rsidRPr="00CA0AD4">
        <w:rPr>
          <w:rFonts w:ascii="Times New Roman" w:hAnsi="Times New Roman" w:cs="Times New Roman"/>
          <w:color w:val="000000"/>
          <w:sz w:val="24"/>
          <w:szCs w:val="24"/>
        </w:rPr>
        <w:t> :</w:t>
      </w:r>
    </w:p>
    <w:p w14:paraId="6D859526" w14:textId="0F609A41" w:rsidR="00F744EC" w:rsidRPr="001557BB" w:rsidRDefault="006E2E11" w:rsidP="00E50666">
      <w:pPr>
        <w:pStyle w:val="Paragraphedeliste"/>
        <w:numPr>
          <w:ilvl w:val="0"/>
          <w:numId w:val="40"/>
        </w:numPr>
        <w:autoSpaceDE w:val="0"/>
        <w:autoSpaceDN w:val="0"/>
        <w:adjustRightInd w:val="0"/>
        <w:spacing w:after="0" w:line="240" w:lineRule="auto"/>
        <w:ind w:left="1418" w:hanging="425"/>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améliorer la gouvernance nationale de gestion de l’environnement</w:t>
      </w:r>
      <w:r w:rsidR="0069265F">
        <w:rPr>
          <w:rFonts w:ascii="Times New Roman" w:hAnsi="Times New Roman" w:cs="Times New Roman"/>
          <w:color w:val="000000"/>
          <w:sz w:val="24"/>
          <w:szCs w:val="24"/>
        </w:rPr>
        <w:t xml:space="preserve"> </w:t>
      </w:r>
      <w:r w:rsidRPr="001557BB">
        <w:rPr>
          <w:rFonts w:ascii="Times New Roman" w:hAnsi="Times New Roman" w:cs="Times New Roman"/>
          <w:color w:val="000000"/>
          <w:sz w:val="24"/>
          <w:szCs w:val="24"/>
        </w:rPr>
        <w:t xml:space="preserve">; </w:t>
      </w:r>
    </w:p>
    <w:p w14:paraId="38B7D1BC" w14:textId="49CE6E0C" w:rsidR="00F744EC" w:rsidRPr="001557BB" w:rsidRDefault="006E2E11" w:rsidP="00E50666">
      <w:pPr>
        <w:pStyle w:val="Paragraphedeliste"/>
        <w:numPr>
          <w:ilvl w:val="0"/>
          <w:numId w:val="40"/>
        </w:numPr>
        <w:autoSpaceDE w:val="0"/>
        <w:autoSpaceDN w:val="0"/>
        <w:adjustRightInd w:val="0"/>
        <w:spacing w:after="0" w:line="240" w:lineRule="auto"/>
        <w:ind w:left="1418" w:hanging="425"/>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mettre en cohérence les politiques, les plans, les programmes de développement et la politique environnementale</w:t>
      </w:r>
      <w:r w:rsidR="0069265F">
        <w:rPr>
          <w:rFonts w:ascii="Times New Roman" w:hAnsi="Times New Roman" w:cs="Times New Roman"/>
          <w:color w:val="000000"/>
          <w:sz w:val="24"/>
          <w:szCs w:val="24"/>
        </w:rPr>
        <w:t xml:space="preserve"> </w:t>
      </w:r>
      <w:r w:rsidRPr="001557BB">
        <w:rPr>
          <w:rFonts w:ascii="Times New Roman" w:hAnsi="Times New Roman" w:cs="Times New Roman"/>
          <w:color w:val="000000"/>
          <w:sz w:val="24"/>
          <w:szCs w:val="24"/>
        </w:rPr>
        <w:t xml:space="preserve">; </w:t>
      </w:r>
    </w:p>
    <w:p w14:paraId="7EF5E7BE" w14:textId="77777777" w:rsidR="00F744EC" w:rsidRPr="001557BB" w:rsidRDefault="006E2E11" w:rsidP="00E50666">
      <w:pPr>
        <w:pStyle w:val="Paragraphedeliste"/>
        <w:numPr>
          <w:ilvl w:val="0"/>
          <w:numId w:val="40"/>
        </w:numPr>
        <w:autoSpaceDE w:val="0"/>
        <w:autoSpaceDN w:val="0"/>
        <w:adjustRightInd w:val="0"/>
        <w:spacing w:after="0" w:line="240" w:lineRule="auto"/>
        <w:ind w:left="1418" w:hanging="425"/>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promouvoir une éthique environnementale par la conscientisation des populations en particulier les communautés à la base sur les problèmes environnementaux;</w:t>
      </w:r>
    </w:p>
    <w:p w14:paraId="3AC86B0B" w14:textId="080A6591" w:rsidR="00F744EC" w:rsidRPr="001557BB" w:rsidRDefault="006E2E11" w:rsidP="00E50666">
      <w:pPr>
        <w:pStyle w:val="Paragraphedeliste"/>
        <w:numPr>
          <w:ilvl w:val="0"/>
          <w:numId w:val="40"/>
        </w:numPr>
        <w:autoSpaceDE w:val="0"/>
        <w:autoSpaceDN w:val="0"/>
        <w:adjustRightInd w:val="0"/>
        <w:spacing w:after="0" w:line="240" w:lineRule="auto"/>
        <w:ind w:left="1418" w:hanging="425"/>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protéger les ressources naturelles</w:t>
      </w:r>
      <w:r w:rsidR="0069265F">
        <w:rPr>
          <w:rFonts w:ascii="Times New Roman" w:hAnsi="Times New Roman" w:cs="Times New Roman"/>
          <w:color w:val="000000"/>
          <w:sz w:val="24"/>
          <w:szCs w:val="24"/>
        </w:rPr>
        <w:t xml:space="preserve"> </w:t>
      </w:r>
      <w:r w:rsidRPr="001557BB">
        <w:rPr>
          <w:rFonts w:ascii="Times New Roman" w:hAnsi="Times New Roman" w:cs="Times New Roman"/>
          <w:color w:val="000000"/>
          <w:sz w:val="24"/>
          <w:szCs w:val="24"/>
        </w:rPr>
        <w:t xml:space="preserve">; </w:t>
      </w:r>
    </w:p>
    <w:p w14:paraId="35BF6B20" w14:textId="11E716C3" w:rsidR="00F744EC" w:rsidRPr="001557BB" w:rsidRDefault="006E2E11" w:rsidP="00E50666">
      <w:pPr>
        <w:pStyle w:val="Paragraphedeliste"/>
        <w:numPr>
          <w:ilvl w:val="0"/>
          <w:numId w:val="40"/>
        </w:numPr>
        <w:autoSpaceDE w:val="0"/>
        <w:autoSpaceDN w:val="0"/>
        <w:adjustRightInd w:val="0"/>
        <w:spacing w:after="0" w:line="240" w:lineRule="auto"/>
        <w:ind w:left="1418" w:hanging="425"/>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réhabiliter les ressources naturelles dégradées (aires protégées et des zones d’exploitation minière)</w:t>
      </w:r>
      <w:r w:rsidR="0069265F">
        <w:rPr>
          <w:rFonts w:ascii="Times New Roman" w:hAnsi="Times New Roman" w:cs="Times New Roman"/>
          <w:color w:val="000000"/>
          <w:sz w:val="24"/>
          <w:szCs w:val="24"/>
        </w:rPr>
        <w:t xml:space="preserve"> </w:t>
      </w:r>
      <w:r w:rsidRPr="001557BB">
        <w:rPr>
          <w:rFonts w:ascii="Times New Roman" w:hAnsi="Times New Roman" w:cs="Times New Roman"/>
          <w:color w:val="000000"/>
          <w:sz w:val="24"/>
          <w:szCs w:val="24"/>
        </w:rPr>
        <w:t xml:space="preserve">; </w:t>
      </w:r>
    </w:p>
    <w:p w14:paraId="0B7D7435" w14:textId="77777777" w:rsidR="006E2E11" w:rsidRPr="001557BB" w:rsidRDefault="006E2E11" w:rsidP="00E50666">
      <w:pPr>
        <w:pStyle w:val="Paragraphedeliste"/>
        <w:numPr>
          <w:ilvl w:val="0"/>
          <w:numId w:val="40"/>
        </w:numPr>
        <w:autoSpaceDE w:val="0"/>
        <w:autoSpaceDN w:val="0"/>
        <w:adjustRightInd w:val="0"/>
        <w:spacing w:after="0" w:line="240" w:lineRule="auto"/>
        <w:ind w:left="1418" w:hanging="425"/>
        <w:jc w:val="both"/>
        <w:rPr>
          <w:rFonts w:ascii="Times New Roman" w:hAnsi="Times New Roman" w:cs="Times New Roman"/>
          <w:color w:val="000000"/>
          <w:sz w:val="24"/>
          <w:szCs w:val="24"/>
        </w:rPr>
      </w:pPr>
      <w:r w:rsidRPr="001557BB">
        <w:rPr>
          <w:rFonts w:ascii="Times New Roman" w:hAnsi="Times New Roman" w:cs="Times New Roman"/>
          <w:color w:val="000000"/>
          <w:sz w:val="24"/>
          <w:szCs w:val="24"/>
        </w:rPr>
        <w:t>restaurer les ressources na</w:t>
      </w:r>
      <w:r w:rsidR="00690470">
        <w:rPr>
          <w:rFonts w:ascii="Times New Roman" w:hAnsi="Times New Roman" w:cs="Times New Roman"/>
          <w:color w:val="000000"/>
          <w:sz w:val="24"/>
          <w:szCs w:val="24"/>
        </w:rPr>
        <w:t>turelles fortement compromises.</w:t>
      </w:r>
    </w:p>
    <w:p w14:paraId="66DFD6F7" w14:textId="77777777" w:rsidR="00CD0979" w:rsidRPr="001557BB" w:rsidRDefault="00CD0979" w:rsidP="001557BB">
      <w:pPr>
        <w:autoSpaceDE w:val="0"/>
        <w:autoSpaceDN w:val="0"/>
        <w:adjustRightInd w:val="0"/>
        <w:spacing w:after="0" w:line="240" w:lineRule="auto"/>
        <w:jc w:val="both"/>
        <w:rPr>
          <w:rFonts w:ascii="Times New Roman" w:hAnsi="Times New Roman" w:cs="Times New Roman"/>
          <w:b/>
          <w:color w:val="000000"/>
          <w:sz w:val="24"/>
          <w:szCs w:val="24"/>
        </w:rPr>
      </w:pPr>
    </w:p>
    <w:p w14:paraId="3446A709" w14:textId="77777777" w:rsidR="00C90FC0" w:rsidRPr="001557BB" w:rsidRDefault="00893992" w:rsidP="00A05444">
      <w:pPr>
        <w:autoSpaceDE w:val="0"/>
        <w:autoSpaceDN w:val="0"/>
        <w:adjustRightInd w:val="0"/>
        <w:spacing w:after="0" w:line="240" w:lineRule="auto"/>
        <w:outlineLvl w:val="1"/>
        <w:rPr>
          <w:rFonts w:ascii="Times New Roman" w:hAnsi="Times New Roman" w:cs="Times New Roman"/>
          <w:b/>
          <w:color w:val="000000"/>
          <w:sz w:val="24"/>
          <w:szCs w:val="24"/>
        </w:rPr>
      </w:pPr>
      <w:bookmarkStart w:id="74" w:name="_Toc533413767"/>
      <w:r w:rsidRPr="001557BB">
        <w:rPr>
          <w:rFonts w:ascii="Times New Roman" w:hAnsi="Times New Roman" w:cs="Times New Roman"/>
          <w:b/>
          <w:color w:val="000000"/>
          <w:sz w:val="24"/>
          <w:szCs w:val="24"/>
        </w:rPr>
        <w:t>5.2. Réseau actif œuvrant pour la conservation des plantes</w:t>
      </w:r>
      <w:bookmarkEnd w:id="74"/>
    </w:p>
    <w:p w14:paraId="1582CDED" w14:textId="77777777" w:rsidR="00CD0979" w:rsidRPr="001557BB" w:rsidRDefault="00CD0979" w:rsidP="001557BB">
      <w:pPr>
        <w:autoSpaceDE w:val="0"/>
        <w:autoSpaceDN w:val="0"/>
        <w:adjustRightInd w:val="0"/>
        <w:spacing w:after="0" w:line="240" w:lineRule="auto"/>
        <w:jc w:val="both"/>
        <w:rPr>
          <w:rFonts w:ascii="Times New Roman" w:hAnsi="Times New Roman" w:cs="Times New Roman"/>
          <w:i/>
          <w:iCs/>
          <w:lang w:val="fr-CA"/>
        </w:rPr>
      </w:pPr>
    </w:p>
    <w:p w14:paraId="5622C5C7" w14:textId="77777777" w:rsidR="00DF53D7" w:rsidRPr="001557BB" w:rsidRDefault="00DF53D7" w:rsidP="001557BB">
      <w:pPr>
        <w:autoSpaceDE w:val="0"/>
        <w:autoSpaceDN w:val="0"/>
        <w:adjustRightInd w:val="0"/>
        <w:spacing w:after="0" w:line="240" w:lineRule="auto"/>
        <w:jc w:val="both"/>
        <w:rPr>
          <w:rFonts w:ascii="Times New Roman" w:hAnsi="Times New Roman" w:cs="Times New Roman"/>
          <w:iCs/>
          <w:sz w:val="24"/>
          <w:szCs w:val="24"/>
          <w:lang w:val="fr-CA"/>
        </w:rPr>
      </w:pPr>
      <w:r w:rsidRPr="001557BB">
        <w:rPr>
          <w:rFonts w:ascii="Times New Roman" w:hAnsi="Times New Roman" w:cs="Times New Roman"/>
          <w:color w:val="000000"/>
          <w:sz w:val="24"/>
          <w:szCs w:val="24"/>
        </w:rPr>
        <w:t xml:space="preserve">Au Togo, il existe quelques initiatives </w:t>
      </w:r>
      <w:r w:rsidRPr="001557BB">
        <w:rPr>
          <w:rFonts w:ascii="Times New Roman" w:hAnsi="Times New Roman" w:cs="Times New Roman"/>
          <w:iCs/>
          <w:sz w:val="24"/>
          <w:szCs w:val="24"/>
          <w:lang w:val="fr-CA"/>
        </w:rPr>
        <w:t>dans le domaine de la conservation des plantes (Tableau</w:t>
      </w:r>
      <w:r w:rsidR="00525F7B">
        <w:rPr>
          <w:rFonts w:ascii="Times New Roman" w:hAnsi="Times New Roman" w:cs="Times New Roman"/>
          <w:iCs/>
          <w:sz w:val="24"/>
          <w:szCs w:val="24"/>
          <w:lang w:val="fr-CA"/>
        </w:rPr>
        <w:t xml:space="preserve"> 12</w:t>
      </w:r>
      <w:r w:rsidRPr="001557BB">
        <w:rPr>
          <w:rFonts w:ascii="Times New Roman" w:hAnsi="Times New Roman" w:cs="Times New Roman"/>
          <w:iCs/>
          <w:sz w:val="24"/>
          <w:szCs w:val="24"/>
          <w:lang w:val="fr-CA"/>
        </w:rPr>
        <w:t>)</w:t>
      </w:r>
    </w:p>
    <w:p w14:paraId="0F0A447A" w14:textId="77777777" w:rsidR="00DF53D7" w:rsidRDefault="00DF53D7" w:rsidP="001557BB">
      <w:pPr>
        <w:autoSpaceDE w:val="0"/>
        <w:autoSpaceDN w:val="0"/>
        <w:adjustRightInd w:val="0"/>
        <w:spacing w:after="0" w:line="240" w:lineRule="auto"/>
        <w:jc w:val="both"/>
        <w:rPr>
          <w:rFonts w:ascii="Times New Roman" w:hAnsi="Times New Roman" w:cs="Times New Roman"/>
          <w:iCs/>
          <w:sz w:val="24"/>
          <w:szCs w:val="24"/>
          <w:lang w:val="fr-CA"/>
        </w:rPr>
      </w:pPr>
    </w:p>
    <w:p w14:paraId="17F1C65A" w14:textId="29CED4D9" w:rsidR="00CA0AD4" w:rsidRPr="00525F7B" w:rsidRDefault="00525F7B" w:rsidP="00525F7B">
      <w:pPr>
        <w:pStyle w:val="Lgende"/>
        <w:rPr>
          <w:rFonts w:ascii="Times New Roman" w:hAnsi="Times New Roman"/>
          <w:iCs/>
          <w:sz w:val="24"/>
          <w:szCs w:val="24"/>
          <w:lang w:val="fr-CA"/>
        </w:rPr>
      </w:pPr>
      <w:bookmarkStart w:id="75" w:name="_Toc533413480"/>
      <w:r w:rsidRPr="00525F7B">
        <w:rPr>
          <w:rFonts w:ascii="Times New Roman" w:hAnsi="Times New Roman"/>
          <w:sz w:val="24"/>
          <w:szCs w:val="24"/>
        </w:rPr>
        <w:t xml:space="preserve">Tableau </w:t>
      </w:r>
      <w:r w:rsidR="00620BEA" w:rsidRPr="00525F7B">
        <w:rPr>
          <w:rFonts w:ascii="Times New Roman" w:hAnsi="Times New Roman"/>
          <w:sz w:val="24"/>
          <w:szCs w:val="24"/>
        </w:rPr>
        <w:fldChar w:fldCharType="begin"/>
      </w:r>
      <w:r w:rsidRPr="00525F7B">
        <w:rPr>
          <w:rFonts w:ascii="Times New Roman" w:hAnsi="Times New Roman"/>
          <w:sz w:val="24"/>
          <w:szCs w:val="24"/>
        </w:rPr>
        <w:instrText xml:space="preserve"> SEQ Tableau \* ARABIC </w:instrText>
      </w:r>
      <w:r w:rsidR="00620BEA" w:rsidRPr="00525F7B">
        <w:rPr>
          <w:rFonts w:ascii="Times New Roman" w:hAnsi="Times New Roman"/>
          <w:sz w:val="24"/>
          <w:szCs w:val="24"/>
        </w:rPr>
        <w:fldChar w:fldCharType="separate"/>
      </w:r>
      <w:r w:rsidR="00C47BFF">
        <w:rPr>
          <w:rFonts w:ascii="Times New Roman" w:hAnsi="Times New Roman"/>
          <w:noProof/>
          <w:sz w:val="24"/>
          <w:szCs w:val="24"/>
        </w:rPr>
        <w:t>9</w:t>
      </w:r>
      <w:r w:rsidR="00620BEA" w:rsidRPr="00525F7B">
        <w:rPr>
          <w:rFonts w:ascii="Times New Roman" w:hAnsi="Times New Roman"/>
          <w:sz w:val="24"/>
          <w:szCs w:val="24"/>
        </w:rPr>
        <w:fldChar w:fldCharType="end"/>
      </w:r>
      <w:r w:rsidR="00AE224F">
        <w:rPr>
          <w:rFonts w:ascii="Times New Roman" w:hAnsi="Times New Roman"/>
          <w:sz w:val="24"/>
          <w:szCs w:val="24"/>
        </w:rPr>
        <w:t xml:space="preserve"> : q</w:t>
      </w:r>
      <w:r w:rsidRPr="00525F7B">
        <w:rPr>
          <w:rFonts w:ascii="Times New Roman" w:hAnsi="Times New Roman"/>
          <w:sz w:val="24"/>
          <w:szCs w:val="24"/>
        </w:rPr>
        <w:t>uelques initiatives dans le domaine de la conservation des plantes</w:t>
      </w:r>
      <w:bookmarkEnd w:id="75"/>
    </w:p>
    <w:tbl>
      <w:tblPr>
        <w:tblStyle w:val="Grilledutableau"/>
        <w:tblW w:w="9776" w:type="dxa"/>
        <w:tblLook w:val="04A0" w:firstRow="1" w:lastRow="0" w:firstColumn="1" w:lastColumn="0" w:noHBand="0" w:noVBand="1"/>
      </w:tblPr>
      <w:tblGrid>
        <w:gridCol w:w="2830"/>
        <w:gridCol w:w="6946"/>
      </w:tblGrid>
      <w:tr w:rsidR="00DF53D7" w:rsidRPr="00F971D4" w14:paraId="751B579D" w14:textId="77777777" w:rsidTr="00F971D4">
        <w:tc>
          <w:tcPr>
            <w:tcW w:w="2830" w:type="dxa"/>
            <w:vAlign w:val="center"/>
          </w:tcPr>
          <w:p w14:paraId="31532FDB" w14:textId="77777777" w:rsidR="00DF53D7" w:rsidRPr="00480905" w:rsidRDefault="00DF53D7" w:rsidP="001557BB">
            <w:pPr>
              <w:autoSpaceDE w:val="0"/>
              <w:autoSpaceDN w:val="0"/>
              <w:adjustRightInd w:val="0"/>
              <w:jc w:val="both"/>
              <w:rPr>
                <w:rFonts w:ascii="Times New Roman" w:hAnsi="Times New Roman" w:cs="Times New Roman"/>
                <w:b/>
                <w:color w:val="000000"/>
                <w:sz w:val="24"/>
                <w:szCs w:val="24"/>
              </w:rPr>
            </w:pPr>
            <w:r w:rsidRPr="00480905">
              <w:rPr>
                <w:rFonts w:ascii="Times New Roman" w:hAnsi="Times New Roman" w:cs="Times New Roman"/>
                <w:b/>
                <w:iCs/>
                <w:sz w:val="24"/>
                <w:szCs w:val="24"/>
                <w:lang w:val="fr-CA"/>
              </w:rPr>
              <w:t>Groupes de conservation ou réseaux de jardins botaniques</w:t>
            </w:r>
          </w:p>
        </w:tc>
        <w:tc>
          <w:tcPr>
            <w:tcW w:w="6946" w:type="dxa"/>
            <w:vAlign w:val="center"/>
          </w:tcPr>
          <w:p w14:paraId="5F5FB122" w14:textId="77777777" w:rsidR="00DF53D7" w:rsidRPr="00480905" w:rsidRDefault="00DF53D7" w:rsidP="001557BB">
            <w:pPr>
              <w:autoSpaceDE w:val="0"/>
              <w:autoSpaceDN w:val="0"/>
              <w:adjustRightInd w:val="0"/>
              <w:jc w:val="both"/>
              <w:rPr>
                <w:rFonts w:ascii="Times New Roman" w:hAnsi="Times New Roman" w:cs="Times New Roman"/>
                <w:b/>
                <w:color w:val="000000"/>
                <w:sz w:val="24"/>
                <w:szCs w:val="24"/>
              </w:rPr>
            </w:pPr>
            <w:r w:rsidRPr="00480905">
              <w:rPr>
                <w:rFonts w:ascii="Times New Roman" w:hAnsi="Times New Roman" w:cs="Times New Roman"/>
                <w:b/>
                <w:color w:val="000000"/>
                <w:sz w:val="24"/>
                <w:szCs w:val="24"/>
              </w:rPr>
              <w:t>Action</w:t>
            </w:r>
            <w:r w:rsidR="007D1035" w:rsidRPr="00480905">
              <w:rPr>
                <w:rFonts w:ascii="Times New Roman" w:hAnsi="Times New Roman" w:cs="Times New Roman"/>
                <w:b/>
                <w:color w:val="000000"/>
                <w:sz w:val="24"/>
                <w:szCs w:val="24"/>
              </w:rPr>
              <w:t>s</w:t>
            </w:r>
          </w:p>
        </w:tc>
      </w:tr>
      <w:tr w:rsidR="00DF53D7" w:rsidRPr="00F971D4" w14:paraId="7DA4E1A8" w14:textId="77777777" w:rsidTr="00F971D4">
        <w:tc>
          <w:tcPr>
            <w:tcW w:w="2830" w:type="dxa"/>
            <w:vAlign w:val="center"/>
          </w:tcPr>
          <w:p w14:paraId="34FD2250" w14:textId="77777777" w:rsidR="00DF53D7" w:rsidRPr="00480905" w:rsidRDefault="00DF53D7" w:rsidP="001557BB">
            <w:pPr>
              <w:autoSpaceDE w:val="0"/>
              <w:autoSpaceDN w:val="0"/>
              <w:adjustRightInd w:val="0"/>
              <w:jc w:val="both"/>
              <w:rPr>
                <w:rFonts w:ascii="Times New Roman" w:hAnsi="Times New Roman" w:cs="Times New Roman"/>
                <w:b/>
                <w:color w:val="000000"/>
                <w:sz w:val="24"/>
                <w:szCs w:val="24"/>
              </w:rPr>
            </w:pPr>
            <w:r w:rsidRPr="00480905">
              <w:rPr>
                <w:rFonts w:ascii="Times New Roman" w:hAnsi="Times New Roman" w:cs="Times New Roman"/>
                <w:b/>
                <w:color w:val="000000"/>
                <w:sz w:val="24"/>
                <w:szCs w:val="24"/>
              </w:rPr>
              <w:t>Département de Botanique, Faculté des Sciences/Université de Lomé</w:t>
            </w:r>
          </w:p>
        </w:tc>
        <w:tc>
          <w:tcPr>
            <w:tcW w:w="6946" w:type="dxa"/>
            <w:vAlign w:val="center"/>
          </w:tcPr>
          <w:p w14:paraId="6E1A2FB3" w14:textId="77777777" w:rsidR="00DF53D7" w:rsidRPr="00480905" w:rsidRDefault="00DF53D7" w:rsidP="001557BB">
            <w:pPr>
              <w:rPr>
                <w:rFonts w:ascii="Times New Roman" w:hAnsi="Times New Roman" w:cs="Times New Roman"/>
                <w:color w:val="000000"/>
                <w:sz w:val="24"/>
                <w:szCs w:val="24"/>
              </w:rPr>
            </w:pPr>
            <w:r w:rsidRPr="00480905">
              <w:rPr>
                <w:rFonts w:ascii="Times New Roman" w:hAnsi="Times New Roman" w:cs="Times New Roman"/>
                <w:color w:val="000000"/>
                <w:sz w:val="24"/>
                <w:szCs w:val="24"/>
              </w:rPr>
              <w:t xml:space="preserve">Herbier de plus de </w:t>
            </w:r>
            <w:r w:rsidR="00697321" w:rsidRPr="00480905">
              <w:rPr>
                <w:rFonts w:ascii="Times New Roman" w:eastAsia="Times New Roman" w:hAnsi="Times New Roman" w:cs="Times New Roman"/>
                <w:sz w:val="24"/>
                <w:szCs w:val="24"/>
                <w:lang w:eastAsia="fr-FR"/>
              </w:rPr>
              <w:t>15000 parts pour environ 3500 espèces</w:t>
            </w:r>
            <w:r w:rsidR="00A34D2A" w:rsidRPr="00480905">
              <w:rPr>
                <w:rFonts w:ascii="Times New Roman" w:eastAsia="Times New Roman" w:hAnsi="Times New Roman" w:cs="Times New Roman"/>
                <w:sz w:val="24"/>
                <w:szCs w:val="24"/>
                <w:lang w:eastAsia="fr-FR"/>
              </w:rPr>
              <w:t>, en réseau avec d’autres herbiers dans le monde</w:t>
            </w:r>
          </w:p>
        </w:tc>
      </w:tr>
      <w:tr w:rsidR="00DF53D7" w:rsidRPr="00F971D4" w14:paraId="38456A09" w14:textId="77777777" w:rsidTr="00F971D4">
        <w:tc>
          <w:tcPr>
            <w:tcW w:w="2830" w:type="dxa"/>
            <w:vAlign w:val="center"/>
          </w:tcPr>
          <w:p w14:paraId="3971DF25" w14:textId="77777777" w:rsidR="00DF53D7" w:rsidRPr="00480905" w:rsidRDefault="00A34D2A" w:rsidP="001557BB">
            <w:pPr>
              <w:autoSpaceDE w:val="0"/>
              <w:autoSpaceDN w:val="0"/>
              <w:adjustRightInd w:val="0"/>
              <w:jc w:val="both"/>
              <w:rPr>
                <w:rFonts w:ascii="Times New Roman" w:hAnsi="Times New Roman" w:cs="Times New Roman"/>
                <w:color w:val="000000"/>
                <w:sz w:val="24"/>
                <w:szCs w:val="24"/>
                <w:lang w:val="en-US"/>
              </w:rPr>
            </w:pPr>
            <w:r w:rsidRPr="00480905">
              <w:rPr>
                <w:rStyle w:val="lev"/>
                <w:rFonts w:ascii="Times New Roman" w:hAnsi="Times New Roman" w:cs="Times New Roman"/>
                <w:sz w:val="24"/>
                <w:szCs w:val="24"/>
                <w:lang w:val="en-US"/>
              </w:rPr>
              <w:t xml:space="preserve">Global Biodiversity Information Facility-Togo </w:t>
            </w:r>
            <w:r w:rsidR="00697321" w:rsidRPr="00480905">
              <w:rPr>
                <w:rFonts w:ascii="Times New Roman" w:hAnsi="Times New Roman" w:cs="Times New Roman"/>
                <w:b/>
                <w:color w:val="000000"/>
                <w:sz w:val="24"/>
                <w:szCs w:val="24"/>
                <w:lang w:val="en-US"/>
              </w:rPr>
              <w:t>GBIF-Togo</w:t>
            </w:r>
          </w:p>
        </w:tc>
        <w:tc>
          <w:tcPr>
            <w:tcW w:w="6946" w:type="dxa"/>
            <w:vAlign w:val="center"/>
          </w:tcPr>
          <w:p w14:paraId="608A64AF" w14:textId="6960FB52" w:rsidR="00DF53D7" w:rsidRPr="00480905" w:rsidRDefault="00A34D2A" w:rsidP="0032558C">
            <w:pPr>
              <w:autoSpaceDE w:val="0"/>
              <w:autoSpaceDN w:val="0"/>
              <w:adjustRightInd w:val="0"/>
              <w:jc w:val="both"/>
              <w:rPr>
                <w:rFonts w:ascii="Times New Roman" w:hAnsi="Times New Roman" w:cs="Times New Roman"/>
                <w:color w:val="000000"/>
                <w:sz w:val="24"/>
                <w:szCs w:val="24"/>
              </w:rPr>
            </w:pPr>
            <w:r w:rsidRPr="00480905">
              <w:rPr>
                <w:rFonts w:ascii="Times New Roman" w:hAnsi="Times New Roman" w:cs="Times New Roman"/>
                <w:sz w:val="24"/>
                <w:szCs w:val="24"/>
              </w:rPr>
              <w:t>Le Togo est membre votant dans le réseau GBIF</w:t>
            </w:r>
            <w:r w:rsidR="00984C1C" w:rsidRPr="00480905">
              <w:rPr>
                <w:rFonts w:ascii="Times New Roman" w:hAnsi="Times New Roman" w:cs="Times New Roman"/>
                <w:sz w:val="24"/>
                <w:szCs w:val="24"/>
              </w:rPr>
              <w:t>. C’est la Faculté des S</w:t>
            </w:r>
            <w:r w:rsidRPr="00480905">
              <w:rPr>
                <w:rFonts w:ascii="Times New Roman" w:hAnsi="Times New Roman" w:cs="Times New Roman"/>
                <w:sz w:val="24"/>
                <w:szCs w:val="24"/>
              </w:rPr>
              <w:t xml:space="preserve">ciences de l’Université de Lomé </w:t>
            </w:r>
            <w:r w:rsidR="00984C1C" w:rsidRPr="00480905">
              <w:rPr>
                <w:rFonts w:ascii="Times New Roman" w:hAnsi="Times New Roman" w:cs="Times New Roman"/>
                <w:sz w:val="24"/>
                <w:szCs w:val="24"/>
              </w:rPr>
              <w:t xml:space="preserve">qui </w:t>
            </w:r>
            <w:r w:rsidRPr="00480905">
              <w:rPr>
                <w:rFonts w:ascii="Times New Roman" w:hAnsi="Times New Roman" w:cs="Times New Roman"/>
                <w:sz w:val="24"/>
                <w:szCs w:val="24"/>
              </w:rPr>
              <w:t>héberge le GBIF Togo, le «nœud» national ou unité de coordination, qui a rejoint le réseau en tant que participant associé en 2009. Le Ministère de l’enseignement supérieur et de la recher</w:t>
            </w:r>
            <w:r w:rsidR="00984C1C" w:rsidRPr="00480905">
              <w:rPr>
                <w:rFonts w:ascii="Times New Roman" w:hAnsi="Times New Roman" w:cs="Times New Roman"/>
                <w:sz w:val="24"/>
                <w:szCs w:val="24"/>
              </w:rPr>
              <w:t xml:space="preserve">che du Togo fournit un soutien financier pour les cotisations. </w:t>
            </w:r>
            <w:r w:rsidRPr="00480905">
              <w:rPr>
                <w:rFonts w:ascii="Times New Roman" w:hAnsi="Times New Roman" w:cs="Times New Roman"/>
                <w:sz w:val="24"/>
                <w:szCs w:val="24"/>
              </w:rPr>
              <w:t xml:space="preserve">GBIF Togo a bénéficié d’un accompagnement dans le cadre du programme de renforcement des capacités du GBIF, qui permet le transfert de technologies et de compétences entre les nœuds du réseau. </w:t>
            </w:r>
            <w:r w:rsidR="0032558C">
              <w:rPr>
                <w:rFonts w:ascii="Times New Roman" w:hAnsi="Times New Roman" w:cs="Times New Roman"/>
                <w:sz w:val="24"/>
                <w:szCs w:val="24"/>
              </w:rPr>
              <w:t>La collaboration</w:t>
            </w:r>
            <w:r w:rsidRPr="00480905">
              <w:rPr>
                <w:rFonts w:ascii="Times New Roman" w:hAnsi="Times New Roman" w:cs="Times New Roman"/>
                <w:sz w:val="24"/>
                <w:szCs w:val="24"/>
              </w:rPr>
              <w:t xml:space="preserve"> avec GBIF France en 2010 </w:t>
            </w:r>
            <w:r w:rsidR="0032558C">
              <w:rPr>
                <w:rFonts w:ascii="Times New Roman" w:hAnsi="Times New Roman" w:cs="Times New Roman"/>
                <w:sz w:val="24"/>
                <w:szCs w:val="24"/>
              </w:rPr>
              <w:t>a permis de</w:t>
            </w:r>
            <w:r w:rsidRPr="00480905">
              <w:rPr>
                <w:rFonts w:ascii="Times New Roman" w:hAnsi="Times New Roman" w:cs="Times New Roman"/>
                <w:sz w:val="24"/>
                <w:szCs w:val="24"/>
              </w:rPr>
              <w:t xml:space="preserve"> configurer le nœud et commencer à publier des données. Le projet de mentorat a abouti à la mise à disposition des archives de spécimens de l’herbier du pays par l’intermédiaire de GBIF.org.</w:t>
            </w:r>
            <w:r w:rsidR="0069265F">
              <w:rPr>
                <w:rFonts w:ascii="Times New Roman" w:hAnsi="Times New Roman" w:cs="Times New Roman"/>
                <w:sz w:val="24"/>
                <w:szCs w:val="24"/>
              </w:rPr>
              <w:t xml:space="preserve"> </w:t>
            </w:r>
            <w:r w:rsidRPr="00480905">
              <w:rPr>
                <w:rFonts w:ascii="Times New Roman" w:hAnsi="Times New Roman" w:cs="Times New Roman"/>
                <w:sz w:val="24"/>
                <w:szCs w:val="24"/>
              </w:rPr>
              <w:t>En 2013, GBIF Togo a bénéficié d'un mentorat supplémentaire, cette fois de la part de GBIF Belgique, dans le but d'améliorer sa capacité de publication de données, ce qui a conduit à la publication de listes de contrôle sur les légumineuses, les algues et les champignons d'Afrique de l'Ouest.</w:t>
            </w:r>
            <w:r w:rsidR="0032558C">
              <w:rPr>
                <w:rFonts w:ascii="Times New Roman" w:hAnsi="Times New Roman" w:cs="Times New Roman"/>
                <w:sz w:val="24"/>
                <w:szCs w:val="24"/>
              </w:rPr>
              <w:t xml:space="preserve"> </w:t>
            </w:r>
            <w:r w:rsidRPr="00480905">
              <w:rPr>
                <w:rFonts w:ascii="Times New Roman" w:hAnsi="Times New Roman" w:cs="Times New Roman"/>
                <w:sz w:val="24"/>
                <w:szCs w:val="24"/>
              </w:rPr>
              <w:t>En février 2015, GBIF.org fournissait près de 37 000 enregistrements d'occurrence d'espèces au Togo, provenant de 22 pays.</w:t>
            </w:r>
          </w:p>
        </w:tc>
      </w:tr>
      <w:tr w:rsidR="00DF53D7" w:rsidRPr="00F971D4" w14:paraId="0D5C9D98" w14:textId="77777777" w:rsidTr="00F971D4">
        <w:tc>
          <w:tcPr>
            <w:tcW w:w="2830" w:type="dxa"/>
            <w:vAlign w:val="center"/>
          </w:tcPr>
          <w:p w14:paraId="5A01BAA7" w14:textId="77777777" w:rsidR="00F96EF1" w:rsidRPr="00480905" w:rsidRDefault="008A7B11" w:rsidP="001557BB">
            <w:pPr>
              <w:autoSpaceDE w:val="0"/>
              <w:autoSpaceDN w:val="0"/>
              <w:adjustRightInd w:val="0"/>
              <w:jc w:val="both"/>
              <w:rPr>
                <w:rFonts w:ascii="Times New Roman" w:hAnsi="Times New Roman" w:cs="Times New Roman"/>
                <w:b/>
                <w:color w:val="000000"/>
                <w:sz w:val="24"/>
                <w:szCs w:val="24"/>
              </w:rPr>
            </w:pPr>
            <w:r w:rsidRPr="00480905">
              <w:rPr>
                <w:rFonts w:ascii="Times New Roman" w:hAnsi="Times New Roman" w:cs="Times New Roman"/>
                <w:b/>
                <w:sz w:val="24"/>
                <w:szCs w:val="24"/>
              </w:rPr>
              <w:t>Sud Expert Plantes</w:t>
            </w:r>
            <w:r w:rsidR="00F96EF1" w:rsidRPr="00480905">
              <w:rPr>
                <w:rFonts w:ascii="Times New Roman" w:hAnsi="Times New Roman" w:cs="Times New Roman"/>
                <w:b/>
                <w:sz w:val="24"/>
                <w:szCs w:val="24"/>
              </w:rPr>
              <w:t xml:space="preserve"> (</w:t>
            </w:r>
            <w:r w:rsidR="00F96EF1" w:rsidRPr="00480905">
              <w:rPr>
                <w:rFonts w:ascii="Times New Roman" w:hAnsi="Times New Roman" w:cs="Times New Roman"/>
                <w:b/>
                <w:color w:val="000000"/>
                <w:sz w:val="24"/>
                <w:szCs w:val="24"/>
              </w:rPr>
              <w:t>SEP</w:t>
            </w:r>
            <w:r w:rsidRPr="00480905">
              <w:rPr>
                <w:rFonts w:ascii="Times New Roman" w:hAnsi="Times New Roman" w:cs="Times New Roman"/>
                <w:b/>
                <w:sz w:val="24"/>
                <w:szCs w:val="24"/>
              </w:rPr>
              <w:t>)</w:t>
            </w:r>
          </w:p>
          <w:p w14:paraId="0F627B47" w14:textId="77777777" w:rsidR="006E3328" w:rsidRPr="00480905" w:rsidRDefault="008A7B11" w:rsidP="001557BB">
            <w:pPr>
              <w:autoSpaceDE w:val="0"/>
              <w:autoSpaceDN w:val="0"/>
              <w:adjustRightInd w:val="0"/>
              <w:jc w:val="both"/>
              <w:rPr>
                <w:rFonts w:ascii="Times New Roman" w:hAnsi="Times New Roman" w:cs="Times New Roman"/>
                <w:b/>
                <w:color w:val="000000"/>
                <w:sz w:val="24"/>
                <w:szCs w:val="24"/>
              </w:rPr>
            </w:pPr>
            <w:r w:rsidRPr="00480905">
              <w:rPr>
                <w:rFonts w:ascii="Times New Roman" w:hAnsi="Times New Roman" w:cs="Times New Roman"/>
                <w:b/>
                <w:sz w:val="24"/>
                <w:szCs w:val="24"/>
              </w:rPr>
              <w:t>Sud Expert Plantes &amp; Développement Durable (</w:t>
            </w:r>
            <w:r w:rsidR="006E3328" w:rsidRPr="00480905">
              <w:rPr>
                <w:rFonts w:ascii="Times New Roman" w:hAnsi="Times New Roman" w:cs="Times New Roman"/>
                <w:b/>
                <w:color w:val="000000"/>
                <w:sz w:val="24"/>
                <w:szCs w:val="24"/>
              </w:rPr>
              <w:t>SEP2D</w:t>
            </w:r>
            <w:r w:rsidRPr="00480905">
              <w:rPr>
                <w:rFonts w:ascii="Times New Roman" w:hAnsi="Times New Roman" w:cs="Times New Roman"/>
                <w:b/>
                <w:color w:val="000000"/>
                <w:sz w:val="24"/>
                <w:szCs w:val="24"/>
              </w:rPr>
              <w:t>)</w:t>
            </w:r>
          </w:p>
          <w:p w14:paraId="502007C4" w14:textId="77777777" w:rsidR="00DF53D7" w:rsidRPr="00480905" w:rsidRDefault="00DF53D7" w:rsidP="001557BB">
            <w:pPr>
              <w:autoSpaceDE w:val="0"/>
              <w:autoSpaceDN w:val="0"/>
              <w:adjustRightInd w:val="0"/>
              <w:jc w:val="both"/>
              <w:rPr>
                <w:rFonts w:ascii="Times New Roman" w:hAnsi="Times New Roman" w:cs="Times New Roman"/>
                <w:b/>
                <w:color w:val="000000"/>
                <w:sz w:val="24"/>
                <w:szCs w:val="24"/>
              </w:rPr>
            </w:pPr>
          </w:p>
        </w:tc>
        <w:tc>
          <w:tcPr>
            <w:tcW w:w="6946" w:type="dxa"/>
            <w:vAlign w:val="center"/>
          </w:tcPr>
          <w:p w14:paraId="77D6D426" w14:textId="77777777" w:rsidR="00984C1C" w:rsidRPr="00480905" w:rsidRDefault="00984C1C" w:rsidP="001557BB">
            <w:pPr>
              <w:pStyle w:val="Titre5"/>
              <w:spacing w:before="0"/>
              <w:jc w:val="both"/>
              <w:outlineLvl w:val="4"/>
              <w:rPr>
                <w:rFonts w:ascii="Times New Roman" w:hAnsi="Times New Roman" w:cs="Times New Roman"/>
                <w:color w:val="auto"/>
                <w:sz w:val="24"/>
                <w:szCs w:val="24"/>
              </w:rPr>
            </w:pPr>
            <w:r w:rsidRPr="00480905">
              <w:rPr>
                <w:rFonts w:ascii="Times New Roman" w:hAnsi="Times New Roman" w:cs="Times New Roman"/>
                <w:color w:val="auto"/>
                <w:sz w:val="24"/>
                <w:szCs w:val="24"/>
              </w:rPr>
              <w:t xml:space="preserve">Le programme Sud Expert Plantes Développement Durable s’attache à renforcer les interactions et les partenariats en matière de biodiversité végétale entre recherche, enseignement et demandes de la société, à travers le soutien à </w:t>
            </w:r>
            <w:r w:rsidR="00E13963" w:rsidRPr="00480905">
              <w:rPr>
                <w:rFonts w:ascii="Times New Roman" w:hAnsi="Times New Roman" w:cs="Times New Roman"/>
                <w:color w:val="auto"/>
                <w:sz w:val="24"/>
                <w:szCs w:val="24"/>
              </w:rPr>
              <w:t>30 projets dans 18 des 22 pays concernés par le programme (</w:t>
            </w:r>
            <w:hyperlink r:id="rId40" w:tgtFrame="_blank" w:history="1">
              <w:r w:rsidR="00E13963" w:rsidRPr="00480905">
                <w:rPr>
                  <w:rStyle w:val="Lienhypertexte"/>
                  <w:rFonts w:ascii="Times New Roman" w:hAnsi="Times New Roman" w:cs="Times New Roman"/>
                  <w:color w:val="auto"/>
                  <w:sz w:val="24"/>
                  <w:szCs w:val="24"/>
                </w:rPr>
                <w:t>http://www.sep2d.org/programme-sep2d/couverture-geographique</w:t>
              </w:r>
            </w:hyperlink>
            <w:r w:rsidR="00E13963" w:rsidRPr="00480905">
              <w:rPr>
                <w:rFonts w:ascii="Times New Roman" w:hAnsi="Times New Roman" w:cs="Times New Roman"/>
                <w:color w:val="auto"/>
                <w:sz w:val="24"/>
                <w:szCs w:val="24"/>
              </w:rPr>
              <w:t>)</w:t>
            </w:r>
            <w:r w:rsidR="00B43358" w:rsidRPr="00480905">
              <w:rPr>
                <w:rFonts w:ascii="Times New Roman" w:eastAsia="Times New Roman" w:hAnsi="Times New Roman" w:cs="Times New Roman"/>
                <w:color w:val="auto"/>
                <w:sz w:val="24"/>
                <w:szCs w:val="24"/>
                <w:lang w:eastAsia="fr-FR"/>
              </w:rPr>
              <w:t>:</w:t>
            </w:r>
          </w:p>
          <w:p w14:paraId="0795AFDE" w14:textId="77777777" w:rsidR="00984C1C" w:rsidRPr="00480905" w:rsidRDefault="008A7B11" w:rsidP="001557BB">
            <w:pPr>
              <w:jc w:val="both"/>
              <w:rPr>
                <w:rFonts w:ascii="Times New Roman" w:hAnsi="Times New Roman" w:cs="Times New Roman"/>
                <w:sz w:val="24"/>
                <w:szCs w:val="24"/>
              </w:rPr>
            </w:pPr>
            <w:r w:rsidRPr="00480905">
              <w:rPr>
                <w:rFonts w:ascii="Times New Roman" w:hAnsi="Times New Roman" w:cs="Times New Roman"/>
                <w:sz w:val="24"/>
                <w:szCs w:val="24"/>
              </w:rPr>
              <w:t xml:space="preserve">- </w:t>
            </w:r>
            <w:r w:rsidR="00984C1C" w:rsidRPr="00480905">
              <w:rPr>
                <w:rFonts w:ascii="Times New Roman" w:hAnsi="Times New Roman" w:cs="Times New Roman"/>
                <w:sz w:val="24"/>
                <w:szCs w:val="24"/>
              </w:rPr>
              <w:t>des projets de recherches dont le but est de renforcer la connaissance et la valorisat</w:t>
            </w:r>
            <w:r w:rsidRPr="00480905">
              <w:rPr>
                <w:rFonts w:ascii="Times New Roman" w:hAnsi="Times New Roman" w:cs="Times New Roman"/>
                <w:sz w:val="24"/>
                <w:szCs w:val="24"/>
              </w:rPr>
              <w:t>ion de la biodiversité végétale ;</w:t>
            </w:r>
          </w:p>
          <w:p w14:paraId="14888715" w14:textId="77777777" w:rsidR="00984C1C" w:rsidRPr="00480905" w:rsidRDefault="008A7B11" w:rsidP="001557BB">
            <w:pPr>
              <w:jc w:val="both"/>
              <w:rPr>
                <w:rFonts w:ascii="Times New Roman" w:hAnsi="Times New Roman" w:cs="Times New Roman"/>
                <w:sz w:val="24"/>
                <w:szCs w:val="24"/>
              </w:rPr>
            </w:pPr>
            <w:r w:rsidRPr="00480905">
              <w:rPr>
                <w:rFonts w:ascii="Times New Roman" w:hAnsi="Times New Roman" w:cs="Times New Roman"/>
                <w:sz w:val="24"/>
                <w:szCs w:val="24"/>
              </w:rPr>
              <w:t xml:space="preserve">- </w:t>
            </w:r>
            <w:r w:rsidR="00984C1C" w:rsidRPr="00480905">
              <w:rPr>
                <w:rFonts w:ascii="Times New Roman" w:hAnsi="Times New Roman" w:cs="Times New Roman"/>
                <w:sz w:val="24"/>
                <w:szCs w:val="24"/>
              </w:rPr>
              <w:t>des initiativ</w:t>
            </w:r>
            <w:r w:rsidRPr="00480905">
              <w:rPr>
                <w:rFonts w:ascii="Times New Roman" w:hAnsi="Times New Roman" w:cs="Times New Roman"/>
                <w:sz w:val="24"/>
                <w:szCs w:val="24"/>
              </w:rPr>
              <w:t>es de partenariats public-privé ;</w:t>
            </w:r>
          </w:p>
          <w:p w14:paraId="54B2E348" w14:textId="77777777" w:rsidR="00984C1C" w:rsidRPr="00480905" w:rsidRDefault="008A7B11" w:rsidP="001557BB">
            <w:pPr>
              <w:jc w:val="both"/>
              <w:rPr>
                <w:rFonts w:ascii="Times New Roman" w:hAnsi="Times New Roman" w:cs="Times New Roman"/>
                <w:sz w:val="24"/>
                <w:szCs w:val="24"/>
              </w:rPr>
            </w:pPr>
            <w:r w:rsidRPr="00480905">
              <w:rPr>
                <w:rFonts w:ascii="Times New Roman" w:hAnsi="Times New Roman" w:cs="Times New Roman"/>
                <w:sz w:val="24"/>
                <w:szCs w:val="24"/>
              </w:rPr>
              <w:t xml:space="preserve">- </w:t>
            </w:r>
            <w:r w:rsidR="00984C1C" w:rsidRPr="00480905">
              <w:rPr>
                <w:rFonts w:ascii="Times New Roman" w:hAnsi="Times New Roman" w:cs="Times New Roman"/>
                <w:sz w:val="24"/>
                <w:szCs w:val="24"/>
              </w:rPr>
              <w:t>des projets de valorisa</w:t>
            </w:r>
            <w:r w:rsidRPr="00480905">
              <w:rPr>
                <w:rFonts w:ascii="Times New Roman" w:hAnsi="Times New Roman" w:cs="Times New Roman"/>
                <w:sz w:val="24"/>
                <w:szCs w:val="24"/>
              </w:rPr>
              <w:t>tion des collections botaniques ;</w:t>
            </w:r>
          </w:p>
          <w:p w14:paraId="6DC612E7" w14:textId="77777777" w:rsidR="00984C1C" w:rsidRPr="00480905" w:rsidRDefault="008A7B11" w:rsidP="001557BB">
            <w:pPr>
              <w:jc w:val="both"/>
              <w:rPr>
                <w:rFonts w:ascii="Times New Roman" w:hAnsi="Times New Roman" w:cs="Times New Roman"/>
                <w:sz w:val="24"/>
                <w:szCs w:val="24"/>
              </w:rPr>
            </w:pPr>
            <w:r w:rsidRPr="00480905">
              <w:rPr>
                <w:rFonts w:ascii="Times New Roman" w:hAnsi="Times New Roman" w:cs="Times New Roman"/>
                <w:sz w:val="24"/>
                <w:szCs w:val="24"/>
              </w:rPr>
              <w:t xml:space="preserve">- </w:t>
            </w:r>
            <w:r w:rsidR="00984C1C" w:rsidRPr="00480905">
              <w:rPr>
                <w:rFonts w:ascii="Times New Roman" w:hAnsi="Times New Roman" w:cs="Times New Roman"/>
                <w:sz w:val="24"/>
                <w:szCs w:val="24"/>
              </w:rPr>
              <w:t>des actions de formation professionnelle,</w:t>
            </w:r>
          </w:p>
          <w:p w14:paraId="62D00846" w14:textId="77777777" w:rsidR="00984C1C" w:rsidRPr="00480905" w:rsidRDefault="008A7B11" w:rsidP="001557BB">
            <w:pPr>
              <w:jc w:val="both"/>
              <w:rPr>
                <w:rFonts w:ascii="Times New Roman" w:hAnsi="Times New Roman" w:cs="Times New Roman"/>
                <w:sz w:val="24"/>
                <w:szCs w:val="24"/>
              </w:rPr>
            </w:pPr>
            <w:r w:rsidRPr="00480905">
              <w:rPr>
                <w:rFonts w:ascii="Times New Roman" w:hAnsi="Times New Roman" w:cs="Times New Roman"/>
                <w:sz w:val="24"/>
                <w:szCs w:val="24"/>
              </w:rPr>
              <w:t xml:space="preserve">- </w:t>
            </w:r>
            <w:r w:rsidR="00984C1C" w:rsidRPr="00480905">
              <w:rPr>
                <w:rFonts w:ascii="Times New Roman" w:hAnsi="Times New Roman" w:cs="Times New Roman"/>
                <w:sz w:val="24"/>
                <w:szCs w:val="24"/>
              </w:rPr>
              <w:t>l’implication des scientifiques des pays du Sud dans le conseil aux instances nationales et internationales.</w:t>
            </w:r>
          </w:p>
          <w:p w14:paraId="61DA560C" w14:textId="77777777" w:rsidR="008A7B11" w:rsidRPr="00480905" w:rsidRDefault="00984C1C" w:rsidP="001557BB">
            <w:pPr>
              <w:pStyle w:val="NormalWeb"/>
              <w:spacing w:before="0" w:beforeAutospacing="0" w:after="0" w:afterAutospacing="0"/>
              <w:jc w:val="both"/>
            </w:pPr>
            <w:r w:rsidRPr="00480905">
              <w:t>SEP2D fait suite à un précédent programme, Sud Expert Plantes (SEP), actif de 2006 à 2012, dont le site internet reste consultable :</w:t>
            </w:r>
            <w:hyperlink r:id="rId41" w:tgtFrame="_self" w:tooltip="http://www.sud-expert-plantes.ird.fr (nouvelle fenêtre)" w:history="1">
              <w:r w:rsidRPr="00480905">
                <w:rPr>
                  <w:rStyle w:val="Lienhypertexte"/>
                  <w:color w:val="auto"/>
                </w:rPr>
                <w:t>http://www.sud-expert-plantes.ird.fr</w:t>
              </w:r>
            </w:hyperlink>
            <w:r w:rsidR="00E13963" w:rsidRPr="00480905">
              <w:t> ;</w:t>
            </w:r>
          </w:p>
          <w:p w14:paraId="1023E46D" w14:textId="77777777" w:rsidR="00DF53D7" w:rsidRPr="00480905" w:rsidRDefault="008A7B11" w:rsidP="001557BB">
            <w:pPr>
              <w:pStyle w:val="NormalWeb"/>
              <w:spacing w:before="0" w:beforeAutospacing="0" w:after="0" w:afterAutospacing="0"/>
              <w:jc w:val="both"/>
            </w:pPr>
            <w:r w:rsidRPr="00480905">
              <w:t xml:space="preserve">Dans le cadre de SEP, l’Université de Lomé à travers la FDS </w:t>
            </w:r>
            <w:r w:rsidR="00F96EF1" w:rsidRPr="00480905">
              <w:t xml:space="preserve">a aménagé son herbier, puis </w:t>
            </w:r>
            <w:r w:rsidRPr="00480905">
              <w:t xml:space="preserve">a réalisé un plan d’aménagement de </w:t>
            </w:r>
            <w:r w:rsidR="006E3328" w:rsidRPr="00480905">
              <w:t xml:space="preserve">la forêt </w:t>
            </w:r>
            <w:r w:rsidRPr="00480905">
              <w:t xml:space="preserve">de l’INFA de Tové qui </w:t>
            </w:r>
            <w:r w:rsidR="006E3328" w:rsidRPr="00480905">
              <w:t>couvre une superficie de 80 ha</w:t>
            </w:r>
            <w:r w:rsidRPr="00480905">
              <w:t>, et y a introduit des espèces forestières menacées de disparition</w:t>
            </w:r>
            <w:r w:rsidR="006E3328" w:rsidRPr="00480905">
              <w:t>.</w:t>
            </w:r>
          </w:p>
          <w:p w14:paraId="4BFEE9D0" w14:textId="68057F13" w:rsidR="008A7B11" w:rsidRPr="00480905" w:rsidRDefault="008A7B11" w:rsidP="00C8758E">
            <w:pPr>
              <w:jc w:val="both"/>
              <w:rPr>
                <w:rFonts w:ascii="Times New Roman" w:hAnsi="Times New Roman" w:cs="Times New Roman"/>
                <w:sz w:val="24"/>
                <w:szCs w:val="24"/>
              </w:rPr>
            </w:pPr>
            <w:r w:rsidRPr="00480905">
              <w:rPr>
                <w:rFonts w:ascii="Times New Roman" w:hAnsi="Times New Roman" w:cs="Times New Roman"/>
                <w:sz w:val="24"/>
                <w:szCs w:val="24"/>
              </w:rPr>
              <w:t>Dans le cadre de SEP2D</w:t>
            </w:r>
            <w:r w:rsidR="00F96EF1" w:rsidRPr="00480905">
              <w:rPr>
                <w:rFonts w:ascii="Times New Roman" w:hAnsi="Times New Roman" w:cs="Times New Roman"/>
                <w:sz w:val="24"/>
                <w:szCs w:val="24"/>
              </w:rPr>
              <w:t>, le Laboratoire de Recherche Forestière (LRF) de la Faculté des Sciences de l’Université de Lomé et ses partenaires (LERF-Université de Parakou, Bénin ; Faculté des Sciences agronomiques, Université de Diffa, Niger ; Centre National de Semences Forestière</w:t>
            </w:r>
            <w:r w:rsidR="00C8758E">
              <w:rPr>
                <w:rFonts w:ascii="Times New Roman" w:hAnsi="Times New Roman" w:cs="Times New Roman"/>
                <w:sz w:val="24"/>
                <w:szCs w:val="24"/>
              </w:rPr>
              <w:t>s (MERF, Togo) travaille sur la m</w:t>
            </w:r>
            <w:r w:rsidR="00F96EF1" w:rsidRPr="00480905">
              <w:rPr>
                <w:rFonts w:ascii="Times New Roman" w:hAnsi="Times New Roman" w:cs="Times New Roman"/>
                <w:sz w:val="24"/>
                <w:szCs w:val="24"/>
              </w:rPr>
              <w:t xml:space="preserve">ise au point d’une stratégie intégrée de reconstitution des peuplements naturels de </w:t>
            </w:r>
            <w:r w:rsidR="00F96EF1" w:rsidRPr="00480905">
              <w:rPr>
                <w:rFonts w:ascii="Times New Roman" w:hAnsi="Times New Roman" w:cs="Times New Roman"/>
                <w:i/>
                <w:sz w:val="24"/>
                <w:szCs w:val="24"/>
              </w:rPr>
              <w:t>Pterocarpus erinaceus</w:t>
            </w:r>
            <w:r w:rsidR="00C8758E">
              <w:rPr>
                <w:rFonts w:ascii="Times New Roman" w:hAnsi="Times New Roman" w:cs="Times New Roman"/>
                <w:sz w:val="24"/>
                <w:szCs w:val="24"/>
              </w:rPr>
              <w:t xml:space="preserve"> Poir. en Afrique de l’Ouest</w:t>
            </w:r>
            <w:r w:rsidR="00F96EF1" w:rsidRPr="00480905">
              <w:rPr>
                <w:rFonts w:ascii="Times New Roman" w:hAnsi="Times New Roman" w:cs="Times New Roman"/>
                <w:sz w:val="24"/>
                <w:szCs w:val="24"/>
              </w:rPr>
              <w:t>.</w:t>
            </w:r>
          </w:p>
        </w:tc>
      </w:tr>
      <w:tr w:rsidR="00DF53D7" w:rsidRPr="00F971D4" w14:paraId="110874F1" w14:textId="77777777" w:rsidTr="00F971D4">
        <w:tc>
          <w:tcPr>
            <w:tcW w:w="2830" w:type="dxa"/>
            <w:vAlign w:val="center"/>
          </w:tcPr>
          <w:p w14:paraId="35167935" w14:textId="4B1C1CB6" w:rsidR="00DF53D7" w:rsidRPr="00480905" w:rsidRDefault="00F96EF1" w:rsidP="001557BB">
            <w:pPr>
              <w:autoSpaceDE w:val="0"/>
              <w:autoSpaceDN w:val="0"/>
              <w:adjustRightInd w:val="0"/>
              <w:jc w:val="both"/>
              <w:rPr>
                <w:rFonts w:ascii="Times New Roman" w:hAnsi="Times New Roman" w:cs="Times New Roman"/>
                <w:b/>
                <w:color w:val="000000"/>
                <w:sz w:val="24"/>
                <w:szCs w:val="24"/>
              </w:rPr>
            </w:pPr>
            <w:r w:rsidRPr="00480905">
              <w:rPr>
                <w:rFonts w:ascii="Times New Roman" w:hAnsi="Times New Roman" w:cs="Times New Roman"/>
                <w:b/>
                <w:color w:val="000000"/>
                <w:sz w:val="24"/>
                <w:szCs w:val="24"/>
              </w:rPr>
              <w:t>Ando</w:t>
            </w:r>
            <w:r w:rsidR="00A26EC2" w:rsidRPr="00480905">
              <w:rPr>
                <w:rFonts w:ascii="Times New Roman" w:hAnsi="Times New Roman" w:cs="Times New Roman"/>
                <w:b/>
                <w:color w:val="000000"/>
                <w:sz w:val="24"/>
                <w:szCs w:val="24"/>
              </w:rPr>
              <w:t>-K</w:t>
            </w:r>
            <w:r w:rsidRPr="00480905">
              <w:rPr>
                <w:rFonts w:ascii="Times New Roman" w:hAnsi="Times New Roman" w:cs="Times New Roman"/>
                <w:b/>
                <w:color w:val="000000"/>
                <w:sz w:val="24"/>
                <w:szCs w:val="24"/>
              </w:rPr>
              <w:t>pom</w:t>
            </w:r>
            <w:r w:rsidR="004778A7">
              <w:rPr>
                <w:rFonts w:ascii="Times New Roman" w:hAnsi="Times New Roman" w:cs="Times New Roman"/>
                <w:b/>
                <w:color w:val="000000"/>
                <w:sz w:val="24"/>
                <w:szCs w:val="24"/>
              </w:rPr>
              <w:t>ey</w:t>
            </w:r>
          </w:p>
        </w:tc>
        <w:tc>
          <w:tcPr>
            <w:tcW w:w="6946" w:type="dxa"/>
            <w:vAlign w:val="center"/>
          </w:tcPr>
          <w:p w14:paraId="3A34A771" w14:textId="489679BE" w:rsidR="00DF53D7" w:rsidRPr="00480905" w:rsidRDefault="00A26EC2" w:rsidP="007D1035">
            <w:pPr>
              <w:jc w:val="both"/>
              <w:rPr>
                <w:rFonts w:ascii="Times New Roman" w:hAnsi="Times New Roman" w:cs="Times New Roman"/>
                <w:sz w:val="24"/>
                <w:szCs w:val="24"/>
              </w:rPr>
            </w:pPr>
            <w:r w:rsidRPr="00480905">
              <w:rPr>
                <w:rFonts w:ascii="Times New Roman" w:hAnsi="Times New Roman" w:cs="Times New Roman"/>
                <w:sz w:val="24"/>
                <w:szCs w:val="24"/>
              </w:rPr>
              <w:t xml:space="preserve">Ando-kpomey, </w:t>
            </w:r>
            <w:r w:rsidR="007D1035" w:rsidRPr="00480905">
              <w:rPr>
                <w:rFonts w:ascii="Times New Roman" w:hAnsi="Times New Roman" w:cs="Times New Roman"/>
                <w:sz w:val="24"/>
                <w:szCs w:val="24"/>
              </w:rPr>
              <w:t>village</w:t>
            </w:r>
            <w:r w:rsidRPr="00480905">
              <w:rPr>
                <w:rFonts w:ascii="Times New Roman" w:hAnsi="Times New Roman" w:cs="Times New Roman"/>
                <w:sz w:val="24"/>
                <w:szCs w:val="24"/>
              </w:rPr>
              <w:t xml:space="preserve"> de la</w:t>
            </w:r>
            <w:r w:rsidR="007D1035" w:rsidRPr="00480905">
              <w:rPr>
                <w:rFonts w:ascii="Times New Roman" w:hAnsi="Times New Roman" w:cs="Times New Roman"/>
                <w:sz w:val="24"/>
                <w:szCs w:val="24"/>
              </w:rPr>
              <w:t xml:space="preserve"> préfecture de l’Avé dans la</w:t>
            </w:r>
            <w:r w:rsidRPr="00480905">
              <w:rPr>
                <w:rFonts w:ascii="Times New Roman" w:hAnsi="Times New Roman" w:cs="Times New Roman"/>
                <w:sz w:val="24"/>
                <w:szCs w:val="24"/>
              </w:rPr>
              <w:t xml:space="preserve"> région maritime </w:t>
            </w:r>
            <w:r w:rsidR="007D1035" w:rsidRPr="00480905">
              <w:rPr>
                <w:rFonts w:ascii="Times New Roman" w:hAnsi="Times New Roman" w:cs="Times New Roman"/>
                <w:sz w:val="24"/>
                <w:szCs w:val="24"/>
              </w:rPr>
              <w:t>a</w:t>
            </w:r>
            <w:r w:rsidRPr="00480905">
              <w:rPr>
                <w:rFonts w:ascii="Times New Roman" w:hAnsi="Times New Roman" w:cs="Times New Roman"/>
                <w:sz w:val="24"/>
                <w:szCs w:val="24"/>
              </w:rPr>
              <w:t xml:space="preserve">u sud-ouest du Togo, située à 70 kilomètres de Lomé, a initié une zone boisée de 100 ha autour du périmètre de vie de la communauté ; celle-ci agit comme un tampon efficace contre les feux de brousse. La création de cette ceinture verte s'est appuyée uniquement sur l'initiative locale et les efforts des volontaires. Le modèle de la forêt d’Ando-Kpomey a été promu via des visites pédagogiques, des échanges entre pairs ou encore des ateliers de sensibilisation. Ce modèle de forêt communautaire a été adopté par d’autres communautés </w:t>
            </w:r>
            <w:r w:rsidR="00BC572F" w:rsidRPr="00480905">
              <w:rPr>
                <w:rFonts w:ascii="Times New Roman" w:hAnsi="Times New Roman" w:cs="Times New Roman"/>
                <w:sz w:val="24"/>
                <w:szCs w:val="24"/>
              </w:rPr>
              <w:t xml:space="preserve">au Togo soit à travers la création soit le renforcement d’ilots forestiers, essentiellement de forêts sacrées existantes. </w:t>
            </w:r>
            <w:r w:rsidR="00BE4506" w:rsidRPr="00480905">
              <w:rPr>
                <w:rFonts w:ascii="Times New Roman" w:hAnsi="Times New Roman" w:cs="Times New Roman"/>
                <w:sz w:val="24"/>
                <w:szCs w:val="24"/>
              </w:rPr>
              <w:t xml:space="preserve">On peut multiplier les exemples : </w:t>
            </w:r>
            <w:r w:rsidR="00BE4506" w:rsidRPr="00480905">
              <w:rPr>
                <w:rFonts w:ascii="Times New Roman" w:eastAsia="Calibri" w:hAnsi="Times New Roman" w:cs="Times New Roman"/>
                <w:sz w:val="24"/>
                <w:szCs w:val="24"/>
              </w:rPr>
              <w:t xml:space="preserve">les forêts communautaires d’Alibi (Préfecture de Tchamba), </w:t>
            </w:r>
            <w:r w:rsidR="00BE4506" w:rsidRPr="00480905">
              <w:rPr>
                <w:rStyle w:val="lev"/>
                <w:rFonts w:ascii="Times New Roman" w:eastAsia="Calibri" w:hAnsi="Times New Roman" w:cs="Times New Roman"/>
                <w:b w:val="0"/>
                <w:sz w:val="24"/>
                <w:szCs w:val="24"/>
              </w:rPr>
              <w:t xml:space="preserve">Agnedi (Préfecture de Kloto), </w:t>
            </w:r>
            <w:r w:rsidR="00BE4506" w:rsidRPr="00480905">
              <w:rPr>
                <w:rFonts w:ascii="Times New Roman" w:eastAsia="Calibri" w:hAnsi="Times New Roman" w:cs="Times New Roman"/>
                <w:sz w:val="24"/>
                <w:szCs w:val="24"/>
              </w:rPr>
              <w:t>Bago (Préfecture de Tchamba), Djérégou (Préfecture de Doufelgou), Kéméni (Préfecture de Tchaoudjo)</w:t>
            </w:r>
            <w:r w:rsidR="00BE4506" w:rsidRPr="00480905">
              <w:rPr>
                <w:rFonts w:ascii="Times New Roman" w:eastAsia="Calibri" w:hAnsi="Times New Roman" w:cs="Times New Roman"/>
                <w:bCs/>
                <w:sz w:val="24"/>
                <w:szCs w:val="24"/>
              </w:rPr>
              <w:t>,</w:t>
            </w:r>
            <w:r w:rsidR="0069265F">
              <w:rPr>
                <w:rFonts w:ascii="Times New Roman" w:eastAsia="Calibri" w:hAnsi="Times New Roman" w:cs="Times New Roman"/>
                <w:bCs/>
                <w:sz w:val="24"/>
                <w:szCs w:val="24"/>
              </w:rPr>
              <w:t xml:space="preserve"> </w:t>
            </w:r>
            <w:r w:rsidR="00BE4506" w:rsidRPr="00480905">
              <w:rPr>
                <w:rFonts w:ascii="Times New Roman" w:eastAsia="Calibri" w:hAnsi="Times New Roman" w:cs="Times New Roman"/>
                <w:sz w:val="24"/>
                <w:szCs w:val="24"/>
              </w:rPr>
              <w:t>Koussountou (Préfecture de Tchamba), Womeve et Zionou (Préfecture d’Agou), etc.</w:t>
            </w:r>
          </w:p>
        </w:tc>
      </w:tr>
      <w:tr w:rsidR="006E3328" w:rsidRPr="00F971D4" w14:paraId="1A276F02" w14:textId="77777777" w:rsidTr="00F971D4">
        <w:tc>
          <w:tcPr>
            <w:tcW w:w="2830" w:type="dxa"/>
            <w:vAlign w:val="center"/>
          </w:tcPr>
          <w:p w14:paraId="0C7B01B1" w14:textId="77777777" w:rsidR="006E3328" w:rsidRPr="00480905" w:rsidRDefault="00BC572F" w:rsidP="001557BB">
            <w:pPr>
              <w:rPr>
                <w:rFonts w:ascii="Times New Roman" w:hAnsi="Times New Roman" w:cs="Times New Roman"/>
                <w:sz w:val="24"/>
                <w:szCs w:val="24"/>
              </w:rPr>
            </w:pPr>
            <w:r w:rsidRPr="00480905">
              <w:rPr>
                <w:rFonts w:ascii="Times New Roman" w:hAnsi="Times New Roman" w:cs="Times New Roman"/>
                <w:sz w:val="24"/>
                <w:szCs w:val="24"/>
              </w:rPr>
              <w:t xml:space="preserve">Réserve de biosphère transfrontière du Mono </w:t>
            </w:r>
            <w:r w:rsidRPr="00480905">
              <w:rPr>
                <w:rFonts w:ascii="Times New Roman" w:hAnsi="Times New Roman" w:cs="Times New Roman"/>
                <w:b/>
                <w:color w:val="000000"/>
                <w:sz w:val="24"/>
                <w:szCs w:val="24"/>
              </w:rPr>
              <w:t>(</w:t>
            </w:r>
            <w:r w:rsidR="006E3328" w:rsidRPr="00480905">
              <w:rPr>
                <w:rFonts w:ascii="Times New Roman" w:hAnsi="Times New Roman" w:cs="Times New Roman"/>
                <w:b/>
                <w:color w:val="000000"/>
                <w:sz w:val="24"/>
                <w:szCs w:val="24"/>
              </w:rPr>
              <w:t>RBTM</w:t>
            </w:r>
            <w:r w:rsidRPr="00480905">
              <w:rPr>
                <w:rFonts w:ascii="Times New Roman" w:hAnsi="Times New Roman" w:cs="Times New Roman"/>
                <w:b/>
                <w:color w:val="000000"/>
                <w:sz w:val="24"/>
                <w:szCs w:val="24"/>
              </w:rPr>
              <w:t>) Bénin-Togo (</w:t>
            </w:r>
            <w:r w:rsidRPr="00480905">
              <w:rPr>
                <w:rFonts w:ascii="Times New Roman" w:hAnsi="Times New Roman" w:cs="Times New Roman"/>
                <w:sz w:val="24"/>
                <w:szCs w:val="24"/>
              </w:rPr>
              <w:t>Bénin : Ministère de l’Environnement chargé de la Gestion des Changements climatiques, du Reboisement et de la Protection des ressources naturelles et forestières (MECGCCRPRNF), Centre national de gestion des réserves de faune (CENAGREF) ; Togo : Ministère de l’Environnement et des Ressources forestières (MERF), Direction des Ressources forestières (DRF))</w:t>
            </w:r>
          </w:p>
        </w:tc>
        <w:tc>
          <w:tcPr>
            <w:tcW w:w="6946" w:type="dxa"/>
            <w:vAlign w:val="center"/>
          </w:tcPr>
          <w:p w14:paraId="28FA01E5" w14:textId="208FE2F3" w:rsidR="006E3328" w:rsidRPr="00480905" w:rsidRDefault="00BC572F" w:rsidP="001557BB">
            <w:pPr>
              <w:pStyle w:val="NormalWeb"/>
              <w:spacing w:before="0" w:beforeAutospacing="0" w:after="0" w:afterAutospacing="0"/>
            </w:pPr>
            <w:r w:rsidRPr="00480905">
              <w:t>La protection et l’utilisation durable de la biodiversité et des services écosystémiques</w:t>
            </w:r>
            <w:r w:rsidR="00C8758E">
              <w:t xml:space="preserve"> dans le delta du Mono </w:t>
            </w:r>
            <w:r w:rsidRPr="00480905">
              <w:t>contribuent au développement durable du Bénin et du Togo en général et à celui des communautés locales en particulier.</w:t>
            </w:r>
          </w:p>
        </w:tc>
      </w:tr>
    </w:tbl>
    <w:p w14:paraId="75DA57C5" w14:textId="77777777" w:rsidR="00C91390" w:rsidRPr="00480905" w:rsidRDefault="00C91390" w:rsidP="001557BB">
      <w:pPr>
        <w:autoSpaceDE w:val="0"/>
        <w:autoSpaceDN w:val="0"/>
        <w:adjustRightInd w:val="0"/>
        <w:spacing w:after="0" w:line="240" w:lineRule="auto"/>
        <w:jc w:val="both"/>
        <w:rPr>
          <w:rFonts w:ascii="Times New Roman" w:hAnsi="Times New Roman" w:cs="Times New Roman"/>
          <w:color w:val="000000"/>
          <w:sz w:val="24"/>
          <w:szCs w:val="24"/>
        </w:rPr>
      </w:pPr>
    </w:p>
    <w:p w14:paraId="54661BAC" w14:textId="77777777" w:rsidR="00480905" w:rsidRPr="00480905" w:rsidRDefault="00480905" w:rsidP="001557BB">
      <w:pPr>
        <w:autoSpaceDE w:val="0"/>
        <w:autoSpaceDN w:val="0"/>
        <w:adjustRightInd w:val="0"/>
        <w:spacing w:after="0" w:line="240" w:lineRule="auto"/>
        <w:jc w:val="both"/>
        <w:rPr>
          <w:rFonts w:ascii="Times New Roman" w:hAnsi="Times New Roman" w:cs="Times New Roman"/>
          <w:color w:val="000000"/>
          <w:sz w:val="24"/>
          <w:szCs w:val="24"/>
        </w:rPr>
      </w:pPr>
    </w:p>
    <w:p w14:paraId="6C40801B" w14:textId="77777777" w:rsidR="00480905" w:rsidRPr="00480905" w:rsidRDefault="00480905" w:rsidP="001557BB">
      <w:pPr>
        <w:autoSpaceDE w:val="0"/>
        <w:autoSpaceDN w:val="0"/>
        <w:adjustRightInd w:val="0"/>
        <w:spacing w:after="0" w:line="240" w:lineRule="auto"/>
        <w:jc w:val="both"/>
        <w:rPr>
          <w:rFonts w:ascii="Times New Roman" w:hAnsi="Times New Roman" w:cs="Times New Roman"/>
          <w:color w:val="000000"/>
          <w:sz w:val="24"/>
          <w:szCs w:val="24"/>
        </w:rPr>
      </w:pPr>
    </w:p>
    <w:p w14:paraId="017F77DC" w14:textId="77777777" w:rsidR="00480905" w:rsidRPr="00480905" w:rsidRDefault="00480905" w:rsidP="001557BB">
      <w:pPr>
        <w:autoSpaceDE w:val="0"/>
        <w:autoSpaceDN w:val="0"/>
        <w:adjustRightInd w:val="0"/>
        <w:spacing w:after="0" w:line="240" w:lineRule="auto"/>
        <w:jc w:val="both"/>
        <w:rPr>
          <w:rFonts w:ascii="Times New Roman" w:hAnsi="Times New Roman" w:cs="Times New Roman"/>
          <w:color w:val="000000"/>
          <w:sz w:val="24"/>
          <w:szCs w:val="24"/>
        </w:rPr>
      </w:pPr>
    </w:p>
    <w:p w14:paraId="1225E3B4" w14:textId="77777777" w:rsidR="00893992" w:rsidRPr="00D64710" w:rsidRDefault="00893992" w:rsidP="00A05444">
      <w:pPr>
        <w:autoSpaceDE w:val="0"/>
        <w:autoSpaceDN w:val="0"/>
        <w:adjustRightInd w:val="0"/>
        <w:spacing w:after="0" w:line="240" w:lineRule="auto"/>
        <w:outlineLvl w:val="1"/>
        <w:rPr>
          <w:rFonts w:ascii="Times New Roman" w:hAnsi="Times New Roman" w:cs="Times New Roman"/>
          <w:b/>
          <w:color w:val="000000"/>
          <w:sz w:val="24"/>
          <w:szCs w:val="24"/>
        </w:rPr>
      </w:pPr>
      <w:bookmarkStart w:id="76" w:name="_Toc533413768"/>
      <w:r w:rsidRPr="00D64710">
        <w:rPr>
          <w:rFonts w:ascii="Times New Roman" w:hAnsi="Times New Roman" w:cs="Times New Roman"/>
          <w:b/>
          <w:color w:val="000000"/>
          <w:sz w:val="24"/>
          <w:szCs w:val="24"/>
        </w:rPr>
        <w:t>5.3. Progrès réalisé</w:t>
      </w:r>
      <w:r w:rsidR="007D1035">
        <w:rPr>
          <w:rFonts w:ascii="Times New Roman" w:hAnsi="Times New Roman" w:cs="Times New Roman"/>
          <w:b/>
          <w:color w:val="000000"/>
          <w:sz w:val="24"/>
          <w:szCs w:val="24"/>
        </w:rPr>
        <w:t>s</w:t>
      </w:r>
      <w:r w:rsidRPr="00D64710">
        <w:rPr>
          <w:rFonts w:ascii="Times New Roman" w:hAnsi="Times New Roman" w:cs="Times New Roman"/>
          <w:b/>
          <w:color w:val="000000"/>
          <w:sz w:val="24"/>
          <w:szCs w:val="24"/>
        </w:rPr>
        <w:t xml:space="preserve"> par rapport aux </w:t>
      </w:r>
      <w:r w:rsidRPr="00D93E29">
        <w:rPr>
          <w:rFonts w:ascii="Times New Roman" w:hAnsi="Times New Roman" w:cs="Times New Roman"/>
          <w:b/>
          <w:color w:val="000000"/>
          <w:sz w:val="24"/>
          <w:szCs w:val="24"/>
        </w:rPr>
        <w:t>objectif</w:t>
      </w:r>
      <w:r w:rsidRPr="00D64710">
        <w:rPr>
          <w:rFonts w:ascii="Times New Roman" w:hAnsi="Times New Roman" w:cs="Times New Roman"/>
          <w:b/>
          <w:color w:val="000000"/>
          <w:sz w:val="24"/>
          <w:szCs w:val="24"/>
        </w:rPr>
        <w:t>s</w:t>
      </w:r>
      <w:r w:rsidRPr="00D93E29">
        <w:rPr>
          <w:rFonts w:ascii="Times New Roman" w:hAnsi="Times New Roman" w:cs="Times New Roman"/>
          <w:b/>
          <w:color w:val="000000"/>
          <w:sz w:val="24"/>
          <w:szCs w:val="24"/>
        </w:rPr>
        <w:t xml:space="preserve"> de la SMCP au niveau national</w:t>
      </w:r>
      <w:bookmarkEnd w:id="76"/>
    </w:p>
    <w:p w14:paraId="529D2D62" w14:textId="77777777" w:rsidR="00CD0979" w:rsidRDefault="00CD0979"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72E2E865" w14:textId="77777777" w:rsidR="00CD0979" w:rsidRPr="00A77DCB"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A77DCB">
        <w:rPr>
          <w:rFonts w:ascii="Times New Roman" w:hAnsi="Times New Roman" w:cs="Times New Roman"/>
          <w:b/>
          <w:iCs/>
          <w:kern w:val="22"/>
          <w:sz w:val="24"/>
          <w:szCs w:val="24"/>
          <w:lang w:val="fr-CA"/>
        </w:rPr>
        <w:t>Objectif 1 de la Stratégie mondiale pour la conservation des plantes : Une liste en ligne de toutes les espèces de plantes connues</w:t>
      </w:r>
    </w:p>
    <w:p w14:paraId="05FA607C" w14:textId="77777777" w:rsidR="005329DE" w:rsidRPr="00A77DCB" w:rsidRDefault="005329DE" w:rsidP="00254C9C">
      <w:pPr>
        <w:spacing w:after="0" w:line="240" w:lineRule="auto"/>
        <w:jc w:val="both"/>
        <w:rPr>
          <w:rFonts w:ascii="Times New Roman" w:hAnsi="Times New Roman" w:cs="Times New Roman"/>
          <w:iCs/>
          <w:sz w:val="24"/>
          <w:szCs w:val="24"/>
          <w:lang w:val="fr-CA"/>
        </w:rPr>
      </w:pPr>
    </w:p>
    <w:p w14:paraId="715416D6" w14:textId="0D6DDDAE" w:rsidR="00A77DCB" w:rsidRPr="008B71E6" w:rsidRDefault="005329DE" w:rsidP="00254C9C">
      <w:pPr>
        <w:spacing w:after="0" w:line="240" w:lineRule="auto"/>
        <w:jc w:val="both"/>
        <w:rPr>
          <w:rFonts w:ascii="Times New Roman" w:hAnsi="Times New Roman" w:cs="Times New Roman"/>
          <w:iCs/>
          <w:sz w:val="24"/>
          <w:szCs w:val="24"/>
          <w:lang w:val="fr-CA"/>
        </w:rPr>
      </w:pPr>
      <w:r w:rsidRPr="00A77DCB">
        <w:rPr>
          <w:rFonts w:ascii="Times New Roman" w:hAnsi="Times New Roman" w:cs="Times New Roman"/>
          <w:iCs/>
          <w:sz w:val="24"/>
          <w:szCs w:val="24"/>
          <w:lang w:val="fr-CA"/>
        </w:rPr>
        <w:t xml:space="preserve">Le Togo dispose d’une Flore Nationale </w:t>
      </w:r>
      <w:r w:rsidR="0009718B" w:rsidRPr="00A77DCB">
        <w:rPr>
          <w:rFonts w:ascii="Times New Roman" w:hAnsi="Times New Roman" w:cs="Times New Roman"/>
          <w:sz w:val="24"/>
          <w:szCs w:val="24"/>
        </w:rPr>
        <w:t xml:space="preserve">(Brunel </w:t>
      </w:r>
      <w:r w:rsidR="0009718B" w:rsidRPr="00A77DCB">
        <w:rPr>
          <w:rFonts w:ascii="Times New Roman" w:hAnsi="Times New Roman" w:cs="Times New Roman"/>
          <w:i/>
          <w:sz w:val="24"/>
          <w:szCs w:val="24"/>
        </w:rPr>
        <w:t>et al.</w:t>
      </w:r>
      <w:r w:rsidR="0009718B" w:rsidRPr="00A77DCB">
        <w:rPr>
          <w:rFonts w:ascii="Times New Roman" w:hAnsi="Times New Roman" w:cs="Times New Roman"/>
          <w:sz w:val="24"/>
          <w:szCs w:val="24"/>
        </w:rPr>
        <w:t xml:space="preserve">, 1984) </w:t>
      </w:r>
      <w:r w:rsidR="000144E7" w:rsidRPr="00A77DCB">
        <w:rPr>
          <w:rFonts w:ascii="Times New Roman" w:hAnsi="Times New Roman" w:cs="Times New Roman"/>
          <w:sz w:val="24"/>
          <w:szCs w:val="24"/>
        </w:rPr>
        <w:t>qui fait la synthèse de l’ensemble des travaux entrepris depuis la période coloniale (1884-1960) et de prospections botaniques de la période post indépendances avec la création de l’Université de Lomé en 1970 (Aké Assi, 1971 ; Er</w:t>
      </w:r>
      <w:r w:rsidR="00A554A0">
        <w:rPr>
          <w:rFonts w:ascii="Times New Roman" w:hAnsi="Times New Roman" w:cs="Times New Roman"/>
          <w:sz w:val="24"/>
          <w:szCs w:val="24"/>
        </w:rPr>
        <w:t xml:space="preserve">n 1979 ; 1982 ; Brunel, 1975 ; </w:t>
      </w:r>
      <w:r w:rsidR="0032558C">
        <w:rPr>
          <w:rFonts w:ascii="Times New Roman" w:hAnsi="Times New Roman" w:cs="Times New Roman"/>
          <w:sz w:val="24"/>
          <w:szCs w:val="24"/>
        </w:rPr>
        <w:t>1987, Scholz &amp; Scholz, 198</w:t>
      </w:r>
      <w:r w:rsidR="000144E7" w:rsidRPr="00A77DCB">
        <w:rPr>
          <w:rFonts w:ascii="Times New Roman" w:hAnsi="Times New Roman" w:cs="Times New Roman"/>
          <w:sz w:val="24"/>
          <w:szCs w:val="24"/>
        </w:rPr>
        <w:t xml:space="preserve">. </w:t>
      </w:r>
      <w:r w:rsidR="0009718B" w:rsidRPr="00A77DCB">
        <w:rPr>
          <w:rFonts w:ascii="Times New Roman" w:hAnsi="Times New Roman" w:cs="Times New Roman"/>
          <w:sz w:val="24"/>
          <w:szCs w:val="24"/>
        </w:rPr>
        <w:t>Dans cette</w:t>
      </w:r>
      <w:r w:rsidR="000144E7" w:rsidRPr="00A77DCB">
        <w:rPr>
          <w:rFonts w:ascii="Times New Roman" w:hAnsi="Times New Roman" w:cs="Times New Roman"/>
          <w:sz w:val="24"/>
          <w:szCs w:val="24"/>
        </w:rPr>
        <w:t xml:space="preserve"> Flore du Togo où sont décrites 2500 espèces</w:t>
      </w:r>
      <w:r w:rsidR="0009718B" w:rsidRPr="00A77DCB">
        <w:rPr>
          <w:rFonts w:ascii="Times New Roman" w:hAnsi="Times New Roman" w:cs="Times New Roman"/>
          <w:sz w:val="24"/>
          <w:szCs w:val="24"/>
        </w:rPr>
        <w:t xml:space="preserve"> phanérogames</w:t>
      </w:r>
      <w:r w:rsidR="000144E7" w:rsidRPr="00A77DCB">
        <w:rPr>
          <w:rFonts w:ascii="Times New Roman" w:hAnsi="Times New Roman" w:cs="Times New Roman"/>
          <w:sz w:val="24"/>
          <w:szCs w:val="24"/>
        </w:rPr>
        <w:t>.</w:t>
      </w:r>
      <w:r w:rsidR="0032558C">
        <w:rPr>
          <w:rFonts w:ascii="Times New Roman" w:hAnsi="Times New Roman" w:cs="Times New Roman"/>
          <w:sz w:val="24"/>
          <w:szCs w:val="24"/>
        </w:rPr>
        <w:t xml:space="preserve"> </w:t>
      </w:r>
      <w:r w:rsidR="00A77DCB" w:rsidRPr="00A77DCB">
        <w:rPr>
          <w:rFonts w:ascii="Times New Roman" w:hAnsi="Times New Roman" w:cs="Times New Roman"/>
          <w:snapToGrid w:val="0"/>
          <w:sz w:val="24"/>
          <w:szCs w:val="24"/>
        </w:rPr>
        <w:t>La liste extraite de ladite flore a été complétée par des mises à jour effectuées après la parution de cette flore (</w:t>
      </w:r>
      <w:r w:rsidR="00A77DCB" w:rsidRPr="00A77DCB">
        <w:rPr>
          <w:rFonts w:ascii="Times New Roman" w:hAnsi="Times New Roman" w:cs="Times New Roman"/>
          <w:sz w:val="24"/>
          <w:szCs w:val="24"/>
        </w:rPr>
        <w:t xml:space="preserve">Akpagana et </w:t>
      </w:r>
      <w:r w:rsidR="00A77DCB" w:rsidRPr="008B71E6">
        <w:rPr>
          <w:rFonts w:ascii="Times New Roman" w:hAnsi="Times New Roman" w:cs="Times New Roman"/>
          <w:sz w:val="24"/>
          <w:szCs w:val="24"/>
        </w:rPr>
        <w:t xml:space="preserve">Guelly, 1994 ; </w:t>
      </w:r>
      <w:r w:rsidR="00A77DCB" w:rsidRPr="008B71E6">
        <w:rPr>
          <w:rFonts w:ascii="Times New Roman" w:hAnsi="Times New Roman" w:cs="Times New Roman"/>
          <w:snapToGrid w:val="0"/>
          <w:sz w:val="24"/>
          <w:szCs w:val="24"/>
        </w:rPr>
        <w:t xml:space="preserve">Kokou </w:t>
      </w:r>
      <w:r w:rsidR="00A77DCB" w:rsidRPr="008B71E6">
        <w:rPr>
          <w:rFonts w:ascii="Times New Roman" w:hAnsi="Times New Roman" w:cs="Times New Roman"/>
          <w:i/>
          <w:snapToGrid w:val="0"/>
          <w:sz w:val="24"/>
          <w:szCs w:val="24"/>
        </w:rPr>
        <w:t>et al.,</w:t>
      </w:r>
      <w:r w:rsidR="00A77DCB" w:rsidRPr="008B71E6">
        <w:rPr>
          <w:rFonts w:ascii="Times New Roman" w:hAnsi="Times New Roman" w:cs="Times New Roman"/>
          <w:snapToGrid w:val="0"/>
          <w:sz w:val="24"/>
          <w:szCs w:val="24"/>
        </w:rPr>
        <w:t xml:space="preserve"> 1999). </w:t>
      </w:r>
      <w:r w:rsidR="00A77DCB" w:rsidRPr="008B71E6">
        <w:rPr>
          <w:rFonts w:ascii="Times New Roman" w:hAnsi="Times New Roman" w:cs="Times New Roman"/>
          <w:sz w:val="24"/>
          <w:szCs w:val="24"/>
        </w:rPr>
        <w:t>Au rang s</w:t>
      </w:r>
      <w:r w:rsidR="004F6283" w:rsidRPr="008B71E6">
        <w:rPr>
          <w:rFonts w:ascii="Times New Roman" w:hAnsi="Times New Roman" w:cs="Times New Roman"/>
          <w:sz w:val="24"/>
          <w:szCs w:val="24"/>
        </w:rPr>
        <w:t xml:space="preserve">pécifique, la flore du Togo </w:t>
      </w:r>
      <w:r w:rsidR="00A77DCB" w:rsidRPr="008B71E6">
        <w:rPr>
          <w:rFonts w:ascii="Times New Roman" w:hAnsi="Times New Roman" w:cs="Times New Roman"/>
          <w:sz w:val="24"/>
          <w:szCs w:val="24"/>
        </w:rPr>
        <w:t xml:space="preserve">compte </w:t>
      </w:r>
      <w:r w:rsidR="00B43358">
        <w:rPr>
          <w:rFonts w:ascii="Times New Roman" w:hAnsi="Times New Roman" w:cs="Times New Roman"/>
          <w:sz w:val="24"/>
          <w:szCs w:val="24"/>
        </w:rPr>
        <w:t>4229</w:t>
      </w:r>
      <w:r w:rsidR="00A77DCB" w:rsidRPr="008B71E6">
        <w:rPr>
          <w:rFonts w:ascii="Times New Roman" w:hAnsi="Times New Roman" w:cs="Times New Roman"/>
          <w:sz w:val="24"/>
          <w:szCs w:val="24"/>
        </w:rPr>
        <w:t xml:space="preserve"> taxons (Tableau 1</w:t>
      </w:r>
      <w:r w:rsidR="00525F7B">
        <w:rPr>
          <w:rFonts w:ascii="Times New Roman" w:hAnsi="Times New Roman" w:cs="Times New Roman"/>
          <w:sz w:val="24"/>
          <w:szCs w:val="24"/>
        </w:rPr>
        <w:t>3</w:t>
      </w:r>
      <w:r w:rsidR="00A77DCB" w:rsidRPr="008B71E6">
        <w:rPr>
          <w:rFonts w:ascii="Times New Roman" w:hAnsi="Times New Roman" w:cs="Times New Roman"/>
          <w:sz w:val="24"/>
          <w:szCs w:val="24"/>
        </w:rPr>
        <w:t xml:space="preserve">). </w:t>
      </w:r>
      <w:r w:rsidR="00A77DCB" w:rsidRPr="008B71E6">
        <w:rPr>
          <w:rFonts w:ascii="Times New Roman" w:hAnsi="Times New Roman" w:cs="Times New Roman"/>
          <w:iCs/>
          <w:sz w:val="24"/>
          <w:szCs w:val="24"/>
          <w:lang w:val="fr-CA"/>
        </w:rPr>
        <w:t xml:space="preserve">Une version numérique de la flore de Brunel et </w:t>
      </w:r>
      <w:r w:rsidR="00A77DCB" w:rsidRPr="00C8758E">
        <w:rPr>
          <w:rFonts w:ascii="Times New Roman" w:hAnsi="Times New Roman" w:cs="Times New Roman"/>
          <w:i/>
          <w:iCs/>
          <w:sz w:val="24"/>
          <w:szCs w:val="24"/>
          <w:lang w:val="fr-CA"/>
        </w:rPr>
        <w:t>al.</w:t>
      </w:r>
      <w:r w:rsidR="00A77DCB" w:rsidRPr="008B71E6">
        <w:rPr>
          <w:rFonts w:ascii="Times New Roman" w:hAnsi="Times New Roman" w:cs="Times New Roman"/>
          <w:iCs/>
          <w:sz w:val="24"/>
          <w:szCs w:val="24"/>
          <w:lang w:val="fr-CA"/>
        </w:rPr>
        <w:t xml:space="preserve"> (1984) est disponible. </w:t>
      </w:r>
      <w:r w:rsidR="008B71E6" w:rsidRPr="008B71E6">
        <w:rPr>
          <w:rFonts w:ascii="Times New Roman" w:hAnsi="Times New Roman" w:cs="Times New Roman"/>
          <w:iCs/>
          <w:sz w:val="24"/>
          <w:szCs w:val="24"/>
          <w:lang w:val="fr-CA"/>
        </w:rPr>
        <w:t>Les données sont</w:t>
      </w:r>
      <w:r w:rsidR="008B71E6">
        <w:rPr>
          <w:rFonts w:ascii="Times New Roman" w:hAnsi="Times New Roman" w:cs="Times New Roman"/>
          <w:iCs/>
          <w:sz w:val="24"/>
          <w:szCs w:val="24"/>
          <w:lang w:val="fr-CA"/>
        </w:rPr>
        <w:t xml:space="preserve"> également publiées sur le site</w:t>
      </w:r>
      <w:r w:rsidR="008B71E6" w:rsidRPr="008B71E6">
        <w:rPr>
          <w:rFonts w:ascii="Times New Roman" w:hAnsi="Times New Roman" w:cs="Times New Roman"/>
          <w:iCs/>
          <w:sz w:val="24"/>
          <w:szCs w:val="24"/>
          <w:lang w:val="fr-CA"/>
        </w:rPr>
        <w:t xml:space="preserve"> du GBIF-Togo (</w:t>
      </w:r>
      <w:hyperlink r:id="rId42" w:history="1">
        <w:r w:rsidR="008B71E6" w:rsidRPr="008B71E6">
          <w:rPr>
            <w:rStyle w:val="Lienhypertexte"/>
            <w:rFonts w:ascii="Times New Roman" w:hAnsi="Times New Roman" w:cs="Times New Roman"/>
            <w:sz w:val="24"/>
            <w:szCs w:val="24"/>
          </w:rPr>
          <w:t>http://ipt-togo.gbif.fr/resource?r=public</w:t>
        </w:r>
      </w:hyperlink>
      <w:r w:rsidR="008B71E6" w:rsidRPr="008B71E6">
        <w:rPr>
          <w:rFonts w:ascii="Times New Roman" w:hAnsi="Times New Roman" w:cs="Times New Roman"/>
          <w:sz w:val="24"/>
          <w:szCs w:val="24"/>
        </w:rPr>
        <w:t>), participant ainsi au</w:t>
      </w:r>
      <w:r w:rsidR="0032558C">
        <w:rPr>
          <w:rFonts w:ascii="Times New Roman" w:hAnsi="Times New Roman" w:cs="Times New Roman"/>
          <w:sz w:val="24"/>
          <w:szCs w:val="24"/>
        </w:rPr>
        <w:t xml:space="preserve"> </w:t>
      </w:r>
      <w:r w:rsidR="008B71E6" w:rsidRPr="008B71E6">
        <w:rPr>
          <w:rFonts w:ascii="Times New Roman" w:hAnsi="Times New Roman" w:cs="Times New Roman"/>
          <w:iCs/>
          <w:sz w:val="24"/>
          <w:szCs w:val="24"/>
          <w:lang w:val="fr-CA"/>
        </w:rPr>
        <w:t>consortium en ligne sur la flore mondiale</w:t>
      </w:r>
      <w:r w:rsidR="008B71E6" w:rsidRPr="008B71E6">
        <w:rPr>
          <w:rFonts w:ascii="Times New Roman" w:hAnsi="Times New Roman" w:cs="Times New Roman"/>
          <w:sz w:val="24"/>
          <w:szCs w:val="24"/>
        </w:rPr>
        <w:t>.</w:t>
      </w:r>
    </w:p>
    <w:p w14:paraId="41FD0CDF" w14:textId="77777777" w:rsidR="004F6283" w:rsidRPr="008B71E6" w:rsidRDefault="004F6283" w:rsidP="00254C9C">
      <w:pPr>
        <w:spacing w:after="0" w:line="240" w:lineRule="auto"/>
        <w:rPr>
          <w:rFonts w:ascii="Times New Roman" w:hAnsi="Times New Roman" w:cs="Times New Roman"/>
          <w:sz w:val="24"/>
          <w:szCs w:val="24"/>
          <w:highlight w:val="yellow"/>
        </w:rPr>
      </w:pPr>
    </w:p>
    <w:p w14:paraId="23E3AE0A" w14:textId="18655A8B" w:rsidR="00A77DCB" w:rsidRPr="00525F7B" w:rsidRDefault="00525F7B" w:rsidP="00525F7B">
      <w:pPr>
        <w:pStyle w:val="Lgende"/>
        <w:rPr>
          <w:rFonts w:ascii="Times New Roman" w:hAnsi="Times New Roman"/>
          <w:sz w:val="24"/>
          <w:szCs w:val="24"/>
        </w:rPr>
      </w:pPr>
      <w:bookmarkStart w:id="77" w:name="_Toc533413481"/>
      <w:r w:rsidRPr="00525F7B">
        <w:rPr>
          <w:rFonts w:ascii="Times New Roman" w:hAnsi="Times New Roman"/>
          <w:sz w:val="24"/>
          <w:szCs w:val="24"/>
        </w:rPr>
        <w:t xml:space="preserve">Tableau </w:t>
      </w:r>
      <w:r w:rsidR="00620BEA" w:rsidRPr="00525F7B">
        <w:rPr>
          <w:rFonts w:ascii="Times New Roman" w:hAnsi="Times New Roman"/>
          <w:sz w:val="24"/>
          <w:szCs w:val="24"/>
        </w:rPr>
        <w:fldChar w:fldCharType="begin"/>
      </w:r>
      <w:r w:rsidRPr="00525F7B">
        <w:rPr>
          <w:rFonts w:ascii="Times New Roman" w:hAnsi="Times New Roman"/>
          <w:sz w:val="24"/>
          <w:szCs w:val="24"/>
        </w:rPr>
        <w:instrText xml:space="preserve"> SEQ Tableau \* ARABIC </w:instrText>
      </w:r>
      <w:r w:rsidR="00620BEA" w:rsidRPr="00525F7B">
        <w:rPr>
          <w:rFonts w:ascii="Times New Roman" w:hAnsi="Times New Roman"/>
          <w:sz w:val="24"/>
          <w:szCs w:val="24"/>
        </w:rPr>
        <w:fldChar w:fldCharType="separate"/>
      </w:r>
      <w:r w:rsidR="00C47BFF">
        <w:rPr>
          <w:rFonts w:ascii="Times New Roman" w:hAnsi="Times New Roman"/>
          <w:noProof/>
          <w:sz w:val="24"/>
          <w:szCs w:val="24"/>
        </w:rPr>
        <w:t>10</w:t>
      </w:r>
      <w:r w:rsidR="00620BEA" w:rsidRPr="00525F7B">
        <w:rPr>
          <w:rFonts w:ascii="Times New Roman" w:hAnsi="Times New Roman"/>
          <w:sz w:val="24"/>
          <w:szCs w:val="24"/>
        </w:rPr>
        <w:fldChar w:fldCharType="end"/>
      </w:r>
      <w:r w:rsidR="00C8758E">
        <w:rPr>
          <w:rFonts w:ascii="Times New Roman" w:hAnsi="Times New Roman"/>
          <w:sz w:val="24"/>
          <w:szCs w:val="24"/>
        </w:rPr>
        <w:t xml:space="preserve"> : r</w:t>
      </w:r>
      <w:r w:rsidRPr="00525F7B">
        <w:rPr>
          <w:rFonts w:ascii="Times New Roman" w:hAnsi="Times New Roman"/>
          <w:sz w:val="24"/>
          <w:szCs w:val="24"/>
        </w:rPr>
        <w:t>ichesse</w:t>
      </w:r>
      <w:r w:rsidR="00C8758E">
        <w:rPr>
          <w:rFonts w:ascii="Times New Roman" w:hAnsi="Times New Roman"/>
          <w:sz w:val="24"/>
          <w:szCs w:val="24"/>
        </w:rPr>
        <w:t>s</w:t>
      </w:r>
      <w:r w:rsidRPr="00525F7B">
        <w:rPr>
          <w:rFonts w:ascii="Times New Roman" w:hAnsi="Times New Roman"/>
          <w:sz w:val="24"/>
          <w:szCs w:val="24"/>
        </w:rPr>
        <w:t xml:space="preserve"> de la flore du Togo</w:t>
      </w:r>
      <w:bookmarkEnd w:id="77"/>
    </w:p>
    <w:tbl>
      <w:tblPr>
        <w:tblW w:w="0" w:type="auto"/>
        <w:jc w:val="center"/>
        <w:tblBorders>
          <w:top w:val="single" w:sz="4" w:space="0" w:color="auto"/>
          <w:bottom w:val="single" w:sz="4" w:space="0" w:color="auto"/>
        </w:tblBorders>
        <w:tblLook w:val="04A0" w:firstRow="1" w:lastRow="0" w:firstColumn="1" w:lastColumn="0" w:noHBand="0" w:noVBand="1"/>
      </w:tblPr>
      <w:tblGrid>
        <w:gridCol w:w="2265"/>
        <w:gridCol w:w="2265"/>
        <w:gridCol w:w="2266"/>
        <w:gridCol w:w="2266"/>
      </w:tblGrid>
      <w:tr w:rsidR="00525F7B" w:rsidRPr="00A77DCB" w14:paraId="23F86040" w14:textId="77777777" w:rsidTr="003A74BD">
        <w:trPr>
          <w:jc w:val="center"/>
        </w:trPr>
        <w:tc>
          <w:tcPr>
            <w:tcW w:w="2265" w:type="dxa"/>
            <w:tcBorders>
              <w:bottom w:val="single" w:sz="4" w:space="0" w:color="auto"/>
            </w:tcBorders>
            <w:shd w:val="clear" w:color="auto" w:fill="auto"/>
          </w:tcPr>
          <w:p w14:paraId="7098861A" w14:textId="77777777" w:rsidR="00525F7B" w:rsidRPr="00A77DCB" w:rsidRDefault="00525F7B" w:rsidP="003A74BD">
            <w:pPr>
              <w:spacing w:after="0" w:line="240" w:lineRule="auto"/>
              <w:jc w:val="center"/>
              <w:rPr>
                <w:rFonts w:ascii="Times New Roman" w:hAnsi="Times New Roman" w:cs="Times New Roman"/>
                <w:b/>
                <w:sz w:val="24"/>
                <w:szCs w:val="24"/>
              </w:rPr>
            </w:pPr>
            <w:r w:rsidRPr="00A77DCB">
              <w:rPr>
                <w:rFonts w:ascii="Times New Roman" w:hAnsi="Times New Roman" w:cs="Times New Roman"/>
                <w:b/>
                <w:sz w:val="24"/>
                <w:szCs w:val="24"/>
              </w:rPr>
              <w:t>Groupe taxonomique</w:t>
            </w:r>
          </w:p>
        </w:tc>
        <w:tc>
          <w:tcPr>
            <w:tcW w:w="2265" w:type="dxa"/>
            <w:tcBorders>
              <w:bottom w:val="single" w:sz="4" w:space="0" w:color="auto"/>
            </w:tcBorders>
            <w:shd w:val="clear" w:color="auto" w:fill="auto"/>
          </w:tcPr>
          <w:p w14:paraId="265D96CC" w14:textId="77777777" w:rsidR="00525F7B" w:rsidRPr="00A77DCB" w:rsidRDefault="00525F7B" w:rsidP="003A74BD">
            <w:pPr>
              <w:spacing w:after="0" w:line="240" w:lineRule="auto"/>
              <w:jc w:val="center"/>
              <w:rPr>
                <w:rFonts w:ascii="Times New Roman" w:hAnsi="Times New Roman" w:cs="Times New Roman"/>
                <w:b/>
                <w:sz w:val="24"/>
                <w:szCs w:val="24"/>
              </w:rPr>
            </w:pPr>
            <w:r w:rsidRPr="00A77DCB">
              <w:rPr>
                <w:rFonts w:ascii="Times New Roman" w:hAnsi="Times New Roman" w:cs="Times New Roman"/>
                <w:b/>
                <w:sz w:val="24"/>
                <w:szCs w:val="24"/>
              </w:rPr>
              <w:t>Nombre de familles</w:t>
            </w:r>
          </w:p>
        </w:tc>
        <w:tc>
          <w:tcPr>
            <w:tcW w:w="2266" w:type="dxa"/>
            <w:tcBorders>
              <w:bottom w:val="single" w:sz="4" w:space="0" w:color="auto"/>
            </w:tcBorders>
            <w:shd w:val="clear" w:color="auto" w:fill="auto"/>
          </w:tcPr>
          <w:p w14:paraId="6F6ED39E" w14:textId="77777777" w:rsidR="00525F7B" w:rsidRPr="00A77DCB" w:rsidRDefault="00525F7B" w:rsidP="003A74BD">
            <w:pPr>
              <w:spacing w:after="0" w:line="240" w:lineRule="auto"/>
              <w:jc w:val="center"/>
              <w:rPr>
                <w:rFonts w:ascii="Times New Roman" w:hAnsi="Times New Roman" w:cs="Times New Roman"/>
                <w:b/>
                <w:sz w:val="24"/>
                <w:szCs w:val="24"/>
              </w:rPr>
            </w:pPr>
            <w:r w:rsidRPr="00A77DCB">
              <w:rPr>
                <w:rFonts w:ascii="Times New Roman" w:hAnsi="Times New Roman" w:cs="Times New Roman"/>
                <w:b/>
                <w:sz w:val="24"/>
                <w:szCs w:val="24"/>
              </w:rPr>
              <w:t>Nombre de genres</w:t>
            </w:r>
          </w:p>
        </w:tc>
        <w:tc>
          <w:tcPr>
            <w:tcW w:w="2266" w:type="dxa"/>
            <w:tcBorders>
              <w:bottom w:val="single" w:sz="4" w:space="0" w:color="auto"/>
            </w:tcBorders>
            <w:shd w:val="clear" w:color="auto" w:fill="auto"/>
          </w:tcPr>
          <w:p w14:paraId="09B9477E" w14:textId="77777777" w:rsidR="00525F7B" w:rsidRPr="00A77DCB" w:rsidRDefault="00525F7B" w:rsidP="003A74BD">
            <w:pPr>
              <w:spacing w:after="0" w:line="240" w:lineRule="auto"/>
              <w:jc w:val="center"/>
              <w:rPr>
                <w:rFonts w:ascii="Times New Roman" w:hAnsi="Times New Roman" w:cs="Times New Roman"/>
                <w:b/>
                <w:sz w:val="24"/>
                <w:szCs w:val="24"/>
              </w:rPr>
            </w:pPr>
            <w:r w:rsidRPr="00A77DCB">
              <w:rPr>
                <w:rFonts w:ascii="Times New Roman" w:hAnsi="Times New Roman" w:cs="Times New Roman"/>
                <w:b/>
                <w:sz w:val="24"/>
                <w:szCs w:val="24"/>
              </w:rPr>
              <w:t>Nombre d’espèces</w:t>
            </w:r>
          </w:p>
        </w:tc>
      </w:tr>
      <w:tr w:rsidR="00525F7B" w:rsidRPr="00A77DCB" w14:paraId="3C7C2742" w14:textId="77777777" w:rsidTr="003A74BD">
        <w:trPr>
          <w:jc w:val="center"/>
        </w:trPr>
        <w:tc>
          <w:tcPr>
            <w:tcW w:w="2265" w:type="dxa"/>
            <w:tcBorders>
              <w:top w:val="single" w:sz="4" w:space="0" w:color="auto"/>
              <w:bottom w:val="nil"/>
            </w:tcBorders>
            <w:shd w:val="clear" w:color="auto" w:fill="auto"/>
          </w:tcPr>
          <w:p w14:paraId="0A9148ED" w14:textId="77777777" w:rsidR="00525F7B" w:rsidRDefault="00525F7B" w:rsidP="003A74BD">
            <w:pPr>
              <w:spacing w:after="0" w:line="240" w:lineRule="auto"/>
              <w:rPr>
                <w:rFonts w:ascii="Times New Roman" w:hAnsi="Times New Roman" w:cs="Times New Roman"/>
                <w:sz w:val="24"/>
                <w:szCs w:val="24"/>
              </w:rPr>
            </w:pPr>
            <w:r>
              <w:rPr>
                <w:rFonts w:ascii="Times New Roman" w:hAnsi="Times New Roman" w:cs="Times New Roman"/>
                <w:sz w:val="24"/>
                <w:szCs w:val="24"/>
              </w:rPr>
              <w:t>Fungi</w:t>
            </w:r>
          </w:p>
        </w:tc>
        <w:tc>
          <w:tcPr>
            <w:tcW w:w="2265" w:type="dxa"/>
            <w:tcBorders>
              <w:top w:val="single" w:sz="4" w:space="0" w:color="auto"/>
              <w:bottom w:val="nil"/>
            </w:tcBorders>
            <w:shd w:val="clear" w:color="auto" w:fill="auto"/>
          </w:tcPr>
          <w:p w14:paraId="02A75F21"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69F91CD9"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14D4A2F4"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276</w:t>
            </w:r>
          </w:p>
        </w:tc>
      </w:tr>
      <w:tr w:rsidR="00525F7B" w:rsidRPr="00A77DCB" w14:paraId="1CF439AA" w14:textId="77777777" w:rsidTr="003A74BD">
        <w:trPr>
          <w:jc w:val="center"/>
        </w:trPr>
        <w:tc>
          <w:tcPr>
            <w:tcW w:w="2265" w:type="dxa"/>
            <w:tcBorders>
              <w:top w:val="single" w:sz="4" w:space="0" w:color="auto"/>
              <w:bottom w:val="nil"/>
            </w:tcBorders>
            <w:shd w:val="clear" w:color="auto" w:fill="auto"/>
          </w:tcPr>
          <w:p w14:paraId="01FAE6CC" w14:textId="77777777" w:rsidR="00525F7B" w:rsidRPr="00A77DCB" w:rsidRDefault="00525F7B" w:rsidP="003A74BD">
            <w:pPr>
              <w:spacing w:after="0" w:line="240" w:lineRule="auto"/>
              <w:rPr>
                <w:rFonts w:ascii="Times New Roman" w:hAnsi="Times New Roman" w:cs="Times New Roman"/>
                <w:sz w:val="24"/>
                <w:szCs w:val="24"/>
              </w:rPr>
            </w:pPr>
            <w:r>
              <w:rPr>
                <w:rFonts w:ascii="Times New Roman" w:hAnsi="Times New Roman" w:cs="Times New Roman"/>
                <w:sz w:val="24"/>
                <w:szCs w:val="24"/>
              </w:rPr>
              <w:t>Microalgues</w:t>
            </w:r>
          </w:p>
        </w:tc>
        <w:tc>
          <w:tcPr>
            <w:tcW w:w="2265" w:type="dxa"/>
            <w:tcBorders>
              <w:top w:val="single" w:sz="4" w:space="0" w:color="auto"/>
              <w:bottom w:val="nil"/>
            </w:tcBorders>
            <w:shd w:val="clear" w:color="auto" w:fill="auto"/>
          </w:tcPr>
          <w:p w14:paraId="1174CF18"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49397AED"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3D2DB136"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795</w:t>
            </w:r>
          </w:p>
        </w:tc>
      </w:tr>
      <w:tr w:rsidR="00525F7B" w:rsidRPr="00A77DCB" w14:paraId="184CF950" w14:textId="77777777" w:rsidTr="003A74BD">
        <w:trPr>
          <w:jc w:val="center"/>
        </w:trPr>
        <w:tc>
          <w:tcPr>
            <w:tcW w:w="2265" w:type="dxa"/>
            <w:tcBorders>
              <w:top w:val="single" w:sz="4" w:space="0" w:color="auto"/>
              <w:bottom w:val="nil"/>
            </w:tcBorders>
            <w:shd w:val="clear" w:color="auto" w:fill="auto"/>
          </w:tcPr>
          <w:p w14:paraId="6054E873" w14:textId="77777777" w:rsidR="00525F7B" w:rsidRPr="00A77DCB" w:rsidRDefault="00525F7B" w:rsidP="003A74BD">
            <w:pPr>
              <w:spacing w:after="0" w:line="240" w:lineRule="auto"/>
              <w:rPr>
                <w:rFonts w:ascii="Times New Roman" w:hAnsi="Times New Roman" w:cs="Times New Roman"/>
                <w:sz w:val="24"/>
                <w:szCs w:val="24"/>
              </w:rPr>
            </w:pPr>
            <w:r>
              <w:rPr>
                <w:rFonts w:ascii="Times New Roman" w:hAnsi="Times New Roman" w:cs="Times New Roman"/>
                <w:sz w:val="24"/>
                <w:szCs w:val="24"/>
              </w:rPr>
              <w:t>Macroalgues</w:t>
            </w:r>
          </w:p>
        </w:tc>
        <w:tc>
          <w:tcPr>
            <w:tcW w:w="2265" w:type="dxa"/>
            <w:tcBorders>
              <w:top w:val="single" w:sz="4" w:space="0" w:color="auto"/>
              <w:bottom w:val="nil"/>
            </w:tcBorders>
            <w:shd w:val="clear" w:color="auto" w:fill="auto"/>
          </w:tcPr>
          <w:p w14:paraId="34667EBC"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5B18CEE8"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61C6879A"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37</w:t>
            </w:r>
          </w:p>
        </w:tc>
      </w:tr>
      <w:tr w:rsidR="00525F7B" w:rsidRPr="00A77DCB" w14:paraId="7FBBB76E" w14:textId="77777777" w:rsidTr="003A74BD">
        <w:trPr>
          <w:jc w:val="center"/>
        </w:trPr>
        <w:tc>
          <w:tcPr>
            <w:tcW w:w="2265" w:type="dxa"/>
            <w:tcBorders>
              <w:top w:val="single" w:sz="4" w:space="0" w:color="auto"/>
              <w:bottom w:val="nil"/>
            </w:tcBorders>
            <w:shd w:val="clear" w:color="auto" w:fill="auto"/>
          </w:tcPr>
          <w:p w14:paraId="5C0527C9" w14:textId="77777777" w:rsidR="00525F7B" w:rsidRPr="00A77DCB" w:rsidRDefault="00525F7B" w:rsidP="003A74BD">
            <w:pPr>
              <w:spacing w:after="0" w:line="240" w:lineRule="auto"/>
              <w:rPr>
                <w:rFonts w:ascii="Times New Roman" w:hAnsi="Times New Roman" w:cs="Times New Roman"/>
                <w:sz w:val="24"/>
                <w:szCs w:val="24"/>
              </w:rPr>
            </w:pPr>
            <w:r>
              <w:rPr>
                <w:rFonts w:ascii="Times New Roman" w:hAnsi="Times New Roman" w:cs="Times New Roman"/>
                <w:sz w:val="24"/>
                <w:szCs w:val="24"/>
              </w:rPr>
              <w:t>Bryophytes</w:t>
            </w:r>
          </w:p>
        </w:tc>
        <w:tc>
          <w:tcPr>
            <w:tcW w:w="2265" w:type="dxa"/>
            <w:tcBorders>
              <w:top w:val="single" w:sz="4" w:space="0" w:color="auto"/>
              <w:bottom w:val="nil"/>
            </w:tcBorders>
            <w:shd w:val="clear" w:color="auto" w:fill="auto"/>
          </w:tcPr>
          <w:p w14:paraId="4CD42CED"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02CC50F3" w14:textId="77777777" w:rsidR="00525F7B" w:rsidRPr="00A77DCB" w:rsidRDefault="00525F7B" w:rsidP="003A74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2266" w:type="dxa"/>
            <w:tcBorders>
              <w:top w:val="single" w:sz="4" w:space="0" w:color="auto"/>
              <w:bottom w:val="nil"/>
            </w:tcBorders>
            <w:shd w:val="clear" w:color="auto" w:fill="auto"/>
          </w:tcPr>
          <w:p w14:paraId="734A2D60"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133</w:t>
            </w:r>
          </w:p>
        </w:tc>
      </w:tr>
      <w:tr w:rsidR="00525F7B" w:rsidRPr="00A77DCB" w14:paraId="534A25CE" w14:textId="77777777" w:rsidTr="003A74BD">
        <w:trPr>
          <w:jc w:val="center"/>
        </w:trPr>
        <w:tc>
          <w:tcPr>
            <w:tcW w:w="2265" w:type="dxa"/>
            <w:tcBorders>
              <w:top w:val="nil"/>
            </w:tcBorders>
            <w:shd w:val="clear" w:color="auto" w:fill="auto"/>
          </w:tcPr>
          <w:p w14:paraId="5F78FBF5" w14:textId="77777777" w:rsidR="00525F7B" w:rsidRPr="00A77DCB" w:rsidRDefault="00525F7B" w:rsidP="003A74BD">
            <w:pPr>
              <w:spacing w:after="0" w:line="240" w:lineRule="auto"/>
              <w:rPr>
                <w:rFonts w:ascii="Times New Roman" w:hAnsi="Times New Roman" w:cs="Times New Roman"/>
                <w:sz w:val="24"/>
                <w:szCs w:val="24"/>
              </w:rPr>
            </w:pPr>
            <w:r w:rsidRPr="00A77DCB">
              <w:rPr>
                <w:rFonts w:ascii="Times New Roman" w:hAnsi="Times New Roman" w:cs="Times New Roman"/>
                <w:sz w:val="24"/>
                <w:szCs w:val="24"/>
              </w:rPr>
              <w:t>Ptéridophytes</w:t>
            </w:r>
          </w:p>
        </w:tc>
        <w:tc>
          <w:tcPr>
            <w:tcW w:w="2265" w:type="dxa"/>
            <w:tcBorders>
              <w:top w:val="nil"/>
            </w:tcBorders>
            <w:shd w:val="clear" w:color="auto" w:fill="auto"/>
          </w:tcPr>
          <w:p w14:paraId="3F66CFBA"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24</w:t>
            </w:r>
          </w:p>
        </w:tc>
        <w:tc>
          <w:tcPr>
            <w:tcW w:w="2266" w:type="dxa"/>
            <w:tcBorders>
              <w:top w:val="nil"/>
            </w:tcBorders>
            <w:shd w:val="clear" w:color="auto" w:fill="auto"/>
          </w:tcPr>
          <w:p w14:paraId="663BF7B9"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46</w:t>
            </w:r>
          </w:p>
        </w:tc>
        <w:tc>
          <w:tcPr>
            <w:tcW w:w="2266" w:type="dxa"/>
            <w:tcBorders>
              <w:top w:val="nil"/>
            </w:tcBorders>
            <w:shd w:val="clear" w:color="auto" w:fill="auto"/>
          </w:tcPr>
          <w:p w14:paraId="259B564A"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134</w:t>
            </w:r>
          </w:p>
        </w:tc>
      </w:tr>
      <w:tr w:rsidR="00525F7B" w:rsidRPr="00A77DCB" w14:paraId="068DF869" w14:textId="77777777" w:rsidTr="003A74BD">
        <w:trPr>
          <w:jc w:val="center"/>
        </w:trPr>
        <w:tc>
          <w:tcPr>
            <w:tcW w:w="2265" w:type="dxa"/>
            <w:tcBorders>
              <w:top w:val="single" w:sz="4" w:space="0" w:color="auto"/>
              <w:bottom w:val="nil"/>
            </w:tcBorders>
            <w:shd w:val="clear" w:color="auto" w:fill="auto"/>
          </w:tcPr>
          <w:p w14:paraId="5E993044" w14:textId="77777777" w:rsidR="00525F7B" w:rsidRPr="00A77DCB" w:rsidRDefault="00525F7B" w:rsidP="003A74BD">
            <w:pPr>
              <w:spacing w:after="0" w:line="240" w:lineRule="auto"/>
              <w:rPr>
                <w:rFonts w:ascii="Times New Roman" w:hAnsi="Times New Roman" w:cs="Times New Roman"/>
                <w:sz w:val="24"/>
                <w:szCs w:val="24"/>
              </w:rPr>
            </w:pPr>
            <w:r w:rsidRPr="00A77DCB">
              <w:rPr>
                <w:rFonts w:ascii="Times New Roman" w:hAnsi="Times New Roman" w:cs="Times New Roman"/>
                <w:sz w:val="24"/>
                <w:szCs w:val="24"/>
              </w:rPr>
              <w:t>Gymnospermes</w:t>
            </w:r>
          </w:p>
        </w:tc>
        <w:tc>
          <w:tcPr>
            <w:tcW w:w="2265" w:type="dxa"/>
            <w:tcBorders>
              <w:top w:val="single" w:sz="4" w:space="0" w:color="auto"/>
              <w:bottom w:val="nil"/>
            </w:tcBorders>
            <w:shd w:val="clear" w:color="auto" w:fill="auto"/>
          </w:tcPr>
          <w:p w14:paraId="35DD9824"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4</w:t>
            </w:r>
          </w:p>
        </w:tc>
        <w:tc>
          <w:tcPr>
            <w:tcW w:w="2266" w:type="dxa"/>
            <w:tcBorders>
              <w:top w:val="single" w:sz="4" w:space="0" w:color="auto"/>
              <w:bottom w:val="nil"/>
            </w:tcBorders>
            <w:shd w:val="clear" w:color="auto" w:fill="auto"/>
          </w:tcPr>
          <w:p w14:paraId="11226516"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8</w:t>
            </w:r>
          </w:p>
        </w:tc>
        <w:tc>
          <w:tcPr>
            <w:tcW w:w="2266" w:type="dxa"/>
            <w:tcBorders>
              <w:top w:val="single" w:sz="4" w:space="0" w:color="auto"/>
              <w:bottom w:val="nil"/>
            </w:tcBorders>
            <w:shd w:val="clear" w:color="auto" w:fill="auto"/>
          </w:tcPr>
          <w:p w14:paraId="6F8CC5D2"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19</w:t>
            </w:r>
          </w:p>
        </w:tc>
      </w:tr>
      <w:tr w:rsidR="00525F7B" w:rsidRPr="00A77DCB" w14:paraId="3B04875B" w14:textId="77777777" w:rsidTr="003A74BD">
        <w:trPr>
          <w:jc w:val="center"/>
        </w:trPr>
        <w:tc>
          <w:tcPr>
            <w:tcW w:w="2265" w:type="dxa"/>
            <w:shd w:val="clear" w:color="auto" w:fill="auto"/>
          </w:tcPr>
          <w:p w14:paraId="0F7F9603" w14:textId="77777777" w:rsidR="00525F7B" w:rsidRPr="00A77DCB" w:rsidRDefault="00525F7B" w:rsidP="003A74BD">
            <w:pPr>
              <w:spacing w:after="0" w:line="240" w:lineRule="auto"/>
              <w:rPr>
                <w:rFonts w:ascii="Times New Roman" w:hAnsi="Times New Roman" w:cs="Times New Roman"/>
                <w:sz w:val="24"/>
                <w:szCs w:val="24"/>
              </w:rPr>
            </w:pPr>
            <w:r w:rsidRPr="00A77DCB">
              <w:rPr>
                <w:rFonts w:ascii="Times New Roman" w:hAnsi="Times New Roman" w:cs="Times New Roman"/>
                <w:sz w:val="24"/>
                <w:szCs w:val="24"/>
              </w:rPr>
              <w:t>Dicotylédones</w:t>
            </w:r>
          </w:p>
        </w:tc>
        <w:tc>
          <w:tcPr>
            <w:tcW w:w="2265" w:type="dxa"/>
            <w:shd w:val="clear" w:color="auto" w:fill="auto"/>
          </w:tcPr>
          <w:p w14:paraId="2CAA979B"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125</w:t>
            </w:r>
          </w:p>
        </w:tc>
        <w:tc>
          <w:tcPr>
            <w:tcW w:w="2266" w:type="dxa"/>
            <w:shd w:val="clear" w:color="auto" w:fill="auto"/>
          </w:tcPr>
          <w:p w14:paraId="2786D6B9"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872</w:t>
            </w:r>
          </w:p>
        </w:tc>
        <w:tc>
          <w:tcPr>
            <w:tcW w:w="2266" w:type="dxa"/>
            <w:shd w:val="clear" w:color="auto" w:fill="auto"/>
          </w:tcPr>
          <w:p w14:paraId="7AE840A2"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2523</w:t>
            </w:r>
          </w:p>
        </w:tc>
      </w:tr>
      <w:tr w:rsidR="00525F7B" w:rsidRPr="00A77DCB" w14:paraId="557927F6" w14:textId="77777777" w:rsidTr="003A74BD">
        <w:trPr>
          <w:jc w:val="center"/>
        </w:trPr>
        <w:tc>
          <w:tcPr>
            <w:tcW w:w="2265" w:type="dxa"/>
            <w:shd w:val="clear" w:color="auto" w:fill="auto"/>
          </w:tcPr>
          <w:p w14:paraId="37C97551" w14:textId="77777777" w:rsidR="00525F7B" w:rsidRPr="00A77DCB" w:rsidRDefault="00525F7B" w:rsidP="003A74BD">
            <w:pPr>
              <w:spacing w:after="0" w:line="240" w:lineRule="auto"/>
              <w:rPr>
                <w:rFonts w:ascii="Times New Roman" w:hAnsi="Times New Roman" w:cs="Times New Roman"/>
                <w:sz w:val="24"/>
                <w:szCs w:val="24"/>
              </w:rPr>
            </w:pPr>
            <w:r w:rsidRPr="00A77DCB">
              <w:rPr>
                <w:rFonts w:ascii="Times New Roman" w:hAnsi="Times New Roman" w:cs="Times New Roman"/>
                <w:sz w:val="24"/>
                <w:szCs w:val="24"/>
              </w:rPr>
              <w:t>Monocotylédones</w:t>
            </w:r>
          </w:p>
        </w:tc>
        <w:tc>
          <w:tcPr>
            <w:tcW w:w="2265" w:type="dxa"/>
            <w:shd w:val="clear" w:color="auto" w:fill="auto"/>
          </w:tcPr>
          <w:p w14:paraId="46A6744D"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38</w:t>
            </w:r>
          </w:p>
        </w:tc>
        <w:tc>
          <w:tcPr>
            <w:tcW w:w="2266" w:type="dxa"/>
            <w:shd w:val="clear" w:color="auto" w:fill="auto"/>
          </w:tcPr>
          <w:p w14:paraId="7AC87992"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261</w:t>
            </w:r>
          </w:p>
        </w:tc>
        <w:tc>
          <w:tcPr>
            <w:tcW w:w="2266" w:type="dxa"/>
            <w:shd w:val="clear" w:color="auto" w:fill="auto"/>
          </w:tcPr>
          <w:p w14:paraId="77ECE0CE" w14:textId="77777777" w:rsidR="00525F7B" w:rsidRPr="00E8427E" w:rsidRDefault="00525F7B" w:rsidP="003A74BD">
            <w:pPr>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773</w:t>
            </w:r>
          </w:p>
        </w:tc>
      </w:tr>
      <w:tr w:rsidR="00525F7B" w:rsidRPr="00A77DCB" w14:paraId="574B1873" w14:textId="77777777" w:rsidTr="003A74BD">
        <w:trPr>
          <w:jc w:val="center"/>
        </w:trPr>
        <w:tc>
          <w:tcPr>
            <w:tcW w:w="2265" w:type="dxa"/>
            <w:shd w:val="clear" w:color="auto" w:fill="auto"/>
          </w:tcPr>
          <w:p w14:paraId="23FEDC37" w14:textId="77777777" w:rsidR="00525F7B" w:rsidRPr="00A77DCB" w:rsidRDefault="00525F7B" w:rsidP="003A74BD">
            <w:pPr>
              <w:spacing w:after="0" w:line="240" w:lineRule="auto"/>
              <w:rPr>
                <w:rFonts w:ascii="Times New Roman" w:hAnsi="Times New Roman" w:cs="Times New Roman"/>
                <w:sz w:val="24"/>
                <w:szCs w:val="24"/>
              </w:rPr>
            </w:pPr>
            <w:r w:rsidRPr="00A77DCB">
              <w:rPr>
                <w:rFonts w:ascii="Times New Roman" w:hAnsi="Times New Roman" w:cs="Times New Roman"/>
                <w:sz w:val="24"/>
                <w:szCs w:val="24"/>
              </w:rPr>
              <w:t>Total</w:t>
            </w:r>
          </w:p>
        </w:tc>
        <w:tc>
          <w:tcPr>
            <w:tcW w:w="2265" w:type="dxa"/>
            <w:shd w:val="clear" w:color="auto" w:fill="auto"/>
          </w:tcPr>
          <w:p w14:paraId="0352E747"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191</w:t>
            </w:r>
          </w:p>
        </w:tc>
        <w:tc>
          <w:tcPr>
            <w:tcW w:w="2266" w:type="dxa"/>
            <w:shd w:val="clear" w:color="auto" w:fill="auto"/>
          </w:tcPr>
          <w:p w14:paraId="1E7F323D" w14:textId="77777777" w:rsidR="00525F7B" w:rsidRPr="00A77DCB" w:rsidRDefault="00525F7B" w:rsidP="003A74BD">
            <w:pPr>
              <w:spacing w:after="0" w:line="240" w:lineRule="auto"/>
              <w:jc w:val="center"/>
              <w:rPr>
                <w:rFonts w:ascii="Times New Roman" w:hAnsi="Times New Roman" w:cs="Times New Roman"/>
                <w:sz w:val="24"/>
                <w:szCs w:val="24"/>
              </w:rPr>
            </w:pPr>
            <w:r w:rsidRPr="00A77DCB">
              <w:rPr>
                <w:rFonts w:ascii="Times New Roman" w:hAnsi="Times New Roman" w:cs="Times New Roman"/>
                <w:sz w:val="24"/>
                <w:szCs w:val="24"/>
              </w:rPr>
              <w:t>1189</w:t>
            </w:r>
          </w:p>
        </w:tc>
        <w:tc>
          <w:tcPr>
            <w:tcW w:w="2266" w:type="dxa"/>
            <w:shd w:val="clear" w:color="auto" w:fill="auto"/>
          </w:tcPr>
          <w:p w14:paraId="10B6FE6B" w14:textId="77777777" w:rsidR="00525F7B" w:rsidRPr="00E8427E" w:rsidRDefault="00525F7B" w:rsidP="003A74BD">
            <w:pPr>
              <w:tabs>
                <w:tab w:val="left" w:pos="748"/>
                <w:tab w:val="center" w:pos="1025"/>
              </w:tabs>
              <w:spacing w:after="0" w:line="240" w:lineRule="auto"/>
              <w:jc w:val="center"/>
              <w:rPr>
                <w:rFonts w:ascii="Times New Roman" w:hAnsi="Times New Roman" w:cs="Times New Roman"/>
                <w:sz w:val="24"/>
                <w:szCs w:val="24"/>
              </w:rPr>
            </w:pPr>
            <w:r w:rsidRPr="00E8427E">
              <w:rPr>
                <w:rFonts w:ascii="Times New Roman" w:hAnsi="Times New Roman" w:cs="Times New Roman"/>
                <w:sz w:val="24"/>
                <w:szCs w:val="24"/>
              </w:rPr>
              <w:t>4690</w:t>
            </w:r>
          </w:p>
        </w:tc>
      </w:tr>
    </w:tbl>
    <w:p w14:paraId="76F5DBDA" w14:textId="77777777" w:rsidR="005329DE" w:rsidRPr="00577CDE" w:rsidRDefault="005329DE" w:rsidP="00254C9C">
      <w:pPr>
        <w:spacing w:after="0" w:line="240" w:lineRule="auto"/>
        <w:jc w:val="both"/>
        <w:rPr>
          <w:rFonts w:ascii="Times New Roman" w:hAnsi="Times New Roman" w:cs="Times New Roman"/>
          <w:iCs/>
          <w:sz w:val="24"/>
          <w:szCs w:val="24"/>
          <w:lang w:val="fr-CA"/>
        </w:rPr>
      </w:pPr>
    </w:p>
    <w:p w14:paraId="51001F7F" w14:textId="77777777" w:rsidR="009C0565" w:rsidRPr="00577CDE"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577CDE">
        <w:rPr>
          <w:rFonts w:ascii="Times New Roman" w:hAnsi="Times New Roman" w:cs="Times New Roman"/>
          <w:b/>
          <w:iCs/>
          <w:kern w:val="22"/>
          <w:sz w:val="24"/>
          <w:szCs w:val="24"/>
          <w:lang w:val="fr-CA"/>
        </w:rPr>
        <w:t>Objectif 2 de la Stratégie mondiale pour la conservation des plantes : Dans la mesure du possible, une évaluation du statut de conservation de toutes les espèces de plantes connues, dans le but de guider les actions de conservation</w:t>
      </w:r>
    </w:p>
    <w:p w14:paraId="0CC53B28" w14:textId="77777777" w:rsidR="009C0565" w:rsidRPr="00577CDE"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57B3637" w14:textId="108665B8" w:rsidR="00FB09DC" w:rsidRDefault="001532E3" w:rsidP="00254C9C">
      <w:pPr>
        <w:autoSpaceDE w:val="0"/>
        <w:autoSpaceDN w:val="0"/>
        <w:adjustRightInd w:val="0"/>
        <w:spacing w:after="0" w:line="240" w:lineRule="auto"/>
        <w:jc w:val="both"/>
        <w:rPr>
          <w:rFonts w:ascii="Times New Roman" w:hAnsi="Times New Roman" w:cs="Times New Roman"/>
          <w:i/>
          <w:color w:val="000000"/>
          <w:sz w:val="24"/>
          <w:szCs w:val="24"/>
        </w:rPr>
      </w:pPr>
      <w:r w:rsidRPr="00577CDE">
        <w:rPr>
          <w:rFonts w:ascii="Times New Roman" w:hAnsi="Times New Roman" w:cs="Times New Roman"/>
          <w:sz w:val="24"/>
          <w:szCs w:val="24"/>
        </w:rPr>
        <w:t>Au total</w:t>
      </w:r>
      <w:r w:rsidR="00C8758E">
        <w:rPr>
          <w:rFonts w:ascii="Times New Roman" w:hAnsi="Times New Roman" w:cs="Times New Roman"/>
          <w:sz w:val="24"/>
          <w:szCs w:val="24"/>
        </w:rPr>
        <w:t>,</w:t>
      </w:r>
      <w:r w:rsidR="004778A7">
        <w:rPr>
          <w:rFonts w:ascii="Times New Roman" w:hAnsi="Times New Roman" w:cs="Times New Roman"/>
          <w:sz w:val="24"/>
          <w:szCs w:val="24"/>
        </w:rPr>
        <w:t xml:space="preserve"> </w:t>
      </w:r>
      <w:r w:rsidRPr="00577CDE">
        <w:rPr>
          <w:rFonts w:ascii="Times New Roman" w:hAnsi="Times New Roman" w:cs="Times New Roman"/>
          <w:sz w:val="24"/>
          <w:szCs w:val="24"/>
        </w:rPr>
        <w:t>3003</w:t>
      </w:r>
      <w:r w:rsidR="00FB09DC" w:rsidRPr="00577CDE">
        <w:rPr>
          <w:rFonts w:ascii="Times New Roman" w:hAnsi="Times New Roman" w:cs="Times New Roman"/>
          <w:sz w:val="24"/>
          <w:szCs w:val="24"/>
        </w:rPr>
        <w:t xml:space="preserve"> espèces recensées au Togo</w:t>
      </w:r>
      <w:r w:rsidRPr="00577CDE">
        <w:rPr>
          <w:rFonts w:ascii="Times New Roman" w:hAnsi="Times New Roman" w:cs="Times New Roman"/>
          <w:sz w:val="24"/>
          <w:szCs w:val="24"/>
        </w:rPr>
        <w:t xml:space="preserve"> appartenant aux Angiospermes, Gymnospermes et Pteridophytes ont </w:t>
      </w:r>
      <w:r w:rsidRPr="00577CDE">
        <w:rPr>
          <w:rFonts w:ascii="Times New Roman" w:hAnsi="Times New Roman" w:cs="Times New Roman"/>
          <w:iCs/>
          <w:sz w:val="24"/>
          <w:szCs w:val="24"/>
          <w:lang w:val="fr-CA"/>
        </w:rPr>
        <w:t>subi une évaluation de leur éta</w:t>
      </w:r>
      <w:r w:rsidR="00C8758E">
        <w:rPr>
          <w:rFonts w:ascii="Times New Roman" w:hAnsi="Times New Roman" w:cs="Times New Roman"/>
          <w:iCs/>
          <w:sz w:val="24"/>
          <w:szCs w:val="24"/>
          <w:lang w:val="fr-CA"/>
        </w:rPr>
        <w:t>t de conservation au titre des c</w:t>
      </w:r>
      <w:r w:rsidRPr="00577CDE">
        <w:rPr>
          <w:rFonts w:ascii="Times New Roman" w:hAnsi="Times New Roman" w:cs="Times New Roman"/>
          <w:iCs/>
          <w:sz w:val="24"/>
          <w:szCs w:val="24"/>
          <w:lang w:val="fr-CA"/>
        </w:rPr>
        <w:t>atégories et critères 3.1 de l’UICN (</w:t>
      </w:r>
      <w:r w:rsidRPr="00577CDE">
        <w:rPr>
          <w:rFonts w:ascii="Times New Roman" w:hAnsi="Times New Roman" w:cs="Times New Roman"/>
          <w:sz w:val="24"/>
          <w:szCs w:val="24"/>
        </w:rPr>
        <w:t>U</w:t>
      </w:r>
      <w:r w:rsidR="007D1035">
        <w:rPr>
          <w:rFonts w:ascii="Times New Roman" w:hAnsi="Times New Roman" w:cs="Times New Roman"/>
          <w:sz w:val="24"/>
          <w:szCs w:val="24"/>
        </w:rPr>
        <w:t>I</w:t>
      </w:r>
      <w:r w:rsidRPr="00577CDE">
        <w:rPr>
          <w:rFonts w:ascii="Times New Roman" w:hAnsi="Times New Roman" w:cs="Times New Roman"/>
          <w:sz w:val="24"/>
          <w:szCs w:val="24"/>
        </w:rPr>
        <w:t xml:space="preserve">CN, </w:t>
      </w:r>
      <w:r w:rsidR="00FB09DC" w:rsidRPr="00577CDE">
        <w:rPr>
          <w:rFonts w:ascii="Times New Roman" w:hAnsi="Times New Roman" w:cs="Times New Roman"/>
          <w:sz w:val="24"/>
          <w:szCs w:val="24"/>
        </w:rPr>
        <w:t xml:space="preserve">2001) (Figure </w:t>
      </w:r>
      <w:r w:rsidR="005C72D2">
        <w:rPr>
          <w:rFonts w:ascii="Times New Roman" w:hAnsi="Times New Roman" w:cs="Times New Roman"/>
          <w:sz w:val="24"/>
          <w:szCs w:val="24"/>
        </w:rPr>
        <w:t>1</w:t>
      </w:r>
      <w:r w:rsidR="00CA0AD4">
        <w:rPr>
          <w:rFonts w:ascii="Times New Roman" w:hAnsi="Times New Roman" w:cs="Times New Roman"/>
          <w:sz w:val="24"/>
          <w:szCs w:val="24"/>
        </w:rPr>
        <w:t>4</w:t>
      </w:r>
      <w:r w:rsidR="00FB09DC" w:rsidRPr="00577CDE">
        <w:rPr>
          <w:rFonts w:ascii="Times New Roman" w:hAnsi="Times New Roman" w:cs="Times New Roman"/>
          <w:sz w:val="24"/>
          <w:szCs w:val="24"/>
        </w:rPr>
        <w:t>). Selon leur statut, 90% des espèces présentes au Togo n’ont jamais été évalué</w:t>
      </w:r>
      <w:r w:rsidR="00C8758E">
        <w:rPr>
          <w:rFonts w:ascii="Times New Roman" w:hAnsi="Times New Roman" w:cs="Times New Roman"/>
          <w:sz w:val="24"/>
          <w:szCs w:val="24"/>
        </w:rPr>
        <w:t>es</w:t>
      </w:r>
      <w:r w:rsidR="00FB09DC" w:rsidRPr="00577CDE">
        <w:rPr>
          <w:rFonts w:ascii="Times New Roman" w:hAnsi="Times New Roman" w:cs="Times New Roman"/>
          <w:sz w:val="24"/>
          <w:szCs w:val="24"/>
        </w:rPr>
        <w:t xml:space="preserve"> par l’U</w:t>
      </w:r>
      <w:r w:rsidR="007D1035" w:rsidRPr="00577CDE">
        <w:rPr>
          <w:rFonts w:ascii="Times New Roman" w:hAnsi="Times New Roman" w:cs="Times New Roman"/>
          <w:sz w:val="24"/>
          <w:szCs w:val="24"/>
        </w:rPr>
        <w:t>I</w:t>
      </w:r>
      <w:r w:rsidR="00FB09DC" w:rsidRPr="00577CDE">
        <w:rPr>
          <w:rFonts w:ascii="Times New Roman" w:hAnsi="Times New Roman" w:cs="Times New Roman"/>
          <w:sz w:val="24"/>
          <w:szCs w:val="24"/>
        </w:rPr>
        <w:t xml:space="preserve">CN (soit 2694 espèces). Les données sont inexistantes pour 2,4% des espèces (soit 72 espèces au total). En outre, les </w:t>
      </w:r>
      <w:r w:rsidRPr="00577CDE">
        <w:rPr>
          <w:rFonts w:ascii="Times New Roman" w:hAnsi="Times New Roman" w:cs="Times New Roman"/>
          <w:sz w:val="24"/>
          <w:szCs w:val="24"/>
        </w:rPr>
        <w:t>résultats</w:t>
      </w:r>
      <w:r w:rsidR="00FB09DC" w:rsidRPr="00577CDE">
        <w:rPr>
          <w:rFonts w:ascii="Times New Roman" w:hAnsi="Times New Roman" w:cs="Times New Roman"/>
          <w:sz w:val="24"/>
          <w:szCs w:val="24"/>
        </w:rPr>
        <w:t xml:space="preserve"> montrent que 1,2% (soit 35 espèces) sont vulnérables. Ce sont des espèces qui peuvent être en danger dans l’avenir si la pression actuelle sur les écosystèmes est maintenue. Il s’agit des espèces dont les populations diminuent continuellement à cause des diverses formes d’exploitations, de la destruction massive des habitats ou à cause d’autres phénomènes environnementaux. Il s’agit aussi des espèces dont les populations ont été sérieusement décimées et qui ne bénéficient actuellement d’aucune mesure de protection, par exemple </w:t>
      </w:r>
      <w:r w:rsidR="00FB09DC" w:rsidRPr="00577CDE">
        <w:rPr>
          <w:rFonts w:ascii="Times New Roman" w:hAnsi="Times New Roman" w:cs="Times New Roman"/>
          <w:i/>
          <w:color w:val="000000"/>
          <w:sz w:val="24"/>
          <w:szCs w:val="24"/>
        </w:rPr>
        <w:t>Afzelia africana</w:t>
      </w:r>
      <w:r w:rsidR="00FB09DC" w:rsidRPr="00577CDE">
        <w:rPr>
          <w:rFonts w:ascii="Times New Roman" w:hAnsi="Times New Roman" w:cs="Times New Roman"/>
          <w:color w:val="000000"/>
          <w:sz w:val="24"/>
          <w:szCs w:val="24"/>
        </w:rPr>
        <w:t xml:space="preserve">, </w:t>
      </w:r>
      <w:r w:rsidR="00FB09DC" w:rsidRPr="00577CDE">
        <w:rPr>
          <w:rFonts w:ascii="Times New Roman" w:hAnsi="Times New Roman" w:cs="Times New Roman"/>
          <w:i/>
          <w:color w:val="000000"/>
          <w:sz w:val="24"/>
          <w:szCs w:val="24"/>
        </w:rPr>
        <w:t>Cordia platythyrsa, Milicia exelsa, Mitragyna inermis, Nauclea diderrichii, Nesogordenia papaverifera, Pterygota macrocarpa</w:t>
      </w:r>
      <w:r w:rsidRPr="00577CDE">
        <w:rPr>
          <w:rFonts w:ascii="Times New Roman" w:hAnsi="Times New Roman" w:cs="Times New Roman"/>
          <w:i/>
          <w:color w:val="000000"/>
          <w:sz w:val="24"/>
          <w:szCs w:val="24"/>
        </w:rPr>
        <w:t>, Pterocarpus erinaceus</w:t>
      </w:r>
      <w:r w:rsidR="00C8758E">
        <w:rPr>
          <w:rFonts w:ascii="Times New Roman" w:hAnsi="Times New Roman" w:cs="Times New Roman"/>
          <w:i/>
          <w:color w:val="000000"/>
          <w:sz w:val="24"/>
          <w:szCs w:val="24"/>
        </w:rPr>
        <w:t>, etc.</w:t>
      </w:r>
    </w:p>
    <w:p w14:paraId="62DB96CC" w14:textId="77777777" w:rsidR="007475D1" w:rsidRDefault="007475D1" w:rsidP="00254C9C">
      <w:pPr>
        <w:autoSpaceDE w:val="0"/>
        <w:autoSpaceDN w:val="0"/>
        <w:adjustRightInd w:val="0"/>
        <w:spacing w:after="0" w:line="240" w:lineRule="auto"/>
        <w:jc w:val="both"/>
        <w:rPr>
          <w:rFonts w:ascii="Times New Roman" w:hAnsi="Times New Roman" w:cs="Times New Roman"/>
          <w:i/>
          <w:color w:val="000000"/>
          <w:sz w:val="24"/>
          <w:szCs w:val="24"/>
        </w:rPr>
      </w:pPr>
    </w:p>
    <w:p w14:paraId="1D350081" w14:textId="468B43DC" w:rsidR="009C0565" w:rsidRPr="006309FA"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6309FA">
        <w:rPr>
          <w:rFonts w:ascii="Times New Roman" w:hAnsi="Times New Roman" w:cs="Times New Roman"/>
          <w:b/>
          <w:iCs/>
          <w:kern w:val="22"/>
          <w:sz w:val="24"/>
          <w:szCs w:val="24"/>
          <w:lang w:val="fr-CA"/>
        </w:rPr>
        <w:t>Objectif 3 de la Stratégie mondiale pour</w:t>
      </w:r>
      <w:r w:rsidR="00C8758E">
        <w:rPr>
          <w:rFonts w:ascii="Times New Roman" w:hAnsi="Times New Roman" w:cs="Times New Roman"/>
          <w:b/>
          <w:iCs/>
          <w:kern w:val="22"/>
          <w:sz w:val="24"/>
          <w:szCs w:val="24"/>
          <w:lang w:val="fr-CA"/>
        </w:rPr>
        <w:t xml:space="preserve"> la conservation des plantes : d</w:t>
      </w:r>
      <w:r w:rsidRPr="006309FA">
        <w:rPr>
          <w:rFonts w:ascii="Times New Roman" w:hAnsi="Times New Roman" w:cs="Times New Roman"/>
          <w:b/>
          <w:iCs/>
          <w:kern w:val="22"/>
          <w:sz w:val="24"/>
          <w:szCs w:val="24"/>
          <w:lang w:val="fr-CA"/>
        </w:rPr>
        <w:t>es données informatives, de recherche et d’autres données connexes ainsi que des méthodes nécessaires pour mettre en œuvre la stratégie développée et partagée</w:t>
      </w:r>
    </w:p>
    <w:p w14:paraId="15611A06" w14:textId="77777777" w:rsidR="002B6BA5" w:rsidRPr="006309FA" w:rsidRDefault="002B6BA5" w:rsidP="00254C9C">
      <w:pPr>
        <w:spacing w:after="0" w:line="240" w:lineRule="auto"/>
        <w:jc w:val="both"/>
        <w:rPr>
          <w:rFonts w:ascii="Times New Roman" w:hAnsi="Times New Roman" w:cs="Times New Roman"/>
          <w:i/>
          <w:iCs/>
          <w:sz w:val="24"/>
          <w:szCs w:val="24"/>
          <w:lang w:val="fr-CA"/>
        </w:rPr>
      </w:pPr>
    </w:p>
    <w:p w14:paraId="493024C2" w14:textId="27A976B4" w:rsidR="005C72D2" w:rsidRPr="006309FA" w:rsidRDefault="005C72D2" w:rsidP="00254C9C">
      <w:pPr>
        <w:spacing w:after="0" w:line="240" w:lineRule="auto"/>
        <w:jc w:val="both"/>
        <w:rPr>
          <w:rFonts w:ascii="Times New Roman" w:hAnsi="Times New Roman" w:cs="Times New Roman"/>
          <w:sz w:val="24"/>
          <w:szCs w:val="24"/>
        </w:rPr>
      </w:pPr>
      <w:r w:rsidRPr="006309FA">
        <w:rPr>
          <w:rFonts w:ascii="Times New Roman" w:hAnsi="Times New Roman" w:cs="Times New Roman"/>
          <w:sz w:val="24"/>
          <w:szCs w:val="24"/>
        </w:rPr>
        <w:t>La période coloniale (1884-1960) a connu une grande activité dans la connaissance de la flore et de la végétation du Togo, grâce à des administrateurs civils, ethnologues, forestiers, agronomes, médecins</w:t>
      </w:r>
      <w:r w:rsidR="00C8758E">
        <w:rPr>
          <w:rFonts w:ascii="Times New Roman" w:hAnsi="Times New Roman" w:cs="Times New Roman"/>
          <w:sz w:val="24"/>
          <w:szCs w:val="24"/>
        </w:rPr>
        <w:t>,</w:t>
      </w:r>
      <w:r w:rsidRPr="006309FA">
        <w:rPr>
          <w:rFonts w:ascii="Times New Roman" w:hAnsi="Times New Roman" w:cs="Times New Roman"/>
          <w:sz w:val="24"/>
          <w:szCs w:val="24"/>
        </w:rPr>
        <w:t xml:space="preserve"> etc. Mais</w:t>
      </w:r>
      <w:r w:rsidR="00C8758E">
        <w:rPr>
          <w:rFonts w:ascii="Times New Roman" w:hAnsi="Times New Roman" w:cs="Times New Roman"/>
          <w:sz w:val="24"/>
          <w:szCs w:val="24"/>
        </w:rPr>
        <w:t>,</w:t>
      </w:r>
      <w:r w:rsidRPr="006309FA">
        <w:rPr>
          <w:rFonts w:ascii="Times New Roman" w:hAnsi="Times New Roman" w:cs="Times New Roman"/>
          <w:sz w:val="24"/>
          <w:szCs w:val="24"/>
        </w:rPr>
        <w:t xml:space="preserve"> les prospections botaniques n’ont véritablement démarré qu’avec la création de l’Université de Lomé en 1970. Les récoltes botaniques d’Akpagana &amp; Guelly (1994) ont ajouté 235 citations à la flore du Togo (Brunel et </w:t>
      </w:r>
      <w:r w:rsidRPr="00C8758E">
        <w:rPr>
          <w:rFonts w:ascii="Times New Roman" w:hAnsi="Times New Roman" w:cs="Times New Roman"/>
          <w:i/>
          <w:sz w:val="24"/>
          <w:szCs w:val="24"/>
        </w:rPr>
        <w:t>al</w:t>
      </w:r>
      <w:r w:rsidRPr="006309FA">
        <w:rPr>
          <w:rFonts w:ascii="Times New Roman" w:hAnsi="Times New Roman" w:cs="Times New Roman"/>
          <w:sz w:val="24"/>
          <w:szCs w:val="24"/>
        </w:rPr>
        <w:t>., 1984). Les travaux de Batawila (1997), Radji (1997, 2010), Kokou (1998), Kokou &amp;</w:t>
      </w:r>
      <w:r w:rsidRPr="006309FA">
        <w:rPr>
          <w:rFonts w:ascii="Times New Roman" w:hAnsi="Times New Roman" w:cs="Times New Roman"/>
          <w:i/>
          <w:sz w:val="24"/>
          <w:szCs w:val="24"/>
        </w:rPr>
        <w:t>al</w:t>
      </w:r>
      <w:r w:rsidRPr="006309FA">
        <w:rPr>
          <w:rFonts w:ascii="Times New Roman" w:hAnsi="Times New Roman" w:cs="Times New Roman"/>
          <w:sz w:val="24"/>
          <w:szCs w:val="24"/>
        </w:rPr>
        <w:t xml:space="preserve">., (1999) ; Akpagana &amp; Gumedzoe (2001) et Batawila </w:t>
      </w:r>
      <w:r w:rsidRPr="006309FA">
        <w:rPr>
          <w:rFonts w:ascii="Times New Roman" w:hAnsi="Times New Roman" w:cs="Times New Roman"/>
          <w:i/>
          <w:sz w:val="24"/>
          <w:szCs w:val="24"/>
        </w:rPr>
        <w:t>et al</w:t>
      </w:r>
      <w:r w:rsidRPr="006309FA">
        <w:rPr>
          <w:rFonts w:ascii="Times New Roman" w:hAnsi="Times New Roman" w:cs="Times New Roman"/>
          <w:sz w:val="24"/>
          <w:szCs w:val="24"/>
        </w:rPr>
        <w:t xml:space="preserve">., (2002) ont permis d’améliorer encore le recensement de la flore spontanée et horticole du Togo. </w:t>
      </w:r>
      <w:r w:rsidRPr="006309FA">
        <w:rPr>
          <w:rFonts w:ascii="Times New Roman" w:hAnsi="Times New Roman" w:cs="Times New Roman"/>
          <w:snapToGrid w:val="0"/>
          <w:sz w:val="24"/>
          <w:szCs w:val="24"/>
        </w:rPr>
        <w:t xml:space="preserve">Les espèces ont été ainsi collectées sur l’ensemble du territoire togolais par plusieurs auteurs depuis les années 1970 (Figure </w:t>
      </w:r>
      <w:r w:rsidR="004B51B8">
        <w:rPr>
          <w:rFonts w:ascii="Times New Roman" w:hAnsi="Times New Roman" w:cs="Times New Roman"/>
          <w:snapToGrid w:val="0"/>
          <w:sz w:val="24"/>
          <w:szCs w:val="24"/>
        </w:rPr>
        <w:t>16</w:t>
      </w:r>
      <w:r w:rsidRPr="006309FA">
        <w:rPr>
          <w:rFonts w:ascii="Times New Roman" w:hAnsi="Times New Roman" w:cs="Times New Roman"/>
          <w:snapToGrid w:val="0"/>
          <w:sz w:val="24"/>
          <w:szCs w:val="24"/>
        </w:rPr>
        <w:t xml:space="preserve">). </w:t>
      </w:r>
      <w:r w:rsidRPr="006309FA">
        <w:rPr>
          <w:rFonts w:ascii="Times New Roman" w:eastAsia="Times New Roman" w:hAnsi="Times New Roman" w:cs="Times New Roman"/>
          <w:color w:val="000000"/>
          <w:sz w:val="24"/>
          <w:szCs w:val="24"/>
        </w:rPr>
        <w:t xml:space="preserve">Selon les parts d’herbier disponibles, la région des plateaux se place en tête avec plus de 37% des zones écologiques les mieux explorées tandis que la région de la Kara est la moins explorée (Figure </w:t>
      </w:r>
      <w:r w:rsidR="004B51B8">
        <w:rPr>
          <w:rFonts w:ascii="Times New Roman" w:eastAsia="Times New Roman" w:hAnsi="Times New Roman" w:cs="Times New Roman"/>
          <w:color w:val="000000"/>
          <w:sz w:val="24"/>
          <w:szCs w:val="24"/>
        </w:rPr>
        <w:t>17</w:t>
      </w:r>
      <w:r w:rsidRPr="006309FA">
        <w:rPr>
          <w:rFonts w:ascii="Times New Roman" w:eastAsia="Times New Roman" w:hAnsi="Times New Roman" w:cs="Times New Roman"/>
          <w:color w:val="000000"/>
          <w:sz w:val="24"/>
          <w:szCs w:val="24"/>
        </w:rPr>
        <w:t xml:space="preserve">). </w:t>
      </w:r>
      <w:r w:rsidRPr="006309FA">
        <w:rPr>
          <w:rFonts w:ascii="Times New Roman" w:hAnsi="Times New Roman" w:cs="Times New Roman"/>
          <w:sz w:val="24"/>
          <w:szCs w:val="24"/>
        </w:rPr>
        <w:t xml:space="preserve">Mais depuis 2010, les investigations </w:t>
      </w:r>
      <w:r w:rsidR="00C8758E">
        <w:rPr>
          <w:rFonts w:ascii="Times New Roman" w:hAnsi="Times New Roman" w:cs="Times New Roman"/>
          <w:sz w:val="24"/>
          <w:szCs w:val="24"/>
        </w:rPr>
        <w:t xml:space="preserve">sur </w:t>
      </w:r>
      <w:r w:rsidRPr="006309FA">
        <w:rPr>
          <w:rFonts w:ascii="Times New Roman" w:hAnsi="Times New Roman" w:cs="Times New Roman"/>
          <w:sz w:val="24"/>
          <w:szCs w:val="24"/>
        </w:rPr>
        <w:t>des phanérogames se sont arrêtées et depuis lors aucune nouvelle récolte n’a fait l’objet d’introduction dans l’Herbier de l’Université de Lomé. Les efforts actuels sont concentrés sur les Algues, les Briophytes, les Fungi et les Ptéridophytes.</w:t>
      </w:r>
    </w:p>
    <w:p w14:paraId="56FEF261" w14:textId="77777777" w:rsidR="005C72D2" w:rsidRPr="00072A44" w:rsidRDefault="005C72D2" w:rsidP="00254C9C">
      <w:pPr>
        <w:spacing w:after="0" w:line="240" w:lineRule="auto"/>
        <w:jc w:val="both"/>
        <w:rPr>
          <w:rFonts w:ascii="Times New Roman" w:hAnsi="Times New Roman" w:cs="Times New Roman"/>
          <w:sz w:val="24"/>
          <w:szCs w:val="24"/>
        </w:rPr>
      </w:pPr>
    </w:p>
    <w:p w14:paraId="0DA54D28" w14:textId="2B3B9BE0" w:rsidR="005C72D2" w:rsidRPr="00A554A0" w:rsidRDefault="006309FA" w:rsidP="00254C9C">
      <w:pPr>
        <w:spacing w:after="0" w:line="240" w:lineRule="auto"/>
        <w:jc w:val="both"/>
        <w:rPr>
          <w:rFonts w:ascii="Times New Roman" w:hAnsi="Times New Roman" w:cs="Times New Roman"/>
          <w:iCs/>
          <w:sz w:val="24"/>
          <w:szCs w:val="24"/>
          <w:lang w:val="fr-CA"/>
        </w:rPr>
      </w:pPr>
      <w:r w:rsidRPr="00072A44">
        <w:rPr>
          <w:rFonts w:ascii="Times New Roman" w:hAnsi="Times New Roman" w:cs="Times New Roman"/>
          <w:sz w:val="24"/>
          <w:szCs w:val="24"/>
        </w:rPr>
        <w:t>Par rapport au</w:t>
      </w:r>
      <w:r w:rsidR="00C8758E">
        <w:rPr>
          <w:rFonts w:ascii="Times New Roman" w:hAnsi="Times New Roman" w:cs="Times New Roman"/>
          <w:sz w:val="24"/>
          <w:szCs w:val="24"/>
        </w:rPr>
        <w:t>x</w:t>
      </w:r>
      <w:r w:rsidRPr="00072A44">
        <w:rPr>
          <w:rFonts w:ascii="Times New Roman" w:hAnsi="Times New Roman" w:cs="Times New Roman"/>
          <w:sz w:val="24"/>
          <w:szCs w:val="24"/>
        </w:rPr>
        <w:t xml:space="preserve"> Angiospermes, au</w:t>
      </w:r>
      <w:r w:rsidR="005C72D2" w:rsidRPr="00072A44">
        <w:rPr>
          <w:rFonts w:ascii="Times New Roman" w:hAnsi="Times New Roman" w:cs="Times New Roman"/>
          <w:sz w:val="24"/>
          <w:szCs w:val="24"/>
        </w:rPr>
        <w:t xml:space="preserve"> total 12878 parts d’herbier sont disponibles avec 97% des récoltes issues du Togo. </w:t>
      </w:r>
      <w:r w:rsidR="00072A44" w:rsidRPr="00072A44">
        <w:rPr>
          <w:rFonts w:ascii="Times New Roman" w:hAnsi="Times New Roman" w:cs="Times New Roman"/>
          <w:iCs/>
          <w:sz w:val="24"/>
          <w:szCs w:val="24"/>
          <w:lang w:val="fr-CA"/>
        </w:rPr>
        <w:t xml:space="preserve">Toutes ces parts d’herbier ont été numérisées. </w:t>
      </w:r>
      <w:r w:rsidR="005C72D2" w:rsidRPr="00072A44">
        <w:rPr>
          <w:rFonts w:ascii="Times New Roman" w:eastAsia="Times New Roman" w:hAnsi="Times New Roman" w:cs="Times New Roman"/>
          <w:sz w:val="24"/>
          <w:szCs w:val="24"/>
          <w:lang w:eastAsia="fr-FR"/>
        </w:rPr>
        <w:t xml:space="preserve">Les Fabaceae sont les plus représentées avec 15% (environ 1519 parts d’herbier). Viennent ensuite les </w:t>
      </w:r>
      <w:r w:rsidRPr="00072A44">
        <w:rPr>
          <w:rFonts w:ascii="Times New Roman" w:eastAsia="Times New Roman" w:hAnsi="Times New Roman" w:cs="Times New Roman"/>
          <w:sz w:val="24"/>
          <w:szCs w:val="24"/>
          <w:lang w:eastAsia="fr-FR"/>
        </w:rPr>
        <w:t>Poac</w:t>
      </w:r>
      <w:r w:rsidR="005C72D2" w:rsidRPr="00072A44">
        <w:rPr>
          <w:rFonts w:ascii="Times New Roman" w:eastAsia="Times New Roman" w:hAnsi="Times New Roman" w:cs="Times New Roman"/>
          <w:sz w:val="24"/>
          <w:szCs w:val="24"/>
          <w:lang w:eastAsia="fr-FR"/>
        </w:rPr>
        <w:t xml:space="preserve">eae (8%), les Euphorbiaceae et les Rubiaceae. Plusieurs petites familles représentent moins de 1% des parts d’herbier. Il s’agit notamment des Agavaceae; </w:t>
      </w:r>
      <w:r w:rsidR="005C72D2" w:rsidRPr="00072A44">
        <w:rPr>
          <w:rFonts w:ascii="Times New Roman" w:eastAsia="Times New Roman" w:hAnsi="Times New Roman" w:cs="Times New Roman"/>
          <w:color w:val="000000"/>
          <w:sz w:val="24"/>
          <w:szCs w:val="24"/>
          <w:lang w:eastAsia="fr-FR"/>
        </w:rPr>
        <w:t xml:space="preserve">Aizoaceae; Alismataceae; Guttiferae, Arecaceae, Basellaceae, Bixaceae, Cannaceae et Casuarinaceae… </w:t>
      </w:r>
      <w:r w:rsidR="005C72D2" w:rsidRPr="00072A44">
        <w:rPr>
          <w:rFonts w:ascii="Times New Roman" w:hAnsi="Times New Roman" w:cs="Times New Roman"/>
          <w:sz w:val="24"/>
          <w:szCs w:val="24"/>
        </w:rPr>
        <w:t xml:space="preserve">Sur l’ensemble des parts d’herbier, plus de 28% sont en mauvais état (soit les spécimens sont réduits à un organe généralement la feuille ou le pédoncule floral, soit ils sont attaqués par des champignons ou </w:t>
      </w:r>
      <w:r w:rsidR="005C72D2" w:rsidRPr="00A554A0">
        <w:rPr>
          <w:rFonts w:ascii="Times New Roman" w:hAnsi="Times New Roman" w:cs="Times New Roman"/>
          <w:sz w:val="24"/>
          <w:szCs w:val="24"/>
        </w:rPr>
        <w:t>des insectes).</w:t>
      </w:r>
    </w:p>
    <w:p w14:paraId="198DA9D0" w14:textId="77777777" w:rsidR="005C72D2" w:rsidRPr="00A554A0" w:rsidRDefault="005C72D2" w:rsidP="00254C9C">
      <w:pPr>
        <w:spacing w:after="0" w:line="240" w:lineRule="auto"/>
        <w:jc w:val="both"/>
        <w:rPr>
          <w:rFonts w:ascii="Times New Roman" w:hAnsi="Times New Roman" w:cs="Times New Roman"/>
          <w:b/>
          <w:sz w:val="24"/>
          <w:szCs w:val="24"/>
        </w:rPr>
      </w:pPr>
    </w:p>
    <w:p w14:paraId="6AB83F77" w14:textId="77777777" w:rsidR="005C72D2" w:rsidRPr="00A554A0" w:rsidRDefault="005C72D2" w:rsidP="00254C9C">
      <w:pPr>
        <w:keepNext/>
        <w:spacing w:after="0" w:line="240" w:lineRule="auto"/>
        <w:contextualSpacing/>
        <w:jc w:val="center"/>
        <w:rPr>
          <w:rFonts w:ascii="Times New Roman" w:hAnsi="Times New Roman" w:cs="Times New Roman"/>
          <w:b/>
          <w:noProof/>
          <w:sz w:val="24"/>
          <w:szCs w:val="24"/>
          <w:lang w:eastAsia="fr-FR"/>
        </w:rPr>
      </w:pPr>
      <w:r w:rsidRPr="00A554A0">
        <w:rPr>
          <w:rFonts w:ascii="Times New Roman" w:hAnsi="Times New Roman" w:cs="Times New Roman"/>
          <w:b/>
          <w:noProof/>
          <w:sz w:val="24"/>
          <w:szCs w:val="24"/>
          <w:lang w:eastAsia="fr-FR"/>
        </w:rPr>
        <w:drawing>
          <wp:inline distT="0" distB="0" distL="0" distR="0" wp14:anchorId="34DA2035" wp14:editId="2F1266F9">
            <wp:extent cx="4609088" cy="7106228"/>
            <wp:effectExtent l="38100" t="19050" r="20062" b="18472"/>
            <wp:docPr id="3" name="Image 1" descr="H:\spec\sp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spec\spec.png"/>
                    <pic:cNvPicPr>
                      <a:picLocks noChangeAspect="1" noChangeArrowheads="1"/>
                    </pic:cNvPicPr>
                  </pic:nvPicPr>
                  <pic:blipFill>
                    <a:blip r:embed="rId43" cstate="email">
                      <a:extLst>
                        <a:ext uri="{28A0092B-C50C-407E-A947-70E740481C1C}">
                          <a14:useLocalDpi xmlns:a14="http://schemas.microsoft.com/office/drawing/2010/main"/>
                        </a:ext>
                      </a:extLst>
                    </a:blip>
                    <a:srcRect l="17862" t="2327" r="1170" b="1422"/>
                    <a:stretch>
                      <a:fillRect/>
                    </a:stretch>
                  </pic:blipFill>
                  <pic:spPr bwMode="auto">
                    <a:xfrm>
                      <a:off x="0" y="0"/>
                      <a:ext cx="4607872" cy="7104353"/>
                    </a:xfrm>
                    <a:prstGeom prst="rect">
                      <a:avLst/>
                    </a:prstGeom>
                    <a:noFill/>
                    <a:ln w="6350" cmpd="sng">
                      <a:solidFill>
                        <a:srgbClr val="000000"/>
                      </a:solidFill>
                      <a:miter lim="800000"/>
                      <a:headEnd/>
                      <a:tailEnd/>
                    </a:ln>
                    <a:effectLst/>
                  </pic:spPr>
                </pic:pic>
              </a:graphicData>
            </a:graphic>
          </wp:inline>
        </w:drawing>
      </w:r>
    </w:p>
    <w:p w14:paraId="3967AD32" w14:textId="77777777" w:rsidR="005C72D2" w:rsidRPr="00A554A0" w:rsidRDefault="005C72D2" w:rsidP="00254C9C">
      <w:pPr>
        <w:keepNext/>
        <w:spacing w:after="0" w:line="240" w:lineRule="auto"/>
        <w:contextualSpacing/>
        <w:jc w:val="center"/>
        <w:rPr>
          <w:rFonts w:ascii="Times New Roman" w:hAnsi="Times New Roman" w:cs="Times New Roman"/>
        </w:rPr>
      </w:pPr>
    </w:p>
    <w:p w14:paraId="596C1F65" w14:textId="2CA63CA1" w:rsidR="005C72D2" w:rsidRPr="004B51B8" w:rsidRDefault="004B51B8" w:rsidP="00480905">
      <w:pPr>
        <w:pStyle w:val="Lgende"/>
        <w:spacing w:after="0"/>
        <w:jc w:val="center"/>
        <w:rPr>
          <w:rFonts w:ascii="Times New Roman" w:eastAsia="Times New Roman" w:hAnsi="Times New Roman"/>
          <w:color w:val="000000"/>
          <w:sz w:val="24"/>
          <w:szCs w:val="24"/>
        </w:rPr>
      </w:pPr>
      <w:bookmarkStart w:id="78" w:name="_Toc533413505"/>
      <w:r w:rsidRPr="004B51B8">
        <w:rPr>
          <w:rFonts w:ascii="Times New Roman" w:hAnsi="Times New Roman"/>
          <w:sz w:val="24"/>
          <w:szCs w:val="24"/>
        </w:rPr>
        <w:t xml:space="preserve">Figure </w:t>
      </w:r>
      <w:r w:rsidR="00620BEA" w:rsidRPr="004B51B8">
        <w:rPr>
          <w:rFonts w:ascii="Times New Roman" w:hAnsi="Times New Roman"/>
          <w:sz w:val="24"/>
          <w:szCs w:val="24"/>
        </w:rPr>
        <w:fldChar w:fldCharType="begin"/>
      </w:r>
      <w:r w:rsidRPr="004B51B8">
        <w:rPr>
          <w:rFonts w:ascii="Times New Roman" w:hAnsi="Times New Roman"/>
          <w:sz w:val="24"/>
          <w:szCs w:val="24"/>
        </w:rPr>
        <w:instrText xml:space="preserve"> SEQ Figure \* ARABIC </w:instrText>
      </w:r>
      <w:r w:rsidR="00620BEA" w:rsidRPr="004B51B8">
        <w:rPr>
          <w:rFonts w:ascii="Times New Roman" w:hAnsi="Times New Roman"/>
          <w:sz w:val="24"/>
          <w:szCs w:val="24"/>
        </w:rPr>
        <w:fldChar w:fldCharType="separate"/>
      </w:r>
      <w:r w:rsidR="00C47BFF">
        <w:rPr>
          <w:rFonts w:ascii="Times New Roman" w:hAnsi="Times New Roman"/>
          <w:noProof/>
          <w:sz w:val="24"/>
          <w:szCs w:val="24"/>
        </w:rPr>
        <w:t>17</w:t>
      </w:r>
      <w:r w:rsidR="00620BEA" w:rsidRPr="004B51B8">
        <w:rPr>
          <w:rFonts w:ascii="Times New Roman" w:hAnsi="Times New Roman"/>
          <w:sz w:val="24"/>
          <w:szCs w:val="24"/>
        </w:rPr>
        <w:fldChar w:fldCharType="end"/>
      </w:r>
      <w:r w:rsidRPr="004B51B8">
        <w:rPr>
          <w:rFonts w:ascii="Times New Roman" w:hAnsi="Times New Roman"/>
          <w:sz w:val="24"/>
          <w:szCs w:val="24"/>
        </w:rPr>
        <w:t>: Zones de récolte et d’observation des plantes au Togo</w:t>
      </w:r>
      <w:r w:rsidR="00056E29">
        <w:rPr>
          <w:rFonts w:ascii="Times New Roman" w:hAnsi="Times New Roman"/>
          <w:sz w:val="24"/>
          <w:szCs w:val="24"/>
        </w:rPr>
        <w:t xml:space="preserve"> (</w:t>
      </w:r>
      <w:r w:rsidR="00C8758E">
        <w:rPr>
          <w:rFonts w:ascii="Times New Roman" w:hAnsi="Times New Roman"/>
          <w:sz w:val="24"/>
          <w:szCs w:val="24"/>
        </w:rPr>
        <w:t>s</w:t>
      </w:r>
      <w:r w:rsidR="00056E29">
        <w:rPr>
          <w:rFonts w:ascii="Times New Roman" w:hAnsi="Times New Roman"/>
          <w:sz w:val="24"/>
          <w:szCs w:val="24"/>
        </w:rPr>
        <w:t>ource</w:t>
      </w:r>
      <w:r w:rsidR="00C8758E">
        <w:rPr>
          <w:rFonts w:ascii="Times New Roman" w:hAnsi="Times New Roman"/>
          <w:sz w:val="24"/>
          <w:szCs w:val="24"/>
        </w:rPr>
        <w:t> : c</w:t>
      </w:r>
      <w:r w:rsidR="00480905">
        <w:rPr>
          <w:rFonts w:ascii="Times New Roman" w:hAnsi="Times New Roman"/>
          <w:sz w:val="24"/>
          <w:szCs w:val="24"/>
        </w:rPr>
        <w:t>arte élaborée sur la base des données de GBIF-Togo</w:t>
      </w:r>
      <w:r w:rsidR="00056E29">
        <w:rPr>
          <w:rFonts w:ascii="Times New Roman" w:hAnsi="Times New Roman"/>
          <w:sz w:val="24"/>
          <w:szCs w:val="24"/>
        </w:rPr>
        <w:t>)</w:t>
      </w:r>
      <w:bookmarkEnd w:id="78"/>
    </w:p>
    <w:p w14:paraId="23FD436E" w14:textId="77777777" w:rsidR="005C72D2" w:rsidRDefault="005C72D2" w:rsidP="00254C9C">
      <w:pPr>
        <w:keepNext/>
        <w:spacing w:after="0" w:line="240" w:lineRule="auto"/>
        <w:jc w:val="center"/>
        <w:rPr>
          <w:rFonts w:ascii="Arial" w:eastAsia="Times New Roman" w:hAnsi="Arial" w:cs="Arial"/>
          <w:noProof/>
          <w:color w:val="000000"/>
          <w:sz w:val="24"/>
          <w:szCs w:val="24"/>
          <w:lang w:eastAsia="fr-FR"/>
        </w:rPr>
      </w:pPr>
      <w:r>
        <w:rPr>
          <w:rFonts w:ascii="Arial" w:eastAsia="Times New Roman" w:hAnsi="Arial" w:cs="Arial"/>
          <w:noProof/>
          <w:color w:val="000000"/>
          <w:sz w:val="24"/>
          <w:szCs w:val="24"/>
          <w:lang w:eastAsia="fr-FR"/>
        </w:rPr>
        <w:drawing>
          <wp:inline distT="0" distB="0" distL="0" distR="0" wp14:anchorId="70053080" wp14:editId="12229ABC">
            <wp:extent cx="3895725" cy="2447925"/>
            <wp:effectExtent l="19050" t="19050" r="28575" b="28575"/>
            <wp:docPr id="4"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44" cstate="email">
                      <a:extLst>
                        <a:ext uri="{28A0092B-C50C-407E-A947-70E740481C1C}">
                          <a14:useLocalDpi xmlns:a14="http://schemas.microsoft.com/office/drawing/2010/main"/>
                        </a:ext>
                      </a:extLst>
                    </a:blip>
                    <a:srcRect b="-79"/>
                    <a:stretch>
                      <a:fillRect/>
                    </a:stretch>
                  </pic:blipFill>
                  <pic:spPr bwMode="auto">
                    <a:xfrm>
                      <a:off x="0" y="0"/>
                      <a:ext cx="3895725" cy="2447925"/>
                    </a:xfrm>
                    <a:prstGeom prst="rect">
                      <a:avLst/>
                    </a:prstGeom>
                    <a:noFill/>
                    <a:ln w="6350" cmpd="sng">
                      <a:solidFill>
                        <a:srgbClr val="000000"/>
                      </a:solidFill>
                      <a:miter lim="800000"/>
                      <a:headEnd/>
                      <a:tailEnd/>
                    </a:ln>
                    <a:effectLst/>
                  </pic:spPr>
                </pic:pic>
              </a:graphicData>
            </a:graphic>
          </wp:inline>
        </w:drawing>
      </w:r>
    </w:p>
    <w:p w14:paraId="46108F5A" w14:textId="77777777" w:rsidR="005C72D2" w:rsidRPr="004777DC" w:rsidRDefault="005C72D2" w:rsidP="00254C9C">
      <w:pPr>
        <w:keepNext/>
        <w:spacing w:after="0" w:line="240" w:lineRule="auto"/>
        <w:jc w:val="center"/>
        <w:rPr>
          <w:rFonts w:ascii="Times New Roman" w:hAnsi="Times New Roman" w:cs="Times New Roman"/>
          <w:sz w:val="24"/>
          <w:szCs w:val="24"/>
        </w:rPr>
      </w:pPr>
    </w:p>
    <w:p w14:paraId="045858F9" w14:textId="1C2F4DBC" w:rsidR="00136BA5" w:rsidRPr="004B51B8" w:rsidRDefault="004B51B8" w:rsidP="004B51B8">
      <w:pPr>
        <w:pStyle w:val="Lgende"/>
        <w:rPr>
          <w:rFonts w:ascii="Times New Roman" w:hAnsi="Times New Roman"/>
          <w:bCs w:val="0"/>
          <w:iCs/>
          <w:sz w:val="24"/>
          <w:szCs w:val="24"/>
        </w:rPr>
      </w:pPr>
      <w:bookmarkStart w:id="79" w:name="_Toc533413506"/>
      <w:r w:rsidRPr="004B51B8">
        <w:rPr>
          <w:rFonts w:ascii="Times New Roman" w:hAnsi="Times New Roman"/>
          <w:sz w:val="24"/>
          <w:szCs w:val="24"/>
        </w:rPr>
        <w:t xml:space="preserve">Figure </w:t>
      </w:r>
      <w:r w:rsidR="00620BEA" w:rsidRPr="004B51B8">
        <w:rPr>
          <w:rFonts w:ascii="Times New Roman" w:hAnsi="Times New Roman"/>
          <w:sz w:val="24"/>
          <w:szCs w:val="24"/>
        </w:rPr>
        <w:fldChar w:fldCharType="begin"/>
      </w:r>
      <w:r w:rsidRPr="004B51B8">
        <w:rPr>
          <w:rFonts w:ascii="Times New Roman" w:hAnsi="Times New Roman"/>
          <w:sz w:val="24"/>
          <w:szCs w:val="24"/>
        </w:rPr>
        <w:instrText xml:space="preserve"> SEQ Figure \* ARABIC </w:instrText>
      </w:r>
      <w:r w:rsidR="00620BEA" w:rsidRPr="004B51B8">
        <w:rPr>
          <w:rFonts w:ascii="Times New Roman" w:hAnsi="Times New Roman"/>
          <w:sz w:val="24"/>
          <w:szCs w:val="24"/>
        </w:rPr>
        <w:fldChar w:fldCharType="separate"/>
      </w:r>
      <w:r w:rsidR="00C47BFF">
        <w:rPr>
          <w:rFonts w:ascii="Times New Roman" w:hAnsi="Times New Roman"/>
          <w:noProof/>
          <w:sz w:val="24"/>
          <w:szCs w:val="24"/>
        </w:rPr>
        <w:t>18</w:t>
      </w:r>
      <w:r w:rsidR="00620BEA" w:rsidRPr="004B51B8">
        <w:rPr>
          <w:rFonts w:ascii="Times New Roman" w:hAnsi="Times New Roman"/>
          <w:sz w:val="24"/>
          <w:szCs w:val="24"/>
        </w:rPr>
        <w:fldChar w:fldCharType="end"/>
      </w:r>
      <w:r w:rsidR="00AE224F">
        <w:rPr>
          <w:rFonts w:ascii="Times New Roman" w:hAnsi="Times New Roman"/>
          <w:sz w:val="24"/>
          <w:szCs w:val="24"/>
        </w:rPr>
        <w:t>: p</w:t>
      </w:r>
      <w:r w:rsidRPr="004B51B8">
        <w:rPr>
          <w:rFonts w:ascii="Times New Roman" w:hAnsi="Times New Roman"/>
          <w:sz w:val="24"/>
          <w:szCs w:val="24"/>
        </w:rPr>
        <w:t>roportion des récoltes par région économique du pays</w:t>
      </w:r>
      <w:bookmarkEnd w:id="79"/>
    </w:p>
    <w:p w14:paraId="4C5A03CD" w14:textId="064BBA0B" w:rsidR="005C72D2" w:rsidRPr="004777DC" w:rsidRDefault="00136BA5" w:rsidP="00254C9C">
      <w:pPr>
        <w:spacing w:after="0" w:line="240" w:lineRule="auto"/>
        <w:jc w:val="both"/>
        <w:rPr>
          <w:rFonts w:ascii="Times New Roman" w:hAnsi="Times New Roman" w:cs="Times New Roman"/>
          <w:iCs/>
          <w:sz w:val="24"/>
          <w:szCs w:val="24"/>
          <w:lang w:val="fr-CA"/>
        </w:rPr>
      </w:pPr>
      <w:r w:rsidRPr="004777DC">
        <w:rPr>
          <w:rFonts w:ascii="Times New Roman" w:hAnsi="Times New Roman" w:cs="Times New Roman"/>
          <w:bCs/>
          <w:iCs/>
          <w:sz w:val="24"/>
          <w:szCs w:val="24"/>
        </w:rPr>
        <w:t>Dans l</w:t>
      </w:r>
      <w:r w:rsidR="002604D5" w:rsidRPr="004777DC">
        <w:rPr>
          <w:rFonts w:ascii="Times New Roman" w:hAnsi="Times New Roman" w:cs="Times New Roman"/>
          <w:bCs/>
          <w:iCs/>
          <w:sz w:val="24"/>
          <w:szCs w:val="24"/>
        </w:rPr>
        <w:t>e</w:t>
      </w:r>
      <w:r w:rsidRPr="004777DC">
        <w:rPr>
          <w:rFonts w:ascii="Times New Roman" w:hAnsi="Times New Roman" w:cs="Times New Roman"/>
          <w:bCs/>
          <w:iCs/>
          <w:sz w:val="24"/>
          <w:szCs w:val="24"/>
        </w:rPr>
        <w:t xml:space="preserve"> cadre du projet SEP, </w:t>
      </w:r>
      <w:r w:rsidRPr="004777DC">
        <w:rPr>
          <w:rFonts w:ascii="Times New Roman" w:eastAsia="Calibri" w:hAnsi="Times New Roman" w:cs="Times New Roman"/>
          <w:bCs/>
          <w:iCs/>
          <w:sz w:val="24"/>
          <w:szCs w:val="24"/>
        </w:rPr>
        <w:t>plus de 1000 plants, tous des espèces rares menacées</w:t>
      </w:r>
      <w:r w:rsidR="00AE224F">
        <w:rPr>
          <w:rFonts w:ascii="Times New Roman" w:eastAsia="Calibri" w:hAnsi="Times New Roman" w:cs="Times New Roman"/>
          <w:bCs/>
          <w:iCs/>
          <w:sz w:val="24"/>
          <w:szCs w:val="24"/>
        </w:rPr>
        <w:t>,</w:t>
      </w:r>
      <w:r w:rsidRPr="004777DC">
        <w:rPr>
          <w:rFonts w:ascii="Times New Roman" w:eastAsia="Calibri" w:hAnsi="Times New Roman" w:cs="Times New Roman"/>
          <w:bCs/>
          <w:iCs/>
          <w:sz w:val="24"/>
          <w:szCs w:val="24"/>
        </w:rPr>
        <w:t xml:space="preserve"> ont été </w:t>
      </w:r>
      <w:r w:rsidR="002604D5" w:rsidRPr="004777DC">
        <w:rPr>
          <w:rFonts w:ascii="Times New Roman" w:hAnsi="Times New Roman" w:cs="Times New Roman"/>
          <w:bCs/>
          <w:iCs/>
          <w:sz w:val="24"/>
          <w:szCs w:val="24"/>
        </w:rPr>
        <w:t>produits</w:t>
      </w:r>
      <w:r w:rsidRPr="004777DC">
        <w:rPr>
          <w:rFonts w:ascii="Times New Roman" w:eastAsia="Calibri" w:hAnsi="Times New Roman" w:cs="Times New Roman"/>
          <w:bCs/>
          <w:iCs/>
          <w:sz w:val="24"/>
          <w:szCs w:val="24"/>
        </w:rPr>
        <w:t xml:space="preserve"> </w:t>
      </w:r>
      <w:r w:rsidR="00AE224F">
        <w:rPr>
          <w:rFonts w:ascii="Times New Roman" w:eastAsia="Calibri" w:hAnsi="Times New Roman" w:cs="Times New Roman"/>
          <w:bCs/>
          <w:iCs/>
          <w:sz w:val="24"/>
          <w:szCs w:val="24"/>
        </w:rPr>
        <w:t xml:space="preserve">en </w:t>
      </w:r>
      <w:r w:rsidRPr="004777DC">
        <w:rPr>
          <w:rFonts w:ascii="Times New Roman" w:eastAsia="Calibri" w:hAnsi="Times New Roman" w:cs="Times New Roman"/>
          <w:bCs/>
          <w:iCs/>
          <w:sz w:val="24"/>
          <w:szCs w:val="24"/>
        </w:rPr>
        <w:t xml:space="preserve">pépinière </w:t>
      </w:r>
      <w:r w:rsidR="002604D5" w:rsidRPr="004777DC">
        <w:rPr>
          <w:rFonts w:ascii="Times New Roman" w:hAnsi="Times New Roman" w:cs="Times New Roman"/>
          <w:bCs/>
          <w:iCs/>
          <w:sz w:val="24"/>
          <w:szCs w:val="24"/>
        </w:rPr>
        <w:t>et introduits au jardin de Tové et aussi proposé</w:t>
      </w:r>
      <w:r w:rsidRPr="004777DC">
        <w:rPr>
          <w:rFonts w:ascii="Times New Roman" w:eastAsia="Calibri" w:hAnsi="Times New Roman" w:cs="Times New Roman"/>
          <w:bCs/>
          <w:iCs/>
          <w:sz w:val="24"/>
          <w:szCs w:val="24"/>
        </w:rPr>
        <w:t xml:space="preserve"> aux planteurs privés afin de diversifier les plantations forestières trop focalisées sur le teck (</w:t>
      </w:r>
      <w:r w:rsidRPr="004777DC">
        <w:rPr>
          <w:rFonts w:ascii="Times New Roman" w:eastAsia="Calibri" w:hAnsi="Times New Roman" w:cs="Times New Roman"/>
          <w:bCs/>
          <w:i/>
          <w:iCs/>
          <w:sz w:val="24"/>
          <w:szCs w:val="24"/>
        </w:rPr>
        <w:t xml:space="preserve">Tectona grandis) </w:t>
      </w:r>
      <w:r w:rsidRPr="004777DC">
        <w:rPr>
          <w:rFonts w:ascii="Times New Roman" w:eastAsia="Calibri" w:hAnsi="Times New Roman" w:cs="Times New Roman"/>
          <w:bCs/>
          <w:iCs/>
          <w:sz w:val="24"/>
          <w:szCs w:val="24"/>
        </w:rPr>
        <w:t>au Togo</w:t>
      </w:r>
      <w:r w:rsidR="002604D5" w:rsidRPr="004777DC">
        <w:rPr>
          <w:rFonts w:ascii="Times New Roman" w:hAnsi="Times New Roman" w:cs="Times New Roman"/>
          <w:bCs/>
          <w:iCs/>
          <w:sz w:val="24"/>
          <w:szCs w:val="24"/>
        </w:rPr>
        <w:t>.</w:t>
      </w:r>
    </w:p>
    <w:p w14:paraId="3450A3EB" w14:textId="77777777" w:rsidR="002604D5" w:rsidRPr="004777DC" w:rsidRDefault="002604D5" w:rsidP="00254C9C">
      <w:pPr>
        <w:spacing w:after="0" w:line="240" w:lineRule="auto"/>
        <w:jc w:val="both"/>
        <w:rPr>
          <w:rFonts w:ascii="Times New Roman" w:hAnsi="Times New Roman" w:cs="Times New Roman"/>
          <w:sz w:val="24"/>
          <w:szCs w:val="24"/>
        </w:rPr>
      </w:pPr>
    </w:p>
    <w:p w14:paraId="14AD3D0C" w14:textId="77777777" w:rsidR="001D1965" w:rsidRPr="004777DC" w:rsidRDefault="002604D5" w:rsidP="00254C9C">
      <w:pPr>
        <w:spacing w:after="0" w:line="240" w:lineRule="auto"/>
        <w:jc w:val="both"/>
        <w:rPr>
          <w:rFonts w:ascii="Times New Roman" w:hAnsi="Times New Roman" w:cs="Times New Roman"/>
          <w:sz w:val="24"/>
          <w:szCs w:val="24"/>
        </w:rPr>
      </w:pPr>
      <w:r w:rsidRPr="004777DC">
        <w:rPr>
          <w:rFonts w:ascii="Times New Roman" w:hAnsi="Times New Roman" w:cs="Times New Roman"/>
          <w:sz w:val="24"/>
          <w:szCs w:val="24"/>
        </w:rPr>
        <w:t>Par ailleurs</w:t>
      </w:r>
      <w:r w:rsidR="00185369" w:rsidRPr="004777DC">
        <w:rPr>
          <w:rFonts w:ascii="Times New Roman" w:hAnsi="Times New Roman" w:cs="Times New Roman"/>
          <w:sz w:val="24"/>
          <w:szCs w:val="24"/>
        </w:rPr>
        <w:t>,</w:t>
      </w:r>
      <w:r w:rsidRPr="004777DC">
        <w:rPr>
          <w:rFonts w:ascii="Times New Roman" w:hAnsi="Times New Roman" w:cs="Times New Roman"/>
          <w:sz w:val="24"/>
          <w:szCs w:val="24"/>
        </w:rPr>
        <w:t xml:space="preserve"> dans le cadre du programme SEP2D</w:t>
      </w:r>
      <w:r w:rsidR="005A2A3E" w:rsidRPr="004777DC">
        <w:rPr>
          <w:rFonts w:ascii="Times New Roman" w:hAnsi="Times New Roman" w:cs="Times New Roman"/>
          <w:sz w:val="24"/>
          <w:szCs w:val="24"/>
        </w:rPr>
        <w:t xml:space="preserve">, l’Université de Lomé </w:t>
      </w:r>
      <w:r w:rsidR="004777DC" w:rsidRPr="004777DC">
        <w:rPr>
          <w:rFonts w:ascii="Times New Roman" w:hAnsi="Times New Roman" w:cs="Times New Roman"/>
          <w:sz w:val="24"/>
          <w:szCs w:val="24"/>
        </w:rPr>
        <w:t xml:space="preserve">est en train de </w:t>
      </w:r>
      <w:r w:rsidR="00185369" w:rsidRPr="004777DC">
        <w:rPr>
          <w:rFonts w:ascii="Times New Roman" w:hAnsi="Times New Roman" w:cs="Times New Roman"/>
          <w:sz w:val="24"/>
          <w:szCs w:val="24"/>
        </w:rPr>
        <w:t xml:space="preserve">développer une stratégie de production de plants de </w:t>
      </w:r>
      <w:r w:rsidR="00185369" w:rsidRPr="004777DC">
        <w:rPr>
          <w:rFonts w:ascii="Times New Roman" w:hAnsi="Times New Roman" w:cs="Times New Roman"/>
          <w:i/>
          <w:sz w:val="24"/>
          <w:szCs w:val="24"/>
        </w:rPr>
        <w:t>P. erinaceus</w:t>
      </w:r>
      <w:r w:rsidR="00185369" w:rsidRPr="004777DC">
        <w:rPr>
          <w:rFonts w:ascii="Times New Roman" w:hAnsi="Times New Roman" w:cs="Times New Roman"/>
          <w:sz w:val="24"/>
          <w:szCs w:val="24"/>
        </w:rPr>
        <w:t xml:space="preserve"> viable et à grande échelle pour </w:t>
      </w:r>
      <w:r w:rsidR="004777DC" w:rsidRPr="004777DC">
        <w:rPr>
          <w:rFonts w:ascii="Times New Roman" w:hAnsi="Times New Roman" w:cs="Times New Roman"/>
          <w:sz w:val="24"/>
          <w:szCs w:val="24"/>
        </w:rPr>
        <w:t xml:space="preserve">la </w:t>
      </w:r>
      <w:r w:rsidR="00185369" w:rsidRPr="004777DC">
        <w:rPr>
          <w:rFonts w:ascii="Times New Roman" w:hAnsi="Times New Roman" w:cs="Times New Roman"/>
          <w:sz w:val="24"/>
          <w:szCs w:val="24"/>
        </w:rPr>
        <w:t>domestication et le reboisement en Afrique de l’Ouest</w:t>
      </w:r>
      <w:r w:rsidRPr="004777DC">
        <w:rPr>
          <w:rFonts w:ascii="Times New Roman" w:hAnsi="Times New Roman" w:cs="Times New Roman"/>
          <w:sz w:val="24"/>
          <w:szCs w:val="24"/>
        </w:rPr>
        <w:t xml:space="preserve">. </w:t>
      </w:r>
      <w:r w:rsidR="004777DC" w:rsidRPr="004777DC">
        <w:rPr>
          <w:rFonts w:ascii="Times New Roman" w:hAnsi="Times New Roman" w:cs="Times New Roman"/>
          <w:sz w:val="24"/>
          <w:szCs w:val="24"/>
        </w:rPr>
        <w:t>La</w:t>
      </w:r>
      <w:r w:rsidR="001D1965" w:rsidRPr="004777DC">
        <w:rPr>
          <w:rFonts w:ascii="Times New Roman" w:eastAsia="Calibri" w:hAnsi="Times New Roman" w:cs="Times New Roman"/>
          <w:sz w:val="24"/>
          <w:szCs w:val="24"/>
        </w:rPr>
        <w:t xml:space="preserve"> finalité </w:t>
      </w:r>
      <w:r w:rsidR="004777DC" w:rsidRPr="004777DC">
        <w:rPr>
          <w:rFonts w:ascii="Times New Roman" w:eastAsia="Calibri" w:hAnsi="Times New Roman" w:cs="Times New Roman"/>
          <w:sz w:val="24"/>
          <w:szCs w:val="24"/>
        </w:rPr>
        <w:t>est</w:t>
      </w:r>
      <w:r w:rsidR="001D1965" w:rsidRPr="004777DC">
        <w:rPr>
          <w:rFonts w:ascii="Times New Roman" w:eastAsia="Calibri" w:hAnsi="Times New Roman" w:cs="Times New Roman"/>
          <w:sz w:val="24"/>
          <w:szCs w:val="24"/>
        </w:rPr>
        <w:t xml:space="preserve"> de sauver l’espèce d’une extinction certaine dans sa zone de distribution</w:t>
      </w:r>
      <w:r w:rsidR="004777DC" w:rsidRPr="004777DC">
        <w:rPr>
          <w:rFonts w:ascii="Times New Roman" w:eastAsia="Calibri" w:hAnsi="Times New Roman" w:cs="Times New Roman"/>
          <w:sz w:val="24"/>
          <w:szCs w:val="24"/>
        </w:rPr>
        <w:t xml:space="preserve"> naturelle</w:t>
      </w:r>
      <w:r w:rsidR="001D1965" w:rsidRPr="004777DC">
        <w:rPr>
          <w:rFonts w:ascii="Times New Roman" w:eastAsia="Calibri" w:hAnsi="Times New Roman" w:cs="Times New Roman"/>
          <w:sz w:val="24"/>
          <w:szCs w:val="24"/>
        </w:rPr>
        <w:t>, et d’assurer la fourniture durable de la matière première pour toute la filière d’exploitation de ses produits et sous-produits</w:t>
      </w:r>
      <w:r w:rsidR="004777DC" w:rsidRPr="004777DC">
        <w:rPr>
          <w:rFonts w:ascii="Times New Roman" w:eastAsia="Calibri" w:hAnsi="Times New Roman" w:cs="Times New Roman"/>
          <w:sz w:val="24"/>
          <w:szCs w:val="24"/>
        </w:rPr>
        <w:t>.</w:t>
      </w:r>
    </w:p>
    <w:p w14:paraId="550BC48F" w14:textId="77777777" w:rsidR="006D3EA0" w:rsidRPr="00BB05B1" w:rsidRDefault="006D3EA0" w:rsidP="00BB05B1">
      <w:pPr>
        <w:spacing w:after="0" w:line="240" w:lineRule="auto"/>
        <w:jc w:val="both"/>
        <w:rPr>
          <w:rFonts w:ascii="Times New Roman" w:hAnsi="Times New Roman" w:cs="Times New Roman"/>
          <w:iCs/>
          <w:sz w:val="24"/>
          <w:szCs w:val="24"/>
          <w:lang w:val="fr-CA"/>
        </w:rPr>
      </w:pPr>
    </w:p>
    <w:p w14:paraId="3F807B90" w14:textId="33D2A0B0" w:rsidR="0048531F" w:rsidRPr="0048531F" w:rsidRDefault="0048531F" w:rsidP="00BB05B1">
      <w:pPr>
        <w:spacing w:after="0" w:line="240" w:lineRule="auto"/>
        <w:jc w:val="both"/>
        <w:rPr>
          <w:rFonts w:ascii="Times New Roman" w:hAnsi="Times New Roman" w:cs="Times New Roman"/>
          <w:color w:val="000000"/>
          <w:sz w:val="24"/>
          <w:szCs w:val="24"/>
        </w:rPr>
      </w:pPr>
      <w:r w:rsidRPr="00BB05B1">
        <w:rPr>
          <w:rFonts w:ascii="Times New Roman" w:hAnsi="Times New Roman" w:cs="Times New Roman"/>
          <w:sz w:val="24"/>
          <w:szCs w:val="24"/>
        </w:rPr>
        <w:t>L’agrobiodiversité au Togo est très riche et joue un rôle important dans les systèmes de production agricole, pastorale, forestière.</w:t>
      </w:r>
      <w:r w:rsidR="00AE224F">
        <w:rPr>
          <w:rFonts w:ascii="Times New Roman" w:hAnsi="Times New Roman" w:cs="Times New Roman"/>
          <w:sz w:val="24"/>
          <w:szCs w:val="24"/>
        </w:rPr>
        <w:t xml:space="preserve"> </w:t>
      </w:r>
      <w:r w:rsidRPr="0048531F">
        <w:rPr>
          <w:rFonts w:ascii="Times New Roman" w:hAnsi="Times New Roman" w:cs="Times New Roman"/>
          <w:color w:val="000000"/>
          <w:sz w:val="24"/>
          <w:szCs w:val="24"/>
        </w:rPr>
        <w:t xml:space="preserve">En ce qui concerne les produits forestiers ligneux, le genre </w:t>
      </w:r>
      <w:r w:rsidRPr="0048531F">
        <w:rPr>
          <w:rFonts w:ascii="Times New Roman" w:hAnsi="Times New Roman" w:cs="Times New Roman"/>
          <w:i/>
          <w:iCs/>
          <w:color w:val="000000"/>
          <w:sz w:val="24"/>
          <w:szCs w:val="24"/>
        </w:rPr>
        <w:t xml:space="preserve">Garcinia </w:t>
      </w:r>
      <w:r w:rsidRPr="0048531F">
        <w:rPr>
          <w:rFonts w:ascii="Times New Roman" w:hAnsi="Times New Roman" w:cs="Times New Roman"/>
          <w:color w:val="000000"/>
          <w:sz w:val="24"/>
          <w:szCs w:val="24"/>
        </w:rPr>
        <w:t>(</w:t>
      </w:r>
      <w:r w:rsidRPr="0048531F">
        <w:rPr>
          <w:rFonts w:ascii="Times New Roman" w:hAnsi="Times New Roman" w:cs="Times New Roman"/>
          <w:i/>
          <w:iCs/>
          <w:color w:val="000000"/>
          <w:sz w:val="24"/>
          <w:szCs w:val="24"/>
        </w:rPr>
        <w:t xml:space="preserve">Garcinia afzelii </w:t>
      </w:r>
      <w:r w:rsidRPr="0048531F">
        <w:rPr>
          <w:rFonts w:ascii="Times New Roman" w:hAnsi="Times New Roman" w:cs="Times New Roman"/>
          <w:color w:val="000000"/>
          <w:sz w:val="24"/>
          <w:szCs w:val="24"/>
        </w:rPr>
        <w:t xml:space="preserve">et </w:t>
      </w:r>
      <w:r w:rsidRPr="0048531F">
        <w:rPr>
          <w:rFonts w:ascii="Times New Roman" w:hAnsi="Times New Roman" w:cs="Times New Roman"/>
          <w:i/>
          <w:iCs/>
          <w:color w:val="000000"/>
          <w:sz w:val="24"/>
          <w:szCs w:val="24"/>
        </w:rPr>
        <w:t xml:space="preserve">Garcinia ovalifolia), </w:t>
      </w:r>
      <w:r w:rsidRPr="0048531F">
        <w:rPr>
          <w:rFonts w:ascii="Times New Roman" w:hAnsi="Times New Roman" w:cs="Times New Roman"/>
          <w:color w:val="000000"/>
          <w:sz w:val="24"/>
          <w:szCs w:val="24"/>
        </w:rPr>
        <w:t xml:space="preserve">constitue l’espèce végétale la plus </w:t>
      </w:r>
      <w:r w:rsidRPr="00BB05B1">
        <w:rPr>
          <w:rFonts w:ascii="Times New Roman" w:hAnsi="Times New Roman" w:cs="Times New Roman"/>
          <w:color w:val="000000"/>
          <w:sz w:val="24"/>
          <w:szCs w:val="24"/>
        </w:rPr>
        <w:t>cultivée</w:t>
      </w:r>
      <w:r w:rsidRPr="0048531F">
        <w:rPr>
          <w:rFonts w:ascii="Times New Roman" w:hAnsi="Times New Roman" w:cs="Times New Roman"/>
          <w:color w:val="000000"/>
          <w:sz w:val="24"/>
          <w:szCs w:val="24"/>
        </w:rPr>
        <w:t xml:space="preserve"> au Togo. On la rencontre dans la zone forestière particulièrement </w:t>
      </w:r>
      <w:r w:rsidRPr="00BB05B1">
        <w:rPr>
          <w:rFonts w:ascii="Times New Roman" w:hAnsi="Times New Roman" w:cs="Times New Roman"/>
          <w:color w:val="000000"/>
          <w:sz w:val="24"/>
          <w:szCs w:val="24"/>
        </w:rPr>
        <w:t xml:space="preserve">à </w:t>
      </w:r>
      <w:r w:rsidRPr="0048531F">
        <w:rPr>
          <w:rFonts w:ascii="Times New Roman" w:hAnsi="Times New Roman" w:cs="Times New Roman"/>
          <w:color w:val="000000"/>
          <w:sz w:val="24"/>
          <w:szCs w:val="24"/>
        </w:rPr>
        <w:t xml:space="preserve">l’ouest de la région des Plateaux et Centrale. La production est estimée à 6000 tonnes dont 1200 tonnes commercialisées. </w:t>
      </w:r>
      <w:r w:rsidRPr="0048531F">
        <w:rPr>
          <w:rFonts w:ascii="Times New Roman" w:hAnsi="Times New Roman" w:cs="Times New Roman"/>
          <w:bCs/>
          <w:iCs/>
          <w:color w:val="000000"/>
          <w:sz w:val="24"/>
          <w:szCs w:val="24"/>
        </w:rPr>
        <w:t>Les plantes médicinales</w:t>
      </w:r>
      <w:r w:rsidR="0032558C">
        <w:rPr>
          <w:rFonts w:ascii="Times New Roman" w:hAnsi="Times New Roman" w:cs="Times New Roman"/>
          <w:bCs/>
          <w:iCs/>
          <w:color w:val="000000"/>
          <w:sz w:val="24"/>
          <w:szCs w:val="24"/>
        </w:rPr>
        <w:t xml:space="preserve"> </w:t>
      </w:r>
      <w:r w:rsidRPr="0048531F">
        <w:rPr>
          <w:rFonts w:ascii="Times New Roman" w:hAnsi="Times New Roman" w:cs="Times New Roman"/>
          <w:color w:val="000000"/>
          <w:sz w:val="24"/>
          <w:szCs w:val="24"/>
        </w:rPr>
        <w:t>les plus commercialisées au Togo</w:t>
      </w:r>
      <w:r w:rsidR="00810B5C" w:rsidRPr="00BB05B1">
        <w:rPr>
          <w:rFonts w:ascii="Times New Roman" w:hAnsi="Times New Roman" w:cs="Times New Roman"/>
          <w:color w:val="000000"/>
          <w:sz w:val="24"/>
          <w:szCs w:val="24"/>
        </w:rPr>
        <w:t>, sont pour la plus part récoltées à l’état sauvage</w:t>
      </w:r>
      <w:r w:rsidRPr="0048531F">
        <w:rPr>
          <w:rFonts w:ascii="Times New Roman" w:hAnsi="Times New Roman" w:cs="Times New Roman"/>
          <w:color w:val="000000"/>
          <w:sz w:val="24"/>
          <w:szCs w:val="24"/>
        </w:rPr>
        <w:t xml:space="preserve">. Elles forment une </w:t>
      </w:r>
      <w:r w:rsidRPr="00BB05B1">
        <w:rPr>
          <w:rFonts w:ascii="Times New Roman" w:hAnsi="Times New Roman" w:cs="Times New Roman"/>
          <w:color w:val="000000"/>
          <w:sz w:val="24"/>
          <w:szCs w:val="24"/>
        </w:rPr>
        <w:t xml:space="preserve">gamme très variée de produits, allant des écorces d'arbres jusqu'aux racines en passant par les feuilles et les fruits. Elles sont utilisées par beaucoup d’ethnobotanistes et la population qui consomme ainsi une quantité considérable qu’elle appelle généralement « tisane ». Les espèces les </w:t>
      </w:r>
      <w:r w:rsidRPr="0048531F">
        <w:rPr>
          <w:rFonts w:ascii="Times New Roman" w:hAnsi="Times New Roman" w:cs="Times New Roman"/>
          <w:color w:val="000000"/>
          <w:sz w:val="24"/>
          <w:szCs w:val="24"/>
        </w:rPr>
        <w:t xml:space="preserve">plus fréquentes sont </w:t>
      </w:r>
      <w:r w:rsidRPr="0048531F">
        <w:rPr>
          <w:rFonts w:ascii="Times New Roman" w:hAnsi="Times New Roman" w:cs="Times New Roman"/>
          <w:i/>
          <w:iCs/>
          <w:color w:val="000000"/>
          <w:sz w:val="24"/>
          <w:szCs w:val="24"/>
        </w:rPr>
        <w:t>Khaya senegalensis, Rauvolfia vomitoria, Anthocleita nobilis, Alstonia boonei, Bridelia ferruginea, Coc</w:t>
      </w:r>
      <w:r w:rsidR="00AE224F">
        <w:rPr>
          <w:rFonts w:ascii="Times New Roman" w:hAnsi="Times New Roman" w:cs="Times New Roman"/>
          <w:i/>
          <w:iCs/>
          <w:color w:val="000000"/>
          <w:sz w:val="24"/>
          <w:szCs w:val="24"/>
        </w:rPr>
        <w:t>h</w:t>
      </w:r>
      <w:r w:rsidRPr="0048531F">
        <w:rPr>
          <w:rFonts w:ascii="Times New Roman" w:hAnsi="Times New Roman" w:cs="Times New Roman"/>
          <w:i/>
          <w:iCs/>
          <w:color w:val="000000"/>
          <w:sz w:val="24"/>
          <w:szCs w:val="24"/>
        </w:rPr>
        <w:t>lospermum tinctorium, Fluggea virosa, Combretum micranthum, Alchornea cordifolia, Nauclea latifolia, Newbouldia laevis, Afze</w:t>
      </w:r>
      <w:r w:rsidR="00AE224F">
        <w:rPr>
          <w:rFonts w:ascii="Times New Roman" w:hAnsi="Times New Roman" w:cs="Times New Roman"/>
          <w:i/>
          <w:iCs/>
          <w:color w:val="000000"/>
          <w:sz w:val="24"/>
          <w:szCs w:val="24"/>
        </w:rPr>
        <w:t>lia africana, Terminalia glauces</w:t>
      </w:r>
      <w:r w:rsidRPr="0048531F">
        <w:rPr>
          <w:rFonts w:ascii="Times New Roman" w:hAnsi="Times New Roman" w:cs="Times New Roman"/>
          <w:i/>
          <w:iCs/>
          <w:color w:val="000000"/>
          <w:sz w:val="24"/>
          <w:szCs w:val="24"/>
        </w:rPr>
        <w:t xml:space="preserve">cens, Vitex doniana, Annona senegalensis, Guiera senegalensis, Azadirachta indica, Eucalyptus </w:t>
      </w:r>
      <w:r w:rsidRPr="0048531F">
        <w:rPr>
          <w:rFonts w:ascii="Times New Roman" w:hAnsi="Times New Roman" w:cs="Times New Roman"/>
          <w:color w:val="000000"/>
          <w:sz w:val="24"/>
          <w:szCs w:val="24"/>
        </w:rPr>
        <w:t>spp.</w:t>
      </w:r>
      <w:r w:rsidRPr="0048531F">
        <w:rPr>
          <w:rFonts w:ascii="Times New Roman" w:hAnsi="Times New Roman" w:cs="Times New Roman"/>
          <w:i/>
          <w:iCs/>
          <w:color w:val="000000"/>
          <w:sz w:val="24"/>
          <w:szCs w:val="24"/>
        </w:rPr>
        <w:t xml:space="preserve">, Tectona grandis, Erythrophleum suaveolens, Anogeissus leiocarpus, etc. </w:t>
      </w:r>
    </w:p>
    <w:p w14:paraId="3F112671" w14:textId="77777777" w:rsidR="0048531F" w:rsidRPr="00BB05B1" w:rsidRDefault="0048531F" w:rsidP="00BB05B1">
      <w:pPr>
        <w:autoSpaceDE w:val="0"/>
        <w:autoSpaceDN w:val="0"/>
        <w:adjustRightInd w:val="0"/>
        <w:spacing w:after="0" w:line="240" w:lineRule="auto"/>
        <w:jc w:val="both"/>
        <w:rPr>
          <w:rFonts w:ascii="Times New Roman" w:hAnsi="Times New Roman" w:cs="Times New Roman"/>
          <w:color w:val="000000"/>
          <w:sz w:val="24"/>
          <w:szCs w:val="24"/>
        </w:rPr>
      </w:pPr>
    </w:p>
    <w:p w14:paraId="0FFCA2CF" w14:textId="53ABBFCD" w:rsidR="00073EDC" w:rsidRPr="0048531F" w:rsidRDefault="00073EDC" w:rsidP="00BB05B1">
      <w:pPr>
        <w:autoSpaceDE w:val="0"/>
        <w:autoSpaceDN w:val="0"/>
        <w:adjustRightInd w:val="0"/>
        <w:spacing w:after="0" w:line="240" w:lineRule="auto"/>
        <w:jc w:val="both"/>
        <w:rPr>
          <w:rFonts w:ascii="Times New Roman" w:hAnsi="Times New Roman" w:cs="Times New Roman"/>
          <w:color w:val="000000"/>
          <w:sz w:val="24"/>
          <w:szCs w:val="24"/>
        </w:rPr>
      </w:pPr>
      <w:r w:rsidRPr="0048531F">
        <w:rPr>
          <w:rFonts w:ascii="Times New Roman" w:hAnsi="Times New Roman" w:cs="Times New Roman"/>
          <w:color w:val="000000"/>
          <w:sz w:val="24"/>
          <w:szCs w:val="24"/>
        </w:rPr>
        <w:t xml:space="preserve">Quelques espèces végétales sauvages entrent dans la préparation des aliments qui servent aussi de médicaments. On peut citer à titre d’exemple : </w:t>
      </w:r>
      <w:r w:rsidRPr="0048531F">
        <w:rPr>
          <w:rFonts w:ascii="Times New Roman" w:hAnsi="Times New Roman" w:cs="Times New Roman"/>
          <w:i/>
          <w:iCs/>
          <w:color w:val="000000"/>
          <w:sz w:val="24"/>
          <w:szCs w:val="24"/>
        </w:rPr>
        <w:t xml:space="preserve">Agelanthus dodoneifolius </w:t>
      </w:r>
      <w:r w:rsidRPr="0048531F">
        <w:rPr>
          <w:rFonts w:ascii="Times New Roman" w:hAnsi="Times New Roman" w:cs="Times New Roman"/>
          <w:color w:val="000000"/>
          <w:sz w:val="24"/>
          <w:szCs w:val="24"/>
        </w:rPr>
        <w:t>qui en poussant sur</w:t>
      </w:r>
      <w:r w:rsidR="0032558C">
        <w:rPr>
          <w:rFonts w:ascii="Times New Roman" w:hAnsi="Times New Roman" w:cs="Times New Roman"/>
          <w:color w:val="000000"/>
          <w:sz w:val="24"/>
          <w:szCs w:val="24"/>
        </w:rPr>
        <w:t xml:space="preserve"> </w:t>
      </w:r>
      <w:r w:rsidRPr="0048531F">
        <w:rPr>
          <w:rFonts w:ascii="Times New Roman" w:hAnsi="Times New Roman" w:cs="Times New Roman"/>
          <w:i/>
          <w:iCs/>
          <w:color w:val="000000"/>
          <w:sz w:val="24"/>
          <w:szCs w:val="24"/>
        </w:rPr>
        <w:t xml:space="preserve">Tamarindus indica </w:t>
      </w:r>
      <w:r w:rsidRPr="0048531F">
        <w:rPr>
          <w:rFonts w:ascii="Times New Roman" w:hAnsi="Times New Roman" w:cs="Times New Roman"/>
          <w:color w:val="000000"/>
          <w:sz w:val="24"/>
          <w:szCs w:val="24"/>
        </w:rPr>
        <w:t xml:space="preserve">secrète une substance qui possède plusieurs propriétés médicinales. </w:t>
      </w:r>
      <w:r w:rsidRPr="0048531F">
        <w:rPr>
          <w:rFonts w:ascii="Times New Roman" w:hAnsi="Times New Roman" w:cs="Times New Roman"/>
          <w:i/>
          <w:iCs/>
          <w:color w:val="000000"/>
          <w:sz w:val="24"/>
          <w:szCs w:val="24"/>
        </w:rPr>
        <w:t xml:space="preserve">Lactuca taraxaciflora, </w:t>
      </w:r>
      <w:r w:rsidRPr="0048531F">
        <w:rPr>
          <w:rFonts w:ascii="Times New Roman" w:hAnsi="Times New Roman" w:cs="Times New Roman"/>
          <w:color w:val="000000"/>
          <w:sz w:val="24"/>
          <w:szCs w:val="24"/>
        </w:rPr>
        <w:t xml:space="preserve">alicament utilisé comme légume vert dans le traitement de l’hypertension artérielle et du diabète. </w:t>
      </w:r>
      <w:r w:rsidR="00AE224F">
        <w:rPr>
          <w:rFonts w:ascii="Times New Roman" w:hAnsi="Times New Roman" w:cs="Times New Roman"/>
          <w:i/>
          <w:iCs/>
          <w:color w:val="000000"/>
          <w:sz w:val="24"/>
          <w:szCs w:val="24"/>
        </w:rPr>
        <w:t>Veronia</w:t>
      </w:r>
      <w:r w:rsidRPr="0048531F">
        <w:rPr>
          <w:rFonts w:ascii="Times New Roman" w:hAnsi="Times New Roman" w:cs="Times New Roman"/>
          <w:i/>
          <w:iCs/>
          <w:color w:val="000000"/>
          <w:sz w:val="24"/>
          <w:szCs w:val="24"/>
        </w:rPr>
        <w:t xml:space="preserve"> amygdalina</w:t>
      </w:r>
      <w:r w:rsidRPr="0048531F">
        <w:rPr>
          <w:rFonts w:ascii="Times New Roman" w:hAnsi="Times New Roman" w:cs="Times New Roman"/>
          <w:color w:val="000000"/>
          <w:sz w:val="24"/>
          <w:szCs w:val="24"/>
        </w:rPr>
        <w:t>, alicament pour faire une sauce qui soigne la toux, le paludism</w:t>
      </w:r>
      <w:r w:rsidRPr="00BB05B1">
        <w:rPr>
          <w:rFonts w:ascii="Times New Roman" w:hAnsi="Times New Roman" w:cs="Times New Roman"/>
          <w:color w:val="000000"/>
          <w:sz w:val="24"/>
          <w:szCs w:val="24"/>
        </w:rPr>
        <w:t>e et les douleurs articulaires.</w:t>
      </w:r>
    </w:p>
    <w:p w14:paraId="69FE85EF" w14:textId="77777777" w:rsidR="00073EDC" w:rsidRPr="00BB05B1" w:rsidRDefault="00073EDC" w:rsidP="00BB05B1">
      <w:pPr>
        <w:autoSpaceDE w:val="0"/>
        <w:autoSpaceDN w:val="0"/>
        <w:adjustRightInd w:val="0"/>
        <w:spacing w:after="0" w:line="240" w:lineRule="auto"/>
        <w:jc w:val="both"/>
        <w:rPr>
          <w:rFonts w:ascii="Times New Roman" w:hAnsi="Times New Roman" w:cs="Times New Roman"/>
          <w:color w:val="000000"/>
          <w:sz w:val="24"/>
          <w:szCs w:val="24"/>
        </w:rPr>
      </w:pPr>
    </w:p>
    <w:p w14:paraId="64651E81" w14:textId="77777777" w:rsidR="00BB05B1" w:rsidRPr="0048531F" w:rsidRDefault="00BB05B1" w:rsidP="00BB05B1">
      <w:pPr>
        <w:autoSpaceDE w:val="0"/>
        <w:autoSpaceDN w:val="0"/>
        <w:adjustRightInd w:val="0"/>
        <w:spacing w:after="0" w:line="240" w:lineRule="auto"/>
        <w:jc w:val="both"/>
        <w:rPr>
          <w:rFonts w:ascii="Times New Roman" w:hAnsi="Times New Roman" w:cs="Times New Roman"/>
          <w:color w:val="000000"/>
          <w:sz w:val="24"/>
          <w:szCs w:val="24"/>
        </w:rPr>
      </w:pPr>
      <w:r w:rsidRPr="0048531F">
        <w:rPr>
          <w:rFonts w:ascii="Times New Roman" w:hAnsi="Times New Roman" w:cs="Times New Roman"/>
          <w:color w:val="000000"/>
          <w:sz w:val="24"/>
          <w:szCs w:val="24"/>
        </w:rPr>
        <w:t xml:space="preserve">Les plantes sauvages et plusieurs espèces animales </w:t>
      </w:r>
      <w:r w:rsidRPr="00BB05B1">
        <w:rPr>
          <w:rFonts w:ascii="Times New Roman" w:hAnsi="Times New Roman" w:cs="Times New Roman"/>
          <w:color w:val="000000"/>
          <w:sz w:val="24"/>
          <w:szCs w:val="24"/>
        </w:rPr>
        <w:t xml:space="preserve">sauvages contribuent beaucoup à </w:t>
      </w:r>
      <w:r w:rsidRPr="0048531F">
        <w:rPr>
          <w:rFonts w:ascii="Times New Roman" w:hAnsi="Times New Roman" w:cs="Times New Roman"/>
          <w:color w:val="000000"/>
          <w:sz w:val="24"/>
          <w:szCs w:val="24"/>
        </w:rPr>
        <w:t xml:space="preserve">l’alimentation de la population procurant ainsi les protéines végétales et animales indispensables au fonctionnement de l’organisme. On peut citer à titre d’exemple </w:t>
      </w:r>
      <w:r w:rsidRPr="0048531F">
        <w:rPr>
          <w:rFonts w:ascii="Times New Roman" w:hAnsi="Times New Roman" w:cs="Times New Roman"/>
          <w:i/>
          <w:iCs/>
          <w:color w:val="000000"/>
          <w:sz w:val="24"/>
          <w:szCs w:val="24"/>
        </w:rPr>
        <w:t>Talinum triangulare, Portulaca oleracea</w:t>
      </w:r>
      <w:r w:rsidRPr="0048531F">
        <w:rPr>
          <w:rFonts w:ascii="Times New Roman" w:hAnsi="Times New Roman" w:cs="Times New Roman"/>
          <w:color w:val="000000"/>
          <w:sz w:val="24"/>
          <w:szCs w:val="24"/>
        </w:rPr>
        <w:t xml:space="preserve">, </w:t>
      </w:r>
      <w:r w:rsidRPr="0048531F">
        <w:rPr>
          <w:rFonts w:ascii="Times New Roman" w:hAnsi="Times New Roman" w:cs="Times New Roman"/>
          <w:i/>
          <w:iCs/>
          <w:color w:val="000000"/>
          <w:sz w:val="24"/>
          <w:szCs w:val="24"/>
        </w:rPr>
        <w:t xml:space="preserve">Celosia </w:t>
      </w:r>
      <w:r w:rsidRPr="0048531F">
        <w:rPr>
          <w:rFonts w:ascii="Times New Roman" w:hAnsi="Times New Roman" w:cs="Times New Roman"/>
          <w:color w:val="000000"/>
          <w:sz w:val="24"/>
          <w:szCs w:val="24"/>
        </w:rPr>
        <w:t xml:space="preserve">spp., </w:t>
      </w:r>
      <w:r w:rsidRPr="0048531F">
        <w:rPr>
          <w:rFonts w:ascii="Times New Roman" w:hAnsi="Times New Roman" w:cs="Times New Roman"/>
          <w:i/>
          <w:iCs/>
          <w:color w:val="000000"/>
          <w:sz w:val="24"/>
          <w:szCs w:val="24"/>
        </w:rPr>
        <w:t xml:space="preserve">Bidens </w:t>
      </w:r>
      <w:r w:rsidRPr="0048531F">
        <w:rPr>
          <w:rFonts w:ascii="Times New Roman" w:hAnsi="Times New Roman" w:cs="Times New Roman"/>
          <w:color w:val="000000"/>
          <w:sz w:val="24"/>
          <w:szCs w:val="24"/>
        </w:rPr>
        <w:t xml:space="preserve">spp., </w:t>
      </w:r>
      <w:r w:rsidRPr="0048531F">
        <w:rPr>
          <w:rFonts w:ascii="Times New Roman" w:hAnsi="Times New Roman" w:cs="Times New Roman"/>
          <w:i/>
          <w:iCs/>
          <w:color w:val="000000"/>
          <w:sz w:val="24"/>
          <w:szCs w:val="24"/>
        </w:rPr>
        <w:t xml:space="preserve">Launea taraxacifolia </w:t>
      </w:r>
      <w:r w:rsidRPr="0048531F">
        <w:rPr>
          <w:rFonts w:ascii="Times New Roman" w:hAnsi="Times New Roman" w:cs="Times New Roman"/>
          <w:color w:val="000000"/>
          <w:sz w:val="24"/>
          <w:szCs w:val="24"/>
        </w:rPr>
        <w:t xml:space="preserve">et </w:t>
      </w:r>
      <w:r w:rsidRPr="0048531F">
        <w:rPr>
          <w:rFonts w:ascii="Times New Roman" w:hAnsi="Times New Roman" w:cs="Times New Roman"/>
          <w:i/>
          <w:iCs/>
          <w:color w:val="000000"/>
          <w:sz w:val="24"/>
          <w:szCs w:val="24"/>
        </w:rPr>
        <w:t xml:space="preserve">Gynandropsis gynandra </w:t>
      </w:r>
      <w:r w:rsidRPr="0048531F">
        <w:rPr>
          <w:rFonts w:ascii="Times New Roman" w:hAnsi="Times New Roman" w:cs="Times New Roman"/>
          <w:color w:val="000000"/>
          <w:sz w:val="24"/>
          <w:szCs w:val="24"/>
        </w:rPr>
        <w:t xml:space="preserve">qui sont très utilisés dans la préparation des sauces. </w:t>
      </w:r>
    </w:p>
    <w:p w14:paraId="16501E4C" w14:textId="77777777" w:rsidR="00BB05B1" w:rsidRPr="00BB05B1" w:rsidRDefault="00BB05B1" w:rsidP="00BB05B1">
      <w:pPr>
        <w:autoSpaceDE w:val="0"/>
        <w:autoSpaceDN w:val="0"/>
        <w:adjustRightInd w:val="0"/>
        <w:spacing w:after="0" w:line="240" w:lineRule="auto"/>
        <w:jc w:val="both"/>
        <w:rPr>
          <w:rFonts w:ascii="Times New Roman" w:hAnsi="Times New Roman" w:cs="Times New Roman"/>
          <w:color w:val="000000"/>
          <w:sz w:val="24"/>
          <w:szCs w:val="24"/>
        </w:rPr>
      </w:pPr>
    </w:p>
    <w:p w14:paraId="1AA6FE83" w14:textId="77777777" w:rsidR="00BB05B1" w:rsidRPr="00BB05B1" w:rsidRDefault="00BB05B1" w:rsidP="00BB05B1">
      <w:pPr>
        <w:spacing w:after="0" w:line="240" w:lineRule="auto"/>
        <w:jc w:val="both"/>
        <w:rPr>
          <w:rFonts w:ascii="Times New Roman" w:hAnsi="Times New Roman" w:cs="Times New Roman"/>
          <w:sz w:val="24"/>
          <w:szCs w:val="24"/>
        </w:rPr>
      </w:pPr>
      <w:r w:rsidRPr="00BB05B1">
        <w:rPr>
          <w:rFonts w:ascii="Times New Roman" w:hAnsi="Times New Roman" w:cs="Times New Roman"/>
          <w:sz w:val="24"/>
          <w:szCs w:val="24"/>
        </w:rPr>
        <w:t xml:space="preserve">Certains champignons comestibles récoltés dans les sous-bois et les champs constituent une autre source d’alimentation. Parmi eux, on peut citer : </w:t>
      </w:r>
      <w:r w:rsidRPr="00BB05B1">
        <w:rPr>
          <w:rFonts w:ascii="Times New Roman" w:hAnsi="Times New Roman" w:cs="Times New Roman"/>
          <w:i/>
          <w:iCs/>
          <w:sz w:val="24"/>
          <w:szCs w:val="24"/>
        </w:rPr>
        <w:t>Termitomyces tuberregium</w:t>
      </w:r>
      <w:r w:rsidRPr="00BB05B1">
        <w:rPr>
          <w:rFonts w:ascii="Times New Roman" w:hAnsi="Times New Roman" w:cs="Times New Roman"/>
          <w:sz w:val="24"/>
          <w:szCs w:val="24"/>
        </w:rPr>
        <w:t xml:space="preserve">, </w:t>
      </w:r>
      <w:r w:rsidRPr="00BB05B1">
        <w:rPr>
          <w:rFonts w:ascii="Times New Roman" w:hAnsi="Times New Roman" w:cs="Times New Roman"/>
          <w:i/>
          <w:iCs/>
          <w:sz w:val="24"/>
          <w:szCs w:val="24"/>
        </w:rPr>
        <w:t>Pasthyrella</w:t>
      </w:r>
      <w:r w:rsidRPr="00BB05B1">
        <w:rPr>
          <w:rFonts w:ascii="Times New Roman" w:hAnsi="Times New Roman" w:cs="Times New Roman"/>
          <w:sz w:val="24"/>
          <w:szCs w:val="24"/>
        </w:rPr>
        <w:t xml:space="preserve">, </w:t>
      </w:r>
      <w:r w:rsidRPr="00BB05B1">
        <w:rPr>
          <w:rFonts w:ascii="Times New Roman" w:hAnsi="Times New Roman" w:cs="Times New Roman"/>
          <w:i/>
          <w:iCs/>
          <w:sz w:val="24"/>
          <w:szCs w:val="24"/>
        </w:rPr>
        <w:t xml:space="preserve">Volvariella volvacea, Armillariella </w:t>
      </w:r>
      <w:r w:rsidRPr="00BB05B1">
        <w:rPr>
          <w:rFonts w:ascii="Times New Roman" w:hAnsi="Times New Roman" w:cs="Times New Roman"/>
          <w:sz w:val="24"/>
          <w:szCs w:val="24"/>
        </w:rPr>
        <w:t xml:space="preserve">et </w:t>
      </w:r>
      <w:r w:rsidRPr="00BB05B1">
        <w:rPr>
          <w:rFonts w:ascii="Times New Roman" w:hAnsi="Times New Roman" w:cs="Times New Roman"/>
          <w:i/>
          <w:iCs/>
          <w:sz w:val="24"/>
          <w:szCs w:val="24"/>
        </w:rPr>
        <w:t>Pleurotus</w:t>
      </w:r>
      <w:r w:rsidRPr="00BB05B1">
        <w:rPr>
          <w:rFonts w:ascii="Times New Roman" w:hAnsi="Times New Roman" w:cs="Times New Roman"/>
          <w:sz w:val="24"/>
          <w:szCs w:val="24"/>
        </w:rPr>
        <w:t>. Actuellement, la culture des champignons est effectuée à petite échelle par des initiatives privées (MAEP, 2007). D’autres champignons comestibles également récoltés dans les sous-bois et les champs (</w:t>
      </w:r>
      <w:r w:rsidRPr="00BB05B1">
        <w:rPr>
          <w:rFonts w:ascii="Times New Roman" w:hAnsi="Times New Roman" w:cs="Times New Roman"/>
          <w:i/>
          <w:iCs/>
          <w:sz w:val="24"/>
          <w:szCs w:val="24"/>
        </w:rPr>
        <w:t>Amanita loosii, Termitomyces schimperi, T. fulginosus, T. striatus, Psathyrella tuberculata, Volvarellia earlei, Lentinus tuber-regium, Lentinus squorrosulus</w:t>
      </w:r>
      <w:r w:rsidRPr="00BB05B1">
        <w:rPr>
          <w:rFonts w:ascii="Times New Roman" w:hAnsi="Times New Roman" w:cs="Times New Roman"/>
          <w:sz w:val="24"/>
          <w:szCs w:val="24"/>
        </w:rPr>
        <w:t>, etc.) constituent une source d'alimentation et sont également utilisées en médecine traditionnelle (</w:t>
      </w:r>
      <w:r w:rsidRPr="00BB05B1">
        <w:rPr>
          <w:rFonts w:ascii="Times New Roman" w:hAnsi="Times New Roman" w:cs="Times New Roman"/>
          <w:i/>
          <w:iCs/>
          <w:sz w:val="24"/>
          <w:szCs w:val="24"/>
        </w:rPr>
        <w:t>Ganoderma lucidum et Lentinus tuber-regium</w:t>
      </w:r>
      <w:r w:rsidRPr="00BB05B1">
        <w:rPr>
          <w:rFonts w:ascii="Times New Roman" w:hAnsi="Times New Roman" w:cs="Times New Roman"/>
          <w:sz w:val="24"/>
          <w:szCs w:val="24"/>
        </w:rPr>
        <w:t xml:space="preserve">) (Kamou, 2012). </w:t>
      </w:r>
    </w:p>
    <w:p w14:paraId="137EA436" w14:textId="77777777" w:rsidR="00BB05B1" w:rsidRPr="00BB05B1" w:rsidRDefault="00BB05B1" w:rsidP="00BB05B1">
      <w:pPr>
        <w:autoSpaceDE w:val="0"/>
        <w:autoSpaceDN w:val="0"/>
        <w:adjustRightInd w:val="0"/>
        <w:spacing w:after="0" w:line="240" w:lineRule="auto"/>
        <w:jc w:val="both"/>
        <w:rPr>
          <w:rFonts w:ascii="Times New Roman" w:hAnsi="Times New Roman" w:cs="Times New Roman"/>
          <w:color w:val="000000"/>
          <w:sz w:val="24"/>
          <w:szCs w:val="24"/>
        </w:rPr>
      </w:pPr>
    </w:p>
    <w:p w14:paraId="7C6E5D11" w14:textId="7EE9F54F" w:rsidR="00073EDC" w:rsidRPr="0048531F" w:rsidRDefault="00073EDC" w:rsidP="00BB05B1">
      <w:pPr>
        <w:autoSpaceDE w:val="0"/>
        <w:autoSpaceDN w:val="0"/>
        <w:adjustRightInd w:val="0"/>
        <w:spacing w:after="0" w:line="240" w:lineRule="auto"/>
        <w:jc w:val="both"/>
        <w:rPr>
          <w:rFonts w:ascii="Times New Roman" w:hAnsi="Times New Roman" w:cs="Times New Roman"/>
          <w:color w:val="000000"/>
          <w:sz w:val="24"/>
          <w:szCs w:val="24"/>
        </w:rPr>
      </w:pPr>
      <w:r w:rsidRPr="00BB05B1">
        <w:rPr>
          <w:rFonts w:ascii="Times New Roman" w:hAnsi="Times New Roman" w:cs="Times New Roman"/>
          <w:color w:val="000000"/>
          <w:sz w:val="24"/>
          <w:szCs w:val="24"/>
        </w:rPr>
        <w:t>Plu</w:t>
      </w:r>
      <w:r w:rsidR="00BB05B1" w:rsidRPr="00BB05B1">
        <w:rPr>
          <w:rFonts w:ascii="Times New Roman" w:hAnsi="Times New Roman" w:cs="Times New Roman"/>
          <w:color w:val="000000"/>
          <w:sz w:val="24"/>
          <w:szCs w:val="24"/>
        </w:rPr>
        <w:t xml:space="preserve">sieurs autres espèces fournisent </w:t>
      </w:r>
      <w:r w:rsidRPr="00BB05B1">
        <w:rPr>
          <w:rFonts w:ascii="Times New Roman" w:hAnsi="Times New Roman" w:cs="Times New Roman"/>
          <w:color w:val="000000"/>
          <w:sz w:val="24"/>
          <w:szCs w:val="24"/>
        </w:rPr>
        <w:t>d</w:t>
      </w:r>
      <w:r w:rsidRPr="0048531F">
        <w:rPr>
          <w:rFonts w:ascii="Times New Roman" w:hAnsi="Times New Roman" w:cs="Times New Roman"/>
          <w:bCs/>
          <w:iCs/>
          <w:color w:val="000000"/>
          <w:sz w:val="24"/>
          <w:szCs w:val="24"/>
        </w:rPr>
        <w:t xml:space="preserve">es fruits, </w:t>
      </w:r>
      <w:r w:rsidRPr="00BB05B1">
        <w:rPr>
          <w:rFonts w:ascii="Times New Roman" w:hAnsi="Times New Roman" w:cs="Times New Roman"/>
          <w:bCs/>
          <w:iCs/>
          <w:color w:val="000000"/>
          <w:sz w:val="24"/>
          <w:szCs w:val="24"/>
        </w:rPr>
        <w:t xml:space="preserve">des </w:t>
      </w:r>
      <w:r w:rsidRPr="0048531F">
        <w:rPr>
          <w:rFonts w:ascii="Times New Roman" w:hAnsi="Times New Roman" w:cs="Times New Roman"/>
          <w:bCs/>
          <w:iCs/>
          <w:color w:val="000000"/>
          <w:sz w:val="24"/>
          <w:szCs w:val="24"/>
        </w:rPr>
        <w:t xml:space="preserve">graines, </w:t>
      </w:r>
      <w:r w:rsidRPr="00BB05B1">
        <w:rPr>
          <w:rFonts w:ascii="Times New Roman" w:hAnsi="Times New Roman" w:cs="Times New Roman"/>
          <w:bCs/>
          <w:iCs/>
          <w:color w:val="000000"/>
          <w:sz w:val="24"/>
          <w:szCs w:val="24"/>
        </w:rPr>
        <w:t xml:space="preserve">des </w:t>
      </w:r>
      <w:r w:rsidRPr="0048531F">
        <w:rPr>
          <w:rFonts w:ascii="Times New Roman" w:hAnsi="Times New Roman" w:cs="Times New Roman"/>
          <w:bCs/>
          <w:iCs/>
          <w:color w:val="000000"/>
          <w:sz w:val="24"/>
          <w:szCs w:val="24"/>
        </w:rPr>
        <w:t xml:space="preserve">noix et </w:t>
      </w:r>
      <w:r w:rsidRPr="00BB05B1">
        <w:rPr>
          <w:rFonts w:ascii="Times New Roman" w:hAnsi="Times New Roman" w:cs="Times New Roman"/>
          <w:bCs/>
          <w:iCs/>
          <w:color w:val="000000"/>
          <w:sz w:val="24"/>
          <w:szCs w:val="24"/>
        </w:rPr>
        <w:t xml:space="preserve">des </w:t>
      </w:r>
      <w:r w:rsidRPr="0048531F">
        <w:rPr>
          <w:rFonts w:ascii="Times New Roman" w:hAnsi="Times New Roman" w:cs="Times New Roman"/>
          <w:bCs/>
          <w:iCs/>
          <w:color w:val="000000"/>
          <w:sz w:val="24"/>
          <w:szCs w:val="24"/>
        </w:rPr>
        <w:t>feuilles</w:t>
      </w:r>
      <w:r w:rsidR="00AE224F">
        <w:rPr>
          <w:rFonts w:ascii="Times New Roman" w:hAnsi="Times New Roman" w:cs="Times New Roman"/>
          <w:bCs/>
          <w:iCs/>
          <w:color w:val="000000"/>
          <w:sz w:val="24"/>
          <w:szCs w:val="24"/>
        </w:rPr>
        <w:t xml:space="preserve"> </w:t>
      </w:r>
      <w:r w:rsidRPr="0048531F">
        <w:rPr>
          <w:rFonts w:ascii="Times New Roman" w:hAnsi="Times New Roman" w:cs="Times New Roman"/>
          <w:color w:val="000000"/>
          <w:sz w:val="24"/>
          <w:szCs w:val="24"/>
        </w:rPr>
        <w:t xml:space="preserve">: le fruit de karité, la graine de néré, la noix de cola, l’avocat, </w:t>
      </w:r>
      <w:r w:rsidR="00BB05B1" w:rsidRPr="00BB05B1">
        <w:rPr>
          <w:rFonts w:ascii="Times New Roman" w:hAnsi="Times New Roman" w:cs="Times New Roman"/>
          <w:color w:val="000000"/>
          <w:sz w:val="24"/>
          <w:szCs w:val="24"/>
        </w:rPr>
        <w:t xml:space="preserve">le </w:t>
      </w:r>
      <w:r w:rsidR="00BB05B1" w:rsidRPr="0048531F">
        <w:rPr>
          <w:rFonts w:ascii="Times New Roman" w:hAnsi="Times New Roman" w:cs="Times New Roman"/>
          <w:color w:val="000000"/>
          <w:sz w:val="24"/>
          <w:szCs w:val="24"/>
        </w:rPr>
        <w:t>baobab</w:t>
      </w:r>
      <w:r w:rsidR="00BB05B1" w:rsidRPr="00BB05B1">
        <w:rPr>
          <w:rFonts w:ascii="Times New Roman" w:hAnsi="Times New Roman" w:cs="Times New Roman"/>
          <w:color w:val="000000"/>
          <w:sz w:val="24"/>
          <w:szCs w:val="24"/>
        </w:rPr>
        <w:t xml:space="preserve">, </w:t>
      </w:r>
      <w:r w:rsidRPr="0048531F">
        <w:rPr>
          <w:rFonts w:ascii="Times New Roman" w:hAnsi="Times New Roman" w:cs="Times New Roman"/>
          <w:color w:val="000000"/>
          <w:sz w:val="24"/>
          <w:szCs w:val="24"/>
        </w:rPr>
        <w:t>l’orange et la noix de coco constituent une source de revenu surtout pour la population rurale du Togo.</w:t>
      </w:r>
      <w:r w:rsidR="0032558C">
        <w:rPr>
          <w:rFonts w:ascii="Times New Roman" w:hAnsi="Times New Roman" w:cs="Times New Roman"/>
          <w:color w:val="000000"/>
          <w:sz w:val="24"/>
          <w:szCs w:val="24"/>
        </w:rPr>
        <w:t xml:space="preserve"> </w:t>
      </w:r>
      <w:r w:rsidRPr="0048531F">
        <w:rPr>
          <w:rFonts w:ascii="Times New Roman" w:hAnsi="Times New Roman" w:cs="Times New Roman"/>
          <w:color w:val="000000"/>
          <w:sz w:val="24"/>
          <w:szCs w:val="24"/>
        </w:rPr>
        <w:t xml:space="preserve">L’anacardier est cultivé au Togo et constitue une composante des forêts artificielles. La superficie des plantations a évolué pour atteindre 18 527,45 ha en 2014 contre 2210 ha en 2011. La production nationale d'anacarde est passée de 84 à 87 tonnes en 2011 à 6 268 107 tonnes en 2014 (DSID, 2014). </w:t>
      </w:r>
    </w:p>
    <w:p w14:paraId="30F550E2" w14:textId="77777777" w:rsidR="00073EDC" w:rsidRPr="00BB05B1" w:rsidRDefault="00073EDC" w:rsidP="00BB05B1">
      <w:pPr>
        <w:autoSpaceDE w:val="0"/>
        <w:autoSpaceDN w:val="0"/>
        <w:adjustRightInd w:val="0"/>
        <w:spacing w:after="0" w:line="240" w:lineRule="auto"/>
        <w:jc w:val="both"/>
        <w:rPr>
          <w:rFonts w:ascii="Times New Roman" w:hAnsi="Times New Roman" w:cs="Times New Roman"/>
          <w:color w:val="000000"/>
          <w:sz w:val="24"/>
          <w:szCs w:val="24"/>
        </w:rPr>
      </w:pPr>
    </w:p>
    <w:p w14:paraId="4E2CC3BE" w14:textId="77777777" w:rsidR="0048531F" w:rsidRDefault="00810B5C" w:rsidP="00BB05B1">
      <w:pPr>
        <w:autoSpaceDE w:val="0"/>
        <w:autoSpaceDN w:val="0"/>
        <w:adjustRightInd w:val="0"/>
        <w:spacing w:after="0" w:line="240" w:lineRule="auto"/>
        <w:jc w:val="both"/>
        <w:rPr>
          <w:rFonts w:ascii="Times New Roman" w:hAnsi="Times New Roman" w:cs="Times New Roman"/>
          <w:color w:val="000000"/>
          <w:sz w:val="24"/>
          <w:szCs w:val="24"/>
        </w:rPr>
      </w:pPr>
      <w:r w:rsidRPr="00BB05B1">
        <w:rPr>
          <w:rFonts w:ascii="Times New Roman" w:hAnsi="Times New Roman" w:cs="Times New Roman"/>
          <w:color w:val="000000"/>
          <w:sz w:val="24"/>
          <w:szCs w:val="24"/>
        </w:rPr>
        <w:t xml:space="preserve">En ce qui concerne les systèmes de production agricole, le sorgho, le mil précoce, le riz, et le maïs constituent les </w:t>
      </w:r>
      <w:r w:rsidR="0048531F" w:rsidRPr="0048531F">
        <w:rPr>
          <w:rFonts w:ascii="Times New Roman" w:hAnsi="Times New Roman" w:cs="Times New Roman"/>
          <w:color w:val="000000"/>
          <w:sz w:val="24"/>
          <w:szCs w:val="24"/>
        </w:rPr>
        <w:t>élément</w:t>
      </w:r>
      <w:r w:rsidRPr="00BB05B1">
        <w:rPr>
          <w:rFonts w:ascii="Times New Roman" w:hAnsi="Times New Roman" w:cs="Times New Roman"/>
          <w:color w:val="000000"/>
          <w:sz w:val="24"/>
          <w:szCs w:val="24"/>
        </w:rPr>
        <w:t>s</w:t>
      </w:r>
      <w:r w:rsidR="0048531F" w:rsidRPr="0048531F">
        <w:rPr>
          <w:rFonts w:ascii="Times New Roman" w:hAnsi="Times New Roman" w:cs="Times New Roman"/>
          <w:color w:val="000000"/>
          <w:sz w:val="24"/>
          <w:szCs w:val="24"/>
        </w:rPr>
        <w:t xml:space="preserve"> fon</w:t>
      </w:r>
      <w:r w:rsidRPr="00BB05B1">
        <w:rPr>
          <w:rFonts w:ascii="Times New Roman" w:hAnsi="Times New Roman" w:cs="Times New Roman"/>
          <w:color w:val="000000"/>
          <w:sz w:val="24"/>
          <w:szCs w:val="24"/>
        </w:rPr>
        <w:t>damentaux</w:t>
      </w:r>
      <w:r w:rsidR="0048531F" w:rsidRPr="0048531F">
        <w:rPr>
          <w:rFonts w:ascii="Times New Roman" w:hAnsi="Times New Roman" w:cs="Times New Roman"/>
          <w:color w:val="000000"/>
          <w:sz w:val="24"/>
          <w:szCs w:val="24"/>
        </w:rPr>
        <w:t xml:space="preserve"> de l’alimentation dans les villages</w:t>
      </w:r>
      <w:r w:rsidRPr="00BB05B1">
        <w:rPr>
          <w:rFonts w:ascii="Times New Roman" w:hAnsi="Times New Roman" w:cs="Times New Roman"/>
          <w:color w:val="000000"/>
          <w:sz w:val="24"/>
          <w:szCs w:val="24"/>
        </w:rPr>
        <w:t xml:space="preserve"> (pates et bières locales)</w:t>
      </w:r>
      <w:r w:rsidR="0048531F" w:rsidRPr="0048531F">
        <w:rPr>
          <w:rFonts w:ascii="Times New Roman" w:hAnsi="Times New Roman" w:cs="Times New Roman"/>
          <w:color w:val="000000"/>
          <w:sz w:val="24"/>
          <w:szCs w:val="24"/>
        </w:rPr>
        <w:t xml:space="preserve">. </w:t>
      </w:r>
    </w:p>
    <w:p w14:paraId="7074CFBB" w14:textId="77777777" w:rsidR="00AE224F" w:rsidRPr="0048531F" w:rsidRDefault="00AE224F" w:rsidP="00BB05B1">
      <w:pPr>
        <w:autoSpaceDE w:val="0"/>
        <w:autoSpaceDN w:val="0"/>
        <w:adjustRightInd w:val="0"/>
        <w:spacing w:after="0" w:line="240" w:lineRule="auto"/>
        <w:jc w:val="both"/>
        <w:rPr>
          <w:rFonts w:ascii="Times New Roman" w:hAnsi="Times New Roman" w:cs="Times New Roman"/>
          <w:color w:val="000000"/>
          <w:sz w:val="24"/>
          <w:szCs w:val="24"/>
        </w:rPr>
      </w:pPr>
    </w:p>
    <w:p w14:paraId="265E4177" w14:textId="77777777" w:rsidR="00073EDC" w:rsidRPr="00BB05B1" w:rsidRDefault="00810B5C" w:rsidP="00BB05B1">
      <w:pPr>
        <w:autoSpaceDE w:val="0"/>
        <w:autoSpaceDN w:val="0"/>
        <w:adjustRightInd w:val="0"/>
        <w:spacing w:after="0" w:line="240" w:lineRule="auto"/>
        <w:jc w:val="both"/>
        <w:rPr>
          <w:rFonts w:ascii="Times New Roman" w:hAnsi="Times New Roman" w:cs="Times New Roman"/>
          <w:color w:val="000000"/>
          <w:sz w:val="24"/>
          <w:szCs w:val="24"/>
        </w:rPr>
      </w:pPr>
      <w:r w:rsidRPr="00BB05B1">
        <w:rPr>
          <w:rFonts w:ascii="Times New Roman" w:hAnsi="Times New Roman" w:cs="Times New Roman"/>
          <w:color w:val="000000"/>
          <w:sz w:val="24"/>
          <w:szCs w:val="24"/>
        </w:rPr>
        <w:t>Le mil</w:t>
      </w:r>
      <w:r w:rsidRPr="0048531F">
        <w:rPr>
          <w:rFonts w:ascii="Times New Roman" w:hAnsi="Times New Roman" w:cs="Times New Roman"/>
          <w:color w:val="000000"/>
          <w:sz w:val="24"/>
          <w:szCs w:val="24"/>
        </w:rPr>
        <w:t>, le haricot, le niébé, le voandzou et le maïs sont les principales espèces utilisé</w:t>
      </w:r>
      <w:r w:rsidR="00BF276E" w:rsidRPr="00BB05B1">
        <w:rPr>
          <w:rFonts w:ascii="Times New Roman" w:hAnsi="Times New Roman" w:cs="Times New Roman"/>
          <w:color w:val="000000"/>
          <w:sz w:val="24"/>
          <w:szCs w:val="24"/>
        </w:rPr>
        <w:t xml:space="preserve">es en pur ou en mélange pour divers coucous. </w:t>
      </w:r>
      <w:r w:rsidR="00BF276E" w:rsidRPr="00BB05B1">
        <w:rPr>
          <w:rFonts w:ascii="Times New Roman" w:hAnsi="Times New Roman" w:cs="Times New Roman"/>
          <w:bCs/>
          <w:color w:val="000000"/>
          <w:sz w:val="24"/>
          <w:szCs w:val="24"/>
        </w:rPr>
        <w:t>Plusieurs espèces sont cultivées sous forme de légumes :</w:t>
      </w:r>
    </w:p>
    <w:p w14:paraId="09024C39" w14:textId="0955863E" w:rsidR="00073EDC" w:rsidRPr="00BB05B1" w:rsidRDefault="00AE224F" w:rsidP="00E50666">
      <w:pPr>
        <w:pStyle w:val="Paragraphedeliste"/>
        <w:numPr>
          <w:ilvl w:val="0"/>
          <w:numId w:val="31"/>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f</w:t>
      </w:r>
      <w:r w:rsidR="0048531F" w:rsidRPr="00BB05B1">
        <w:rPr>
          <w:rFonts w:ascii="Times New Roman" w:hAnsi="Times New Roman" w:cs="Times New Roman"/>
          <w:color w:val="000000"/>
          <w:sz w:val="24"/>
          <w:szCs w:val="24"/>
        </w:rPr>
        <w:t>euilles : Oseille de Guinée (</w:t>
      </w:r>
      <w:r w:rsidR="0048531F" w:rsidRPr="00BB05B1">
        <w:rPr>
          <w:rFonts w:ascii="Times New Roman" w:hAnsi="Times New Roman" w:cs="Times New Roman"/>
          <w:i/>
          <w:iCs/>
          <w:color w:val="000000"/>
          <w:sz w:val="24"/>
          <w:szCs w:val="24"/>
        </w:rPr>
        <w:t>Hibiscus sabdariffa</w:t>
      </w:r>
      <w:r w:rsidR="0048531F" w:rsidRPr="00BB05B1">
        <w:rPr>
          <w:rFonts w:ascii="Times New Roman" w:hAnsi="Times New Roman" w:cs="Times New Roman"/>
          <w:color w:val="000000"/>
          <w:sz w:val="24"/>
          <w:szCs w:val="24"/>
        </w:rPr>
        <w:t>), de knaf (</w:t>
      </w:r>
      <w:r w:rsidR="0048531F" w:rsidRPr="00BB05B1">
        <w:rPr>
          <w:rFonts w:ascii="Times New Roman" w:hAnsi="Times New Roman" w:cs="Times New Roman"/>
          <w:i/>
          <w:iCs/>
          <w:color w:val="000000"/>
          <w:sz w:val="24"/>
          <w:szCs w:val="24"/>
        </w:rPr>
        <w:t xml:space="preserve">Hibiscus cannabinus) </w:t>
      </w:r>
      <w:r w:rsidR="0048531F" w:rsidRPr="00BB05B1">
        <w:rPr>
          <w:rFonts w:ascii="Times New Roman" w:hAnsi="Times New Roman" w:cs="Times New Roman"/>
          <w:color w:val="000000"/>
          <w:sz w:val="24"/>
          <w:szCs w:val="24"/>
        </w:rPr>
        <w:t>niebe (</w:t>
      </w:r>
      <w:r w:rsidR="0048531F" w:rsidRPr="00BB05B1">
        <w:rPr>
          <w:rFonts w:ascii="Times New Roman" w:hAnsi="Times New Roman" w:cs="Times New Roman"/>
          <w:i/>
          <w:iCs/>
          <w:color w:val="000000"/>
          <w:sz w:val="24"/>
          <w:szCs w:val="24"/>
        </w:rPr>
        <w:t>vigna spp</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 xml:space="preserve">corète </w:t>
      </w:r>
      <w:r w:rsidR="0048531F" w:rsidRPr="00BB05B1">
        <w:rPr>
          <w:rFonts w:ascii="Times New Roman" w:hAnsi="Times New Roman" w:cs="Times New Roman"/>
          <w:color w:val="000000"/>
          <w:sz w:val="24"/>
          <w:szCs w:val="24"/>
        </w:rPr>
        <w:t>(</w:t>
      </w:r>
      <w:r w:rsidR="0048531F" w:rsidRPr="00BB05B1">
        <w:rPr>
          <w:rFonts w:ascii="Times New Roman" w:hAnsi="Times New Roman" w:cs="Times New Roman"/>
          <w:i/>
          <w:iCs/>
          <w:color w:val="000000"/>
          <w:sz w:val="24"/>
          <w:szCs w:val="24"/>
        </w:rPr>
        <w:t>Corchorus tridens</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Corchorus fascicularis Corchorus olitorius</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Ceratotheca sesamoides</w:t>
      </w:r>
      <w:r w:rsidR="0048531F" w:rsidRPr="00BB05B1">
        <w:rPr>
          <w:rFonts w:ascii="Times New Roman" w:hAnsi="Times New Roman" w:cs="Times New Roman"/>
          <w:color w:val="000000"/>
          <w:sz w:val="24"/>
          <w:szCs w:val="24"/>
        </w:rPr>
        <w:t>, baobab (</w:t>
      </w:r>
      <w:r w:rsidR="0048531F" w:rsidRPr="00BB05B1">
        <w:rPr>
          <w:rFonts w:ascii="Times New Roman" w:hAnsi="Times New Roman" w:cs="Times New Roman"/>
          <w:i/>
          <w:iCs/>
          <w:color w:val="000000"/>
          <w:sz w:val="24"/>
          <w:szCs w:val="24"/>
        </w:rPr>
        <w:t>Adansonia digitata</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Cucurbita pepo, Amaranthus spinosus</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Boerhavia diffusa</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Leptadenia hastata</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Moringa oleifera</w:t>
      </w:r>
      <w:r w:rsidR="0048531F" w:rsidRPr="00BB05B1">
        <w:rPr>
          <w:rFonts w:ascii="Times New Roman" w:hAnsi="Times New Roman" w:cs="Times New Roman"/>
          <w:color w:val="000000"/>
          <w:sz w:val="24"/>
          <w:szCs w:val="24"/>
        </w:rPr>
        <w:t xml:space="preserve">; </w:t>
      </w:r>
    </w:p>
    <w:p w14:paraId="3832DFF4" w14:textId="067CD2B1" w:rsidR="00073EDC" w:rsidRPr="00BB05B1" w:rsidRDefault="00AE224F" w:rsidP="00E50666">
      <w:pPr>
        <w:pStyle w:val="Paragraphedeliste"/>
        <w:numPr>
          <w:ilvl w:val="0"/>
          <w:numId w:val="31"/>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f</w:t>
      </w:r>
      <w:r w:rsidR="0048531F" w:rsidRPr="00BB05B1">
        <w:rPr>
          <w:rFonts w:ascii="Times New Roman" w:hAnsi="Times New Roman" w:cs="Times New Roman"/>
          <w:color w:val="000000"/>
          <w:sz w:val="24"/>
          <w:szCs w:val="24"/>
        </w:rPr>
        <w:t>ruits : gombo (</w:t>
      </w:r>
      <w:r w:rsidR="0048531F" w:rsidRPr="00BB05B1">
        <w:rPr>
          <w:rFonts w:ascii="Times New Roman" w:hAnsi="Times New Roman" w:cs="Times New Roman"/>
          <w:i/>
          <w:iCs/>
          <w:color w:val="000000"/>
          <w:sz w:val="24"/>
          <w:szCs w:val="24"/>
        </w:rPr>
        <w:t>Abelmoschus esculentus</w:t>
      </w:r>
      <w:r w:rsidR="0048531F" w:rsidRPr="00BB05B1">
        <w:rPr>
          <w:rFonts w:ascii="Times New Roman" w:hAnsi="Times New Roman" w:cs="Times New Roman"/>
          <w:color w:val="000000"/>
          <w:sz w:val="24"/>
          <w:szCs w:val="24"/>
        </w:rPr>
        <w:t xml:space="preserve">), </w:t>
      </w:r>
      <w:r>
        <w:rPr>
          <w:rFonts w:ascii="Times New Roman" w:hAnsi="Times New Roman" w:cs="Times New Roman"/>
          <w:i/>
          <w:iCs/>
          <w:color w:val="000000"/>
          <w:sz w:val="24"/>
          <w:szCs w:val="24"/>
        </w:rPr>
        <w:t>Cucurbita pepo</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 xml:space="preserve">Solanum aethiopicum Capsicum </w:t>
      </w:r>
      <w:r w:rsidR="0048531F" w:rsidRPr="00BB05B1">
        <w:rPr>
          <w:rFonts w:ascii="Times New Roman" w:hAnsi="Times New Roman" w:cs="Times New Roman"/>
          <w:color w:val="000000"/>
          <w:sz w:val="24"/>
          <w:szCs w:val="24"/>
        </w:rPr>
        <w:t xml:space="preserve">spp (piment), </w:t>
      </w:r>
      <w:r w:rsidR="0048531F" w:rsidRPr="00BB05B1">
        <w:rPr>
          <w:rFonts w:ascii="Times New Roman" w:hAnsi="Times New Roman" w:cs="Times New Roman"/>
          <w:i/>
          <w:iCs/>
          <w:color w:val="000000"/>
          <w:sz w:val="24"/>
          <w:szCs w:val="24"/>
        </w:rPr>
        <w:t xml:space="preserve">Lycopersicum esculentus </w:t>
      </w:r>
      <w:r w:rsidR="0048531F" w:rsidRPr="00BB05B1">
        <w:rPr>
          <w:rFonts w:ascii="Times New Roman" w:hAnsi="Times New Roman" w:cs="Times New Roman"/>
          <w:color w:val="000000"/>
          <w:sz w:val="24"/>
          <w:szCs w:val="24"/>
        </w:rPr>
        <w:t xml:space="preserve">(tomate); </w:t>
      </w:r>
      <w:r w:rsidR="0048531F" w:rsidRPr="00BB05B1">
        <w:rPr>
          <w:rFonts w:ascii="Times New Roman" w:hAnsi="Times New Roman" w:cs="Times New Roman"/>
          <w:i/>
          <w:iCs/>
          <w:color w:val="000000"/>
          <w:sz w:val="24"/>
          <w:szCs w:val="24"/>
        </w:rPr>
        <w:t xml:space="preserve">Annona senegalensis </w:t>
      </w:r>
      <w:r w:rsidR="0048531F" w:rsidRPr="00BB05B1">
        <w:rPr>
          <w:rFonts w:ascii="Times New Roman" w:hAnsi="Times New Roman" w:cs="Times New Roman"/>
          <w:color w:val="000000"/>
          <w:sz w:val="24"/>
          <w:szCs w:val="24"/>
        </w:rPr>
        <w:t>;</w:t>
      </w:r>
    </w:p>
    <w:p w14:paraId="12C664CB" w14:textId="7475D456" w:rsidR="00073EDC" w:rsidRPr="00BB05B1" w:rsidRDefault="00AE224F" w:rsidP="00E50666">
      <w:pPr>
        <w:pStyle w:val="Paragraphedeliste"/>
        <w:numPr>
          <w:ilvl w:val="0"/>
          <w:numId w:val="31"/>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g</w:t>
      </w:r>
      <w:r w:rsidR="0048531F" w:rsidRPr="00BB05B1">
        <w:rPr>
          <w:rFonts w:ascii="Times New Roman" w:hAnsi="Times New Roman" w:cs="Times New Roman"/>
          <w:color w:val="000000"/>
          <w:sz w:val="24"/>
          <w:szCs w:val="24"/>
        </w:rPr>
        <w:t xml:space="preserve">raines : </w:t>
      </w:r>
      <w:r w:rsidR="0048531F" w:rsidRPr="00BB05B1">
        <w:rPr>
          <w:rFonts w:ascii="Times New Roman" w:hAnsi="Times New Roman" w:cs="Times New Roman"/>
          <w:i/>
          <w:iCs/>
          <w:color w:val="000000"/>
          <w:sz w:val="24"/>
          <w:szCs w:val="24"/>
        </w:rPr>
        <w:t>Sesamum indicum, Citrullus sp, Langeria sp</w:t>
      </w:r>
      <w:r w:rsidR="0048531F" w:rsidRPr="00BB05B1">
        <w:rPr>
          <w:rFonts w:ascii="Times New Roman" w:hAnsi="Times New Roman" w:cs="Times New Roman"/>
          <w:color w:val="000000"/>
          <w:sz w:val="24"/>
          <w:szCs w:val="24"/>
        </w:rPr>
        <w:t xml:space="preserve">, les graines de </w:t>
      </w:r>
      <w:r w:rsidR="0048531F" w:rsidRPr="00BB05B1">
        <w:rPr>
          <w:rFonts w:ascii="Times New Roman" w:hAnsi="Times New Roman" w:cs="Times New Roman"/>
          <w:i/>
          <w:iCs/>
          <w:color w:val="000000"/>
          <w:sz w:val="24"/>
          <w:szCs w:val="24"/>
        </w:rPr>
        <w:t xml:space="preserve">Parkia biglobosa </w:t>
      </w:r>
      <w:r w:rsidR="0048531F" w:rsidRPr="00BB05B1">
        <w:rPr>
          <w:rFonts w:ascii="Times New Roman" w:hAnsi="Times New Roman" w:cs="Times New Roman"/>
          <w:color w:val="000000"/>
          <w:sz w:val="24"/>
          <w:szCs w:val="24"/>
        </w:rPr>
        <w:t xml:space="preserve">(néré) transformées en "soumbala", de baobab. </w:t>
      </w:r>
    </w:p>
    <w:p w14:paraId="6015685B" w14:textId="61875CE4" w:rsidR="00073EDC" w:rsidRPr="00BB05B1" w:rsidRDefault="00AE224F" w:rsidP="00E50666">
      <w:pPr>
        <w:pStyle w:val="Paragraphedeliste"/>
        <w:numPr>
          <w:ilvl w:val="0"/>
          <w:numId w:val="31"/>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w:t>
      </w:r>
      <w:r w:rsidR="0048531F" w:rsidRPr="00BB05B1">
        <w:rPr>
          <w:rFonts w:ascii="Times New Roman" w:hAnsi="Times New Roman" w:cs="Times New Roman"/>
          <w:color w:val="000000"/>
          <w:sz w:val="24"/>
          <w:szCs w:val="24"/>
        </w:rPr>
        <w:t xml:space="preserve">alice : </w:t>
      </w:r>
      <w:r w:rsidR="0048531F" w:rsidRPr="00BB05B1">
        <w:rPr>
          <w:rFonts w:ascii="Times New Roman" w:hAnsi="Times New Roman" w:cs="Times New Roman"/>
          <w:i/>
          <w:iCs/>
          <w:color w:val="000000"/>
          <w:sz w:val="24"/>
          <w:szCs w:val="24"/>
        </w:rPr>
        <w:t>Hibiscus sabdariffa</w:t>
      </w:r>
      <w:r w:rsidR="0048531F" w:rsidRPr="00BB05B1">
        <w:rPr>
          <w:rFonts w:ascii="Times New Roman" w:hAnsi="Times New Roman" w:cs="Times New Roman"/>
          <w:color w:val="000000"/>
          <w:sz w:val="24"/>
          <w:szCs w:val="24"/>
        </w:rPr>
        <w:t xml:space="preserve">, </w:t>
      </w:r>
      <w:r w:rsidR="0048531F" w:rsidRPr="00BB05B1">
        <w:rPr>
          <w:rFonts w:ascii="Times New Roman" w:hAnsi="Times New Roman" w:cs="Times New Roman"/>
          <w:i/>
          <w:iCs/>
          <w:color w:val="000000"/>
          <w:sz w:val="24"/>
          <w:szCs w:val="24"/>
        </w:rPr>
        <w:t xml:space="preserve">Bombax costatum </w:t>
      </w:r>
      <w:r w:rsidR="0048531F" w:rsidRPr="00BB05B1">
        <w:rPr>
          <w:rFonts w:ascii="Times New Roman" w:hAnsi="Times New Roman" w:cs="Times New Roman"/>
          <w:color w:val="000000"/>
          <w:sz w:val="24"/>
          <w:szCs w:val="24"/>
        </w:rPr>
        <w:t xml:space="preserve">; </w:t>
      </w:r>
    </w:p>
    <w:p w14:paraId="30515622" w14:textId="05F65991" w:rsidR="0048531F" w:rsidRPr="00BB05B1" w:rsidRDefault="00AE224F" w:rsidP="00E50666">
      <w:pPr>
        <w:pStyle w:val="Paragraphedeliste"/>
        <w:numPr>
          <w:ilvl w:val="0"/>
          <w:numId w:val="31"/>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w:t>
      </w:r>
      <w:r w:rsidR="0048531F" w:rsidRPr="00BB05B1">
        <w:rPr>
          <w:rFonts w:ascii="Times New Roman" w:hAnsi="Times New Roman" w:cs="Times New Roman"/>
          <w:color w:val="000000"/>
          <w:sz w:val="24"/>
          <w:szCs w:val="24"/>
        </w:rPr>
        <w:t xml:space="preserve">iges : </w:t>
      </w:r>
      <w:r w:rsidR="0048531F" w:rsidRPr="00BB05B1">
        <w:rPr>
          <w:rFonts w:ascii="Times New Roman" w:hAnsi="Times New Roman" w:cs="Times New Roman"/>
          <w:i/>
          <w:iCs/>
          <w:color w:val="000000"/>
          <w:sz w:val="24"/>
          <w:szCs w:val="24"/>
        </w:rPr>
        <w:t xml:space="preserve">Allium sativum </w:t>
      </w:r>
      <w:r w:rsidR="0048531F" w:rsidRPr="00BB05B1">
        <w:rPr>
          <w:rFonts w:ascii="Times New Roman" w:hAnsi="Times New Roman" w:cs="Times New Roman"/>
          <w:color w:val="000000"/>
          <w:sz w:val="24"/>
          <w:szCs w:val="24"/>
        </w:rPr>
        <w:t xml:space="preserve">(ail), </w:t>
      </w:r>
      <w:r w:rsidR="0048531F" w:rsidRPr="00BB05B1">
        <w:rPr>
          <w:rFonts w:ascii="Times New Roman" w:hAnsi="Times New Roman" w:cs="Times New Roman"/>
          <w:i/>
          <w:iCs/>
          <w:color w:val="000000"/>
          <w:sz w:val="24"/>
          <w:szCs w:val="24"/>
        </w:rPr>
        <w:t xml:space="preserve">Allium cepa </w:t>
      </w:r>
      <w:r>
        <w:rPr>
          <w:rFonts w:ascii="Times New Roman" w:hAnsi="Times New Roman" w:cs="Times New Roman"/>
          <w:color w:val="000000"/>
          <w:sz w:val="24"/>
          <w:szCs w:val="24"/>
        </w:rPr>
        <w:t>(oignon).</w:t>
      </w:r>
    </w:p>
    <w:p w14:paraId="3B621F7B" w14:textId="77777777" w:rsidR="008253C1" w:rsidRPr="008253C1" w:rsidRDefault="008253C1" w:rsidP="0048531F">
      <w:pPr>
        <w:spacing w:after="0" w:line="240" w:lineRule="auto"/>
        <w:jc w:val="both"/>
        <w:rPr>
          <w:rFonts w:ascii="Times New Roman" w:hAnsi="Times New Roman" w:cs="Times New Roman"/>
          <w:iCs/>
          <w:sz w:val="24"/>
          <w:szCs w:val="24"/>
        </w:rPr>
      </w:pPr>
    </w:p>
    <w:p w14:paraId="3E5E9650" w14:textId="77777777" w:rsidR="009C0565" w:rsidRDefault="008253C1" w:rsidP="00254C9C">
      <w:pPr>
        <w:spacing w:after="0" w:line="240" w:lineRule="auto"/>
        <w:jc w:val="both"/>
        <w:rPr>
          <w:rFonts w:ascii="Times New Roman" w:hAnsi="Times New Roman" w:cs="Times New Roman"/>
          <w:iCs/>
          <w:sz w:val="24"/>
          <w:szCs w:val="24"/>
          <w:lang w:val="fr-CA"/>
        </w:rPr>
      </w:pPr>
      <w:r w:rsidRPr="00A03C36">
        <w:rPr>
          <w:rFonts w:ascii="Times New Roman" w:hAnsi="Times New Roman" w:cs="Times New Roman"/>
          <w:iCs/>
          <w:sz w:val="24"/>
          <w:szCs w:val="24"/>
          <w:lang w:val="fr-CA"/>
        </w:rPr>
        <w:t>Des</w:t>
      </w:r>
      <w:r w:rsidR="009C0565" w:rsidRPr="00A03C36">
        <w:rPr>
          <w:rFonts w:ascii="Times New Roman" w:hAnsi="Times New Roman" w:cs="Times New Roman"/>
          <w:iCs/>
          <w:sz w:val="24"/>
          <w:szCs w:val="24"/>
          <w:lang w:val="fr-CA"/>
        </w:rPr>
        <w:t xml:space="preserve"> évaluations de la ressource et des lignes directrices sur l’utilisation durable pour les espèces de plantes cu</w:t>
      </w:r>
      <w:r w:rsidRPr="00A03C36">
        <w:rPr>
          <w:rFonts w:ascii="Times New Roman" w:hAnsi="Times New Roman" w:cs="Times New Roman"/>
          <w:iCs/>
          <w:sz w:val="24"/>
          <w:szCs w:val="24"/>
          <w:lang w:val="fr-CA"/>
        </w:rPr>
        <w:t>ltivées à des fins commerciales sont encore à leur début.</w:t>
      </w:r>
    </w:p>
    <w:p w14:paraId="70EEDDAB" w14:textId="77777777" w:rsidR="001247CB" w:rsidRDefault="001247CB" w:rsidP="00254C9C">
      <w:pPr>
        <w:spacing w:after="0" w:line="240" w:lineRule="auto"/>
        <w:jc w:val="both"/>
        <w:rPr>
          <w:rFonts w:ascii="Times New Roman" w:hAnsi="Times New Roman" w:cs="Times New Roman"/>
          <w:iCs/>
          <w:sz w:val="24"/>
          <w:szCs w:val="24"/>
          <w:lang w:val="fr-CA"/>
        </w:rPr>
      </w:pPr>
    </w:p>
    <w:p w14:paraId="16BAE881" w14:textId="77777777" w:rsidR="001247CB" w:rsidRPr="00A03C36" w:rsidRDefault="001247CB" w:rsidP="00254C9C">
      <w:pPr>
        <w:spacing w:after="0" w:line="240" w:lineRule="auto"/>
        <w:jc w:val="both"/>
        <w:rPr>
          <w:rFonts w:ascii="Times New Roman" w:hAnsi="Times New Roman" w:cs="Times New Roman"/>
          <w:iCs/>
          <w:sz w:val="24"/>
          <w:szCs w:val="24"/>
          <w:lang w:val="fr-CA"/>
        </w:rPr>
      </w:pPr>
    </w:p>
    <w:p w14:paraId="4DB952BA" w14:textId="77777777" w:rsidR="008253C1" w:rsidRPr="00A03C36" w:rsidRDefault="008253C1" w:rsidP="00254C9C">
      <w:pPr>
        <w:spacing w:after="0" w:line="240" w:lineRule="auto"/>
        <w:jc w:val="both"/>
        <w:rPr>
          <w:rFonts w:ascii="Times New Roman" w:hAnsi="Times New Roman" w:cs="Times New Roman"/>
          <w:iCs/>
          <w:sz w:val="24"/>
          <w:szCs w:val="24"/>
          <w:lang w:val="fr-CA"/>
        </w:rPr>
      </w:pPr>
    </w:p>
    <w:p w14:paraId="59A79757" w14:textId="2F4267B9" w:rsidR="00BC40F3" w:rsidRDefault="009C0565" w:rsidP="00BC40F3">
      <w:pPr>
        <w:spacing w:after="0" w:line="240" w:lineRule="auto"/>
        <w:jc w:val="both"/>
        <w:rPr>
          <w:rFonts w:ascii="Times New Roman" w:hAnsi="Times New Roman" w:cs="Times New Roman"/>
          <w:b/>
          <w:iCs/>
          <w:kern w:val="22"/>
          <w:sz w:val="24"/>
          <w:szCs w:val="24"/>
          <w:lang w:val="fr-CA"/>
        </w:rPr>
      </w:pPr>
      <w:r w:rsidRPr="00A03C36">
        <w:rPr>
          <w:rFonts w:ascii="Times New Roman" w:hAnsi="Times New Roman" w:cs="Times New Roman"/>
          <w:b/>
          <w:iCs/>
          <w:kern w:val="22"/>
          <w:sz w:val="24"/>
          <w:szCs w:val="24"/>
          <w:lang w:val="fr-CA"/>
        </w:rPr>
        <w:t xml:space="preserve">Objectif </w:t>
      </w:r>
      <w:r w:rsidR="00AE224F">
        <w:rPr>
          <w:rFonts w:ascii="Times New Roman" w:hAnsi="Times New Roman" w:cs="Times New Roman"/>
          <w:b/>
          <w:iCs/>
          <w:kern w:val="22"/>
          <w:sz w:val="24"/>
          <w:szCs w:val="24"/>
          <w:lang w:val="fr-CA"/>
        </w:rPr>
        <w:t xml:space="preserve"> </w:t>
      </w:r>
      <w:r w:rsidRPr="00A03C36">
        <w:rPr>
          <w:rFonts w:ascii="Times New Roman" w:hAnsi="Times New Roman" w:cs="Times New Roman"/>
          <w:b/>
          <w:iCs/>
          <w:kern w:val="22"/>
          <w:sz w:val="24"/>
          <w:szCs w:val="24"/>
          <w:lang w:val="fr-CA"/>
        </w:rPr>
        <w:t xml:space="preserve">4 de la Stratégie mondiale pour la conservation des plantes : </w:t>
      </w:r>
      <w:r w:rsidR="00AE224F">
        <w:rPr>
          <w:rFonts w:ascii="Times New Roman" w:hAnsi="Times New Roman" w:cs="Times New Roman"/>
          <w:b/>
          <w:iCs/>
          <w:kern w:val="22"/>
          <w:sz w:val="24"/>
          <w:szCs w:val="24"/>
          <w:lang w:val="fr-CA"/>
        </w:rPr>
        <w:t>a</w:t>
      </w:r>
      <w:r w:rsidRPr="00A03C36">
        <w:rPr>
          <w:rFonts w:ascii="Times New Roman" w:hAnsi="Times New Roman" w:cs="Times New Roman"/>
          <w:b/>
          <w:iCs/>
          <w:kern w:val="22"/>
          <w:sz w:val="24"/>
          <w:szCs w:val="24"/>
          <w:lang w:val="fr-CA"/>
        </w:rPr>
        <w:t xml:space="preserve">u moins 15 pour cent de chaque région écologique ou de chaque type de végétation sont maintenus par le biais d’une gestion et/ou </w:t>
      </w:r>
      <w:r w:rsidR="00AE224F">
        <w:rPr>
          <w:rFonts w:ascii="Times New Roman" w:hAnsi="Times New Roman" w:cs="Times New Roman"/>
          <w:b/>
          <w:iCs/>
          <w:kern w:val="22"/>
          <w:sz w:val="24"/>
          <w:szCs w:val="24"/>
          <w:lang w:val="fr-CA"/>
        </w:rPr>
        <w:t>d’une restauration active.</w:t>
      </w:r>
    </w:p>
    <w:p w14:paraId="2B8A1734" w14:textId="77777777" w:rsidR="0074315E" w:rsidRPr="00A03C36" w:rsidRDefault="0074315E" w:rsidP="00BC40F3">
      <w:pPr>
        <w:spacing w:after="0" w:line="240" w:lineRule="auto"/>
        <w:jc w:val="both"/>
        <w:rPr>
          <w:rFonts w:ascii="Times New Roman" w:hAnsi="Times New Roman" w:cs="Times New Roman"/>
          <w:b/>
          <w:i/>
          <w:iCs/>
          <w:sz w:val="24"/>
          <w:szCs w:val="24"/>
          <w:lang w:val="fr-CA"/>
        </w:rPr>
      </w:pPr>
    </w:p>
    <w:p w14:paraId="0D65C26B" w14:textId="114B2230" w:rsidR="00540EC8" w:rsidRPr="00A03C36" w:rsidRDefault="00540EC8" w:rsidP="00540EC8">
      <w:pPr>
        <w:spacing w:after="0" w:line="240" w:lineRule="auto"/>
        <w:jc w:val="both"/>
        <w:rPr>
          <w:rFonts w:ascii="Times New Roman" w:eastAsia="Calibri" w:hAnsi="Times New Roman" w:cs="Times New Roman"/>
          <w:sz w:val="24"/>
          <w:szCs w:val="24"/>
        </w:rPr>
      </w:pPr>
      <w:r w:rsidRPr="00A03C36">
        <w:rPr>
          <w:rFonts w:ascii="Times New Roman" w:hAnsi="Times New Roman" w:cs="Times New Roman"/>
          <w:sz w:val="24"/>
          <w:szCs w:val="24"/>
        </w:rPr>
        <w:t xml:space="preserve">Le Togo disposait de 83 aires protégées </w:t>
      </w:r>
      <w:r w:rsidR="00AE224F">
        <w:rPr>
          <w:rFonts w:ascii="Times New Roman" w:hAnsi="Times New Roman" w:cs="Times New Roman"/>
          <w:sz w:val="24"/>
          <w:szCs w:val="24"/>
        </w:rPr>
        <w:t xml:space="preserve">qui </w:t>
      </w:r>
      <w:r w:rsidRPr="00A03C36">
        <w:rPr>
          <w:rFonts w:ascii="Times New Roman" w:hAnsi="Times New Roman" w:cs="Times New Roman"/>
          <w:sz w:val="24"/>
          <w:szCs w:val="24"/>
        </w:rPr>
        <w:t xml:space="preserve">équivalent à 14 % du territoire au lendemain des indépendances. </w:t>
      </w:r>
      <w:r w:rsidRPr="00A03C36">
        <w:rPr>
          <w:rFonts w:ascii="Times New Roman" w:hAnsi="Times New Roman" w:cs="Times New Roman"/>
          <w:color w:val="000000"/>
          <w:sz w:val="24"/>
          <w:szCs w:val="24"/>
        </w:rPr>
        <w:t>Mais</w:t>
      </w:r>
      <w:r w:rsidR="00AE224F">
        <w:rPr>
          <w:rFonts w:ascii="Times New Roman" w:hAnsi="Times New Roman" w:cs="Times New Roman"/>
          <w:color w:val="000000"/>
          <w:sz w:val="24"/>
          <w:szCs w:val="24"/>
        </w:rPr>
        <w:t>,</w:t>
      </w:r>
      <w:r w:rsidRPr="00A03C36">
        <w:rPr>
          <w:rFonts w:ascii="Times New Roman" w:hAnsi="Times New Roman" w:cs="Times New Roman"/>
          <w:color w:val="000000"/>
          <w:sz w:val="24"/>
          <w:szCs w:val="24"/>
        </w:rPr>
        <w:t xml:space="preserve"> l</w:t>
      </w:r>
      <w:r w:rsidRPr="00A03C36">
        <w:rPr>
          <w:rFonts w:ascii="Times New Roman" w:eastAsia="Calibri" w:hAnsi="Times New Roman" w:cs="Times New Roman"/>
          <w:color w:val="000000"/>
          <w:sz w:val="24"/>
          <w:szCs w:val="24"/>
        </w:rPr>
        <w:t xml:space="preserve">a plupart de ces aires </w:t>
      </w:r>
      <w:r w:rsidRPr="00A03C36">
        <w:rPr>
          <w:rFonts w:ascii="Times New Roman" w:hAnsi="Times New Roman" w:cs="Times New Roman"/>
          <w:color w:val="000000"/>
          <w:sz w:val="24"/>
          <w:szCs w:val="24"/>
        </w:rPr>
        <w:t xml:space="preserve">protégées </w:t>
      </w:r>
      <w:r w:rsidRPr="00A03C36">
        <w:rPr>
          <w:rFonts w:ascii="Times New Roman" w:eastAsia="Calibri" w:hAnsi="Times New Roman" w:cs="Times New Roman"/>
          <w:color w:val="000000"/>
          <w:sz w:val="24"/>
          <w:szCs w:val="24"/>
        </w:rPr>
        <w:t>sont partiellement ou totalement envahies. Ces dernières années</w:t>
      </w:r>
      <w:r w:rsidRPr="00A03C36">
        <w:rPr>
          <w:rFonts w:ascii="Times New Roman" w:hAnsi="Times New Roman" w:cs="Times New Roman"/>
          <w:sz w:val="24"/>
          <w:szCs w:val="24"/>
        </w:rPr>
        <w:t xml:space="preserve">, le Togo a </w:t>
      </w:r>
      <w:r w:rsidRPr="00A03C36">
        <w:rPr>
          <w:rFonts w:ascii="Times New Roman" w:eastAsia="Calibri" w:hAnsi="Times New Roman" w:cs="Times New Roman"/>
          <w:sz w:val="24"/>
          <w:szCs w:val="24"/>
        </w:rPr>
        <w:t>adopt</w:t>
      </w:r>
      <w:r w:rsidRPr="00A03C36">
        <w:rPr>
          <w:rFonts w:ascii="Times New Roman" w:hAnsi="Times New Roman" w:cs="Times New Roman"/>
          <w:sz w:val="24"/>
          <w:szCs w:val="24"/>
        </w:rPr>
        <w:t xml:space="preserve">é </w:t>
      </w:r>
      <w:r w:rsidRPr="00A03C36">
        <w:rPr>
          <w:rFonts w:ascii="Times New Roman" w:eastAsia="Calibri" w:hAnsi="Times New Roman" w:cs="Times New Roman"/>
          <w:sz w:val="24"/>
          <w:szCs w:val="24"/>
        </w:rPr>
        <w:t>un cadre normalisé de gestion des aires pro</w:t>
      </w:r>
      <w:r w:rsidR="00932E65">
        <w:rPr>
          <w:rFonts w:ascii="Times New Roman" w:eastAsia="Calibri" w:hAnsi="Times New Roman" w:cs="Times New Roman"/>
          <w:sz w:val="24"/>
          <w:szCs w:val="24"/>
        </w:rPr>
        <w:t>tégées suivant le décret n°2003-</w:t>
      </w:r>
      <w:r w:rsidRPr="00A03C36">
        <w:rPr>
          <w:rFonts w:ascii="Times New Roman" w:eastAsia="Calibri" w:hAnsi="Times New Roman" w:cs="Times New Roman"/>
          <w:sz w:val="24"/>
          <w:szCs w:val="24"/>
        </w:rPr>
        <w:t>237/PR du 2</w:t>
      </w:r>
      <w:r w:rsidR="00932E65">
        <w:rPr>
          <w:rFonts w:ascii="Times New Roman" w:eastAsia="Calibri" w:hAnsi="Times New Roman" w:cs="Times New Roman"/>
          <w:sz w:val="24"/>
          <w:szCs w:val="24"/>
        </w:rPr>
        <w:t>6 septembre</w:t>
      </w:r>
      <w:r w:rsidRPr="00A03C36">
        <w:rPr>
          <w:rFonts w:ascii="Times New Roman" w:eastAsia="Calibri" w:hAnsi="Times New Roman" w:cs="Times New Roman"/>
          <w:sz w:val="24"/>
          <w:szCs w:val="24"/>
        </w:rPr>
        <w:t xml:space="preserve"> 2003</w:t>
      </w:r>
      <w:r w:rsidRPr="00A03C36">
        <w:rPr>
          <w:rFonts w:ascii="Times New Roman" w:hAnsi="Times New Roman" w:cs="Times New Roman"/>
          <w:sz w:val="24"/>
          <w:szCs w:val="24"/>
        </w:rPr>
        <w:t>, suivi</w:t>
      </w:r>
      <w:r w:rsidR="00AE224F">
        <w:rPr>
          <w:rFonts w:ascii="Times New Roman" w:hAnsi="Times New Roman" w:cs="Times New Roman"/>
          <w:sz w:val="24"/>
          <w:szCs w:val="24"/>
        </w:rPr>
        <w:t xml:space="preserve"> </w:t>
      </w:r>
      <w:r w:rsidRPr="00A03C36">
        <w:rPr>
          <w:rFonts w:ascii="Times New Roman" w:hAnsi="Times New Roman" w:cs="Times New Roman"/>
          <w:sz w:val="24"/>
          <w:szCs w:val="24"/>
        </w:rPr>
        <w:t>d’un</w:t>
      </w:r>
      <w:r w:rsidR="00AE224F">
        <w:rPr>
          <w:rFonts w:ascii="Times New Roman" w:eastAsia="Calibri" w:hAnsi="Times New Roman" w:cs="Times New Roman"/>
          <w:sz w:val="24"/>
          <w:szCs w:val="24"/>
        </w:rPr>
        <w:t xml:space="preserve"> texte d’application</w:t>
      </w:r>
      <w:r w:rsidRPr="00A03C36">
        <w:rPr>
          <w:rFonts w:ascii="Times New Roman" w:hAnsi="Times New Roman" w:cs="Times New Roman"/>
          <w:sz w:val="24"/>
          <w:szCs w:val="24"/>
        </w:rPr>
        <w:t xml:space="preserve"> permettant </w:t>
      </w:r>
      <w:r w:rsidRPr="00A03C36">
        <w:rPr>
          <w:rFonts w:ascii="Times New Roman" w:eastAsia="Calibri" w:hAnsi="Times New Roman" w:cs="Times New Roman"/>
          <w:sz w:val="24"/>
          <w:szCs w:val="24"/>
        </w:rPr>
        <w:t>la sécurisation de 578 245,741 ha</w:t>
      </w:r>
      <w:r w:rsidR="00AE224F">
        <w:rPr>
          <w:rFonts w:ascii="Times New Roman" w:eastAsia="Calibri" w:hAnsi="Times New Roman" w:cs="Times New Roman"/>
          <w:sz w:val="24"/>
          <w:szCs w:val="24"/>
        </w:rPr>
        <w:t>,</w:t>
      </w:r>
      <w:r w:rsidRPr="00A03C36">
        <w:rPr>
          <w:rFonts w:ascii="Times New Roman" w:eastAsia="Calibri" w:hAnsi="Times New Roman" w:cs="Times New Roman"/>
          <w:sz w:val="24"/>
          <w:szCs w:val="24"/>
        </w:rPr>
        <w:t xml:space="preserve"> soit environ 10,21% du territoire national, représnté dans </w:t>
      </w:r>
      <w:r w:rsidRPr="00A03C36">
        <w:rPr>
          <w:rFonts w:ascii="Times New Roman" w:hAnsi="Times New Roman" w:cs="Times New Roman"/>
          <w:iCs/>
          <w:kern w:val="22"/>
          <w:sz w:val="24"/>
          <w:szCs w:val="24"/>
          <w:lang w:val="fr-CA"/>
        </w:rPr>
        <w:t>chaque région écologique et type de végétation?</w:t>
      </w:r>
    </w:p>
    <w:p w14:paraId="13E0463C" w14:textId="77777777" w:rsidR="00FB5F21" w:rsidRPr="00BC40F3" w:rsidRDefault="00FB5F21" w:rsidP="00BC40F3">
      <w:pPr>
        <w:spacing w:after="0" w:line="240" w:lineRule="auto"/>
        <w:jc w:val="both"/>
        <w:rPr>
          <w:i/>
          <w:iCs/>
          <w:lang w:val="fr-CA"/>
        </w:rPr>
      </w:pPr>
    </w:p>
    <w:p w14:paraId="1DF32A97" w14:textId="77777777" w:rsidR="009C0565" w:rsidRPr="002813A1" w:rsidRDefault="009C0565" w:rsidP="00254C9C">
      <w:pPr>
        <w:spacing w:after="0" w:line="240" w:lineRule="auto"/>
        <w:jc w:val="both"/>
        <w:rPr>
          <w:rFonts w:ascii="Times New Roman" w:hAnsi="Times New Roman" w:cs="Times New Roman"/>
          <w:b/>
          <w:iCs/>
          <w:kern w:val="22"/>
          <w:sz w:val="24"/>
          <w:szCs w:val="24"/>
          <w:lang w:val="fr-CA"/>
        </w:rPr>
      </w:pPr>
      <w:r w:rsidRPr="002813A1">
        <w:rPr>
          <w:rFonts w:ascii="Times New Roman" w:hAnsi="Times New Roman" w:cs="Times New Roman"/>
          <w:b/>
          <w:iCs/>
          <w:kern w:val="22"/>
          <w:sz w:val="24"/>
          <w:szCs w:val="24"/>
          <w:lang w:val="fr-CA"/>
        </w:rPr>
        <w:t>Objectif 5 de la Stratégie mondiale pour la conservation des plantes : Au moins 75 pour cent des aires les plus importantes en ce qui a trait à la diversité des plantes de chaque région écologique sont protégées avec une gestion effective établie pour la conservation des plantes et leur diversité génétique</w:t>
      </w:r>
    </w:p>
    <w:p w14:paraId="14B59E94" w14:textId="77777777" w:rsidR="00B416AF" w:rsidRPr="00173EDC" w:rsidRDefault="00B416AF" w:rsidP="00254C9C">
      <w:pPr>
        <w:spacing w:after="0" w:line="240" w:lineRule="auto"/>
        <w:jc w:val="both"/>
        <w:rPr>
          <w:rFonts w:ascii="Times New Roman" w:hAnsi="Times New Roman" w:cs="Times New Roman"/>
          <w:b/>
          <w:iCs/>
          <w:kern w:val="22"/>
          <w:sz w:val="24"/>
          <w:szCs w:val="24"/>
          <w:lang w:val="fr-CA"/>
        </w:rPr>
      </w:pPr>
    </w:p>
    <w:p w14:paraId="16913E54" w14:textId="58FB9E3E" w:rsidR="00540EC8" w:rsidRPr="00173EDC" w:rsidRDefault="00540EC8" w:rsidP="00540EC8">
      <w:pPr>
        <w:autoSpaceDE w:val="0"/>
        <w:autoSpaceDN w:val="0"/>
        <w:adjustRightInd w:val="0"/>
        <w:spacing w:after="0" w:line="240" w:lineRule="auto"/>
        <w:jc w:val="both"/>
        <w:rPr>
          <w:rFonts w:ascii="Times New Roman" w:hAnsi="Times New Roman" w:cs="Times New Roman"/>
          <w:sz w:val="24"/>
          <w:szCs w:val="24"/>
        </w:rPr>
      </w:pPr>
      <w:r w:rsidRPr="00173EDC">
        <w:rPr>
          <w:rFonts w:ascii="Times New Roman" w:hAnsi="Times New Roman" w:cs="Times New Roman"/>
          <w:sz w:val="24"/>
          <w:szCs w:val="24"/>
        </w:rPr>
        <w:t>Malheueusement les aires protégées destiné</w:t>
      </w:r>
      <w:r w:rsidR="0032558C">
        <w:rPr>
          <w:rFonts w:ascii="Times New Roman" w:hAnsi="Times New Roman" w:cs="Times New Roman"/>
          <w:sz w:val="24"/>
          <w:szCs w:val="24"/>
        </w:rPr>
        <w:t>e</w:t>
      </w:r>
      <w:r w:rsidRPr="00173EDC">
        <w:rPr>
          <w:rFonts w:ascii="Times New Roman" w:hAnsi="Times New Roman" w:cs="Times New Roman"/>
          <w:sz w:val="24"/>
          <w:szCs w:val="24"/>
        </w:rPr>
        <w:t>s à conserver durablement la diversité biologique ne disposent pas de plan d’aménage</w:t>
      </w:r>
      <w:r w:rsidR="00932E65">
        <w:rPr>
          <w:rFonts w:ascii="Times New Roman" w:hAnsi="Times New Roman" w:cs="Times New Roman"/>
          <w:sz w:val="24"/>
          <w:szCs w:val="24"/>
        </w:rPr>
        <w:t>ment. Seules quelques forêts : f</w:t>
      </w:r>
      <w:r w:rsidRPr="00173EDC">
        <w:rPr>
          <w:rFonts w:ascii="Times New Roman" w:hAnsi="Times New Roman" w:cs="Times New Roman"/>
          <w:sz w:val="24"/>
          <w:szCs w:val="24"/>
        </w:rPr>
        <w:t xml:space="preserve">orêts Classées de Missahoé, d’Assimé et l’aire protégée de Bayémé, </w:t>
      </w:r>
      <w:r w:rsidRPr="00173EDC">
        <w:rPr>
          <w:rFonts w:ascii="Times New Roman" w:eastAsiaTheme="majorEastAsia" w:hAnsi="Times New Roman" w:cs="Times New Roman"/>
          <w:iCs/>
          <w:sz w:val="24"/>
          <w:szCs w:val="24"/>
        </w:rPr>
        <w:t xml:space="preserve">Parc </w:t>
      </w:r>
      <w:r w:rsidR="00932E65">
        <w:rPr>
          <w:rFonts w:ascii="Times New Roman" w:eastAsiaTheme="majorEastAsia" w:hAnsi="Times New Roman" w:cs="Times New Roman"/>
          <w:iCs/>
          <w:sz w:val="24"/>
          <w:szCs w:val="24"/>
        </w:rPr>
        <w:t>national Fazao-Malfakassa, f</w:t>
      </w:r>
      <w:r w:rsidRPr="00173EDC">
        <w:rPr>
          <w:rFonts w:ascii="Times New Roman" w:eastAsiaTheme="majorEastAsia" w:hAnsi="Times New Roman" w:cs="Times New Roman"/>
          <w:iCs/>
          <w:sz w:val="24"/>
          <w:szCs w:val="24"/>
        </w:rPr>
        <w:t xml:space="preserve">orêts d’Abdoulaye, d’Aledjo et de Balam, </w:t>
      </w:r>
      <w:r w:rsidRPr="00173EDC">
        <w:rPr>
          <w:rFonts w:ascii="Times New Roman" w:hAnsi="Times New Roman" w:cs="Times New Roman"/>
          <w:sz w:val="24"/>
          <w:szCs w:val="24"/>
        </w:rPr>
        <w:t xml:space="preserve">la Réserve de faune de Togodo et les forêts sacrées de Godjin, d’Akissa, </w:t>
      </w:r>
      <w:r w:rsidRPr="00173EDC">
        <w:rPr>
          <w:rFonts w:ascii="Times New Roman" w:eastAsiaTheme="majorEastAsia" w:hAnsi="Times New Roman" w:cs="Times New Roman"/>
          <w:iCs/>
          <w:sz w:val="24"/>
          <w:szCs w:val="24"/>
        </w:rPr>
        <w:t xml:space="preserve">estimées à </w:t>
      </w:r>
      <w:r w:rsidR="00173EDC">
        <w:rPr>
          <w:rFonts w:ascii="Times New Roman" w:eastAsiaTheme="majorEastAsia" w:hAnsi="Times New Roman" w:cs="Times New Roman"/>
          <w:iCs/>
          <w:sz w:val="24"/>
          <w:szCs w:val="24"/>
        </w:rPr>
        <w:t xml:space="preserve">un peu plus de </w:t>
      </w:r>
      <w:r w:rsidRPr="00173EDC">
        <w:rPr>
          <w:rFonts w:ascii="Times New Roman" w:eastAsiaTheme="majorEastAsia" w:hAnsi="Times New Roman" w:cs="Times New Roman"/>
          <w:iCs/>
          <w:sz w:val="24"/>
          <w:szCs w:val="24"/>
        </w:rPr>
        <w:t>226.000 ha</w:t>
      </w:r>
      <w:r w:rsidRPr="00173EDC">
        <w:rPr>
          <w:rFonts w:ascii="Times New Roman" w:hAnsi="Times New Roman" w:cs="Times New Roman"/>
          <w:sz w:val="24"/>
          <w:szCs w:val="24"/>
        </w:rPr>
        <w:t xml:space="preserve"> (soit 39% des espaces protégés sécurisés au Togo) disposent de plans d’aménagement qui ne sont pas </w:t>
      </w:r>
      <w:r w:rsidR="00173EDC" w:rsidRPr="00173EDC">
        <w:rPr>
          <w:rFonts w:ascii="Times New Roman" w:hAnsi="Times New Roman" w:cs="Times New Roman"/>
          <w:sz w:val="24"/>
          <w:szCs w:val="24"/>
        </w:rPr>
        <w:t xml:space="preserve">encore </w:t>
      </w:r>
      <w:r w:rsidRPr="00173EDC">
        <w:rPr>
          <w:rFonts w:ascii="Times New Roman" w:hAnsi="Times New Roman" w:cs="Times New Roman"/>
          <w:sz w:val="24"/>
          <w:szCs w:val="24"/>
        </w:rPr>
        <w:t xml:space="preserve">mis en œuvre. </w:t>
      </w:r>
    </w:p>
    <w:p w14:paraId="5D10D695" w14:textId="77777777" w:rsidR="002813A1" w:rsidRPr="00872980" w:rsidRDefault="002813A1" w:rsidP="00254C9C">
      <w:pPr>
        <w:spacing w:after="0" w:line="240" w:lineRule="auto"/>
        <w:jc w:val="both"/>
        <w:rPr>
          <w:rFonts w:ascii="Times New Roman" w:hAnsi="Times New Roman" w:cs="Times New Roman"/>
          <w:sz w:val="24"/>
          <w:szCs w:val="24"/>
        </w:rPr>
      </w:pPr>
    </w:p>
    <w:p w14:paraId="6A050990" w14:textId="7BB2A5B3" w:rsidR="009C0565" w:rsidRPr="00872980" w:rsidRDefault="009C0565" w:rsidP="00254C9C">
      <w:pPr>
        <w:spacing w:after="0" w:line="240" w:lineRule="auto"/>
        <w:jc w:val="both"/>
        <w:rPr>
          <w:rFonts w:ascii="Times New Roman" w:hAnsi="Times New Roman" w:cs="Times New Roman"/>
          <w:b/>
          <w:iCs/>
          <w:kern w:val="22"/>
          <w:sz w:val="24"/>
          <w:szCs w:val="24"/>
          <w:lang w:val="fr-CA"/>
        </w:rPr>
      </w:pPr>
      <w:r w:rsidRPr="00872980">
        <w:rPr>
          <w:rFonts w:ascii="Times New Roman" w:hAnsi="Times New Roman" w:cs="Times New Roman"/>
          <w:b/>
          <w:iCs/>
          <w:kern w:val="22"/>
          <w:sz w:val="24"/>
          <w:szCs w:val="24"/>
          <w:lang w:val="fr-CA"/>
        </w:rPr>
        <w:t>Objectif 6 de la Stratégie mondiale pour</w:t>
      </w:r>
      <w:r w:rsidR="00932E65">
        <w:rPr>
          <w:rFonts w:ascii="Times New Roman" w:hAnsi="Times New Roman" w:cs="Times New Roman"/>
          <w:b/>
          <w:iCs/>
          <w:kern w:val="22"/>
          <w:sz w:val="24"/>
          <w:szCs w:val="24"/>
          <w:lang w:val="fr-CA"/>
        </w:rPr>
        <w:t xml:space="preserve"> la conservation des plantes : g</w:t>
      </w:r>
      <w:r w:rsidRPr="00872980">
        <w:rPr>
          <w:rFonts w:ascii="Times New Roman" w:hAnsi="Times New Roman" w:cs="Times New Roman"/>
          <w:b/>
          <w:iCs/>
          <w:kern w:val="22"/>
          <w:sz w:val="24"/>
          <w:szCs w:val="24"/>
          <w:lang w:val="fr-CA"/>
        </w:rPr>
        <w:t>estion durable d’au moins 75 pour cent des terres vouées à la production dans chaque secteur et conforme à la conservation de la diversité des plantes</w:t>
      </w:r>
    </w:p>
    <w:p w14:paraId="5E4CC7AE" w14:textId="77777777" w:rsidR="00872980" w:rsidRPr="00872980" w:rsidRDefault="00872980" w:rsidP="00254C9C">
      <w:pPr>
        <w:spacing w:after="0" w:line="240" w:lineRule="auto"/>
        <w:jc w:val="both"/>
        <w:rPr>
          <w:rFonts w:ascii="Times New Roman" w:hAnsi="Times New Roman" w:cs="Times New Roman"/>
          <w:sz w:val="24"/>
          <w:szCs w:val="24"/>
        </w:rPr>
      </w:pPr>
    </w:p>
    <w:p w14:paraId="42954D68" w14:textId="77777777" w:rsidR="00872980" w:rsidRPr="00872980" w:rsidRDefault="00872980" w:rsidP="00254C9C">
      <w:pPr>
        <w:spacing w:after="0" w:line="240" w:lineRule="auto"/>
        <w:jc w:val="both"/>
        <w:rPr>
          <w:rFonts w:ascii="Times New Roman" w:hAnsi="Times New Roman" w:cs="Times New Roman"/>
          <w:sz w:val="24"/>
          <w:szCs w:val="24"/>
        </w:rPr>
      </w:pPr>
      <w:r w:rsidRPr="00872980">
        <w:rPr>
          <w:rFonts w:ascii="Times New Roman" w:hAnsi="Times New Roman" w:cs="Times New Roman"/>
          <w:sz w:val="24"/>
          <w:szCs w:val="24"/>
        </w:rPr>
        <w:t xml:space="preserve">Avec une superficie de 56 600 Km², le Togo est loin de mettre 75 % de son territoire sous gestion durable. </w:t>
      </w:r>
      <w:r>
        <w:rPr>
          <w:rFonts w:ascii="Times New Roman" w:hAnsi="Times New Roman" w:cs="Times New Roman"/>
          <w:sz w:val="24"/>
          <w:szCs w:val="24"/>
        </w:rPr>
        <w:t>Cet indicateur mérite d’être renseigné et suivi.</w:t>
      </w:r>
    </w:p>
    <w:p w14:paraId="74C75789" w14:textId="77777777" w:rsidR="00173EDC" w:rsidRPr="00FD1DDA" w:rsidRDefault="00173EDC" w:rsidP="00254C9C">
      <w:pPr>
        <w:spacing w:after="0" w:line="240" w:lineRule="auto"/>
        <w:jc w:val="both"/>
        <w:rPr>
          <w:rFonts w:ascii="Times New Roman" w:hAnsi="Times New Roman" w:cs="Times New Roman"/>
          <w:b/>
          <w:iCs/>
          <w:kern w:val="22"/>
          <w:sz w:val="24"/>
          <w:szCs w:val="24"/>
          <w:lang w:val="fr-CA"/>
        </w:rPr>
      </w:pPr>
    </w:p>
    <w:p w14:paraId="1E760AEC" w14:textId="46568CE2" w:rsidR="009C0565" w:rsidRPr="00FD1DDA" w:rsidRDefault="00932E65" w:rsidP="00254C9C">
      <w:pPr>
        <w:spacing w:after="0" w:line="240" w:lineRule="auto"/>
        <w:jc w:val="both"/>
        <w:rPr>
          <w:rFonts w:ascii="Times New Roman" w:hAnsi="Times New Roman" w:cs="Times New Roman"/>
          <w:i/>
          <w:iCs/>
          <w:sz w:val="24"/>
          <w:szCs w:val="24"/>
          <w:lang w:val="fr-CA"/>
        </w:rPr>
      </w:pPr>
      <w:r>
        <w:rPr>
          <w:rFonts w:ascii="Times New Roman" w:hAnsi="Times New Roman" w:cs="Times New Roman"/>
          <w:b/>
          <w:iCs/>
          <w:kern w:val="22"/>
          <w:sz w:val="24"/>
          <w:szCs w:val="24"/>
          <w:lang w:val="fr-CA"/>
        </w:rPr>
        <w:t>Objectif 7 de la s</w:t>
      </w:r>
      <w:r w:rsidR="009C0565" w:rsidRPr="00FD1DDA">
        <w:rPr>
          <w:rFonts w:ascii="Times New Roman" w:hAnsi="Times New Roman" w:cs="Times New Roman"/>
          <w:b/>
          <w:iCs/>
          <w:kern w:val="22"/>
          <w:sz w:val="24"/>
          <w:szCs w:val="24"/>
          <w:lang w:val="fr-CA"/>
        </w:rPr>
        <w:t xml:space="preserve">tratégie mondiale pour la conservation des plantes : </w:t>
      </w:r>
      <w:r>
        <w:rPr>
          <w:rFonts w:ascii="Times New Roman" w:hAnsi="Times New Roman" w:cs="Times New Roman"/>
          <w:b/>
          <w:iCs/>
          <w:kern w:val="22"/>
          <w:sz w:val="24"/>
          <w:szCs w:val="24"/>
          <w:lang w:val="fr-CA"/>
        </w:rPr>
        <w:t>c</w:t>
      </w:r>
      <w:r w:rsidR="009C0565" w:rsidRPr="00FD1DDA">
        <w:rPr>
          <w:rFonts w:ascii="Times New Roman" w:hAnsi="Times New Roman" w:cs="Times New Roman"/>
          <w:b/>
          <w:iCs/>
          <w:kern w:val="22"/>
          <w:sz w:val="24"/>
          <w:szCs w:val="24"/>
          <w:lang w:val="fr-CA"/>
        </w:rPr>
        <w:t>onservation in situ d’au moins 75 pour cent des espèces de plantes menacées connues</w:t>
      </w:r>
    </w:p>
    <w:p w14:paraId="318DC5CB" w14:textId="77777777" w:rsidR="000D2FDF" w:rsidRPr="00FD1DDA" w:rsidRDefault="000D2FDF" w:rsidP="00254C9C">
      <w:pPr>
        <w:spacing w:after="0" w:line="240" w:lineRule="auto"/>
        <w:jc w:val="both"/>
        <w:rPr>
          <w:rFonts w:ascii="Times New Roman" w:hAnsi="Times New Roman" w:cs="Times New Roman"/>
          <w:i/>
          <w:iCs/>
          <w:sz w:val="24"/>
          <w:szCs w:val="24"/>
          <w:lang w:val="fr-CA"/>
        </w:rPr>
      </w:pPr>
    </w:p>
    <w:p w14:paraId="26E9D038" w14:textId="55A06CB2" w:rsidR="00872980" w:rsidRPr="00FD1DDA" w:rsidRDefault="00872980" w:rsidP="00872980">
      <w:pPr>
        <w:autoSpaceDE w:val="0"/>
        <w:autoSpaceDN w:val="0"/>
        <w:adjustRightInd w:val="0"/>
        <w:spacing w:after="0" w:line="240" w:lineRule="auto"/>
        <w:jc w:val="both"/>
        <w:rPr>
          <w:rFonts w:ascii="Times New Roman" w:hAnsi="Times New Roman" w:cs="Times New Roman"/>
          <w:i/>
          <w:iCs/>
          <w:kern w:val="22"/>
          <w:sz w:val="24"/>
          <w:szCs w:val="24"/>
          <w:lang w:val="fr-CA"/>
        </w:rPr>
      </w:pPr>
      <w:r w:rsidRPr="00FD1DDA">
        <w:rPr>
          <w:rFonts w:ascii="Times New Roman" w:hAnsi="Times New Roman" w:cs="Times New Roman"/>
          <w:sz w:val="24"/>
          <w:szCs w:val="24"/>
        </w:rPr>
        <w:t xml:space="preserve">Le statut d’environ </w:t>
      </w:r>
      <w:r w:rsidR="000D2FDF" w:rsidRPr="00FD1DDA">
        <w:rPr>
          <w:rFonts w:ascii="Times New Roman" w:hAnsi="Times New Roman" w:cs="Times New Roman"/>
          <w:sz w:val="24"/>
          <w:szCs w:val="24"/>
        </w:rPr>
        <w:t xml:space="preserve">0,4% </w:t>
      </w:r>
      <w:r w:rsidRPr="00FD1DDA">
        <w:rPr>
          <w:rFonts w:ascii="Times New Roman" w:hAnsi="Times New Roman" w:cs="Times New Roman"/>
          <w:sz w:val="24"/>
          <w:szCs w:val="24"/>
        </w:rPr>
        <w:t xml:space="preserve">d’espèces </w:t>
      </w:r>
      <w:r w:rsidR="000D2FDF" w:rsidRPr="00FD1DDA">
        <w:rPr>
          <w:rFonts w:ascii="Times New Roman" w:hAnsi="Times New Roman" w:cs="Times New Roman"/>
          <w:sz w:val="24"/>
          <w:szCs w:val="24"/>
        </w:rPr>
        <w:t xml:space="preserve">de la flore (soit 12 espèces) sont actuellement en danger et sont menacées de disparaître définitivement du territoire togolais. Parmi ces espèces, on peut citer </w:t>
      </w:r>
      <w:r w:rsidR="000D2FDF" w:rsidRPr="00FD1DDA">
        <w:rPr>
          <w:rFonts w:ascii="Times New Roman" w:hAnsi="Times New Roman" w:cs="Times New Roman"/>
          <w:i/>
          <w:sz w:val="24"/>
          <w:szCs w:val="24"/>
        </w:rPr>
        <w:t>Aldrovanda vesiculosa, Diospyros ferrea, Pavetta lindina, Pavetta mollis, Parinari macrophylla et Placodiscus attenuatus</w:t>
      </w:r>
      <w:r w:rsidR="006B5992">
        <w:rPr>
          <w:rFonts w:ascii="Times New Roman" w:hAnsi="Times New Roman" w:cs="Times New Roman"/>
          <w:i/>
          <w:iCs/>
          <w:sz w:val="24"/>
          <w:szCs w:val="24"/>
        </w:rPr>
        <w:t xml:space="preserve">, etc. </w:t>
      </w:r>
      <w:r w:rsidRPr="00FD1DDA">
        <w:rPr>
          <w:rFonts w:ascii="Times New Roman" w:hAnsi="Times New Roman" w:cs="Times New Roman"/>
          <w:iCs/>
          <w:sz w:val="24"/>
          <w:szCs w:val="24"/>
        </w:rPr>
        <w:t xml:space="preserve">Malheureusement aucune </w:t>
      </w:r>
      <w:r w:rsidRPr="00FD1DDA">
        <w:rPr>
          <w:rFonts w:ascii="Times New Roman" w:hAnsi="Times New Roman" w:cs="Times New Roman"/>
          <w:iCs/>
          <w:sz w:val="24"/>
          <w:szCs w:val="24"/>
          <w:lang w:val="fr-CA"/>
        </w:rPr>
        <w:t>population de ces taxon</w:t>
      </w:r>
      <w:r w:rsidR="000C79AB" w:rsidRPr="00FD1DDA">
        <w:rPr>
          <w:rFonts w:ascii="Times New Roman" w:hAnsi="Times New Roman" w:cs="Times New Roman"/>
          <w:iCs/>
          <w:sz w:val="24"/>
          <w:szCs w:val="24"/>
          <w:lang w:val="fr-CA"/>
        </w:rPr>
        <w:t>s</w:t>
      </w:r>
      <w:r w:rsidRPr="00FD1DDA">
        <w:rPr>
          <w:rFonts w:ascii="Times New Roman" w:hAnsi="Times New Roman" w:cs="Times New Roman"/>
          <w:iCs/>
          <w:sz w:val="24"/>
          <w:szCs w:val="24"/>
          <w:lang w:val="fr-CA"/>
        </w:rPr>
        <w:t xml:space="preserve"> n’est signalé</w:t>
      </w:r>
      <w:r w:rsidR="00FD1DDA" w:rsidRPr="00FD1DDA">
        <w:rPr>
          <w:rFonts w:ascii="Times New Roman" w:hAnsi="Times New Roman" w:cs="Times New Roman"/>
          <w:iCs/>
          <w:sz w:val="24"/>
          <w:szCs w:val="24"/>
          <w:lang w:val="fr-CA"/>
        </w:rPr>
        <w:t>e</w:t>
      </w:r>
      <w:r w:rsidRPr="00FD1DDA">
        <w:rPr>
          <w:rFonts w:ascii="Times New Roman" w:hAnsi="Times New Roman" w:cs="Times New Roman"/>
          <w:iCs/>
          <w:sz w:val="24"/>
          <w:szCs w:val="24"/>
          <w:lang w:val="fr-CA"/>
        </w:rPr>
        <w:t xml:space="preserve"> dans les</w:t>
      </w:r>
      <w:r w:rsidR="00932E65">
        <w:rPr>
          <w:rFonts w:ascii="Times New Roman" w:hAnsi="Times New Roman" w:cs="Times New Roman"/>
          <w:iCs/>
          <w:sz w:val="24"/>
          <w:szCs w:val="24"/>
          <w:lang w:val="fr-CA"/>
        </w:rPr>
        <w:t xml:space="preserve"> aires protégées. E</w:t>
      </w:r>
      <w:r w:rsidRPr="00FD1DDA">
        <w:rPr>
          <w:rFonts w:ascii="Times New Roman" w:hAnsi="Times New Roman" w:cs="Times New Roman"/>
          <w:iCs/>
          <w:sz w:val="24"/>
          <w:szCs w:val="24"/>
          <w:lang w:val="fr-CA"/>
        </w:rPr>
        <w:t xml:space="preserve">lles sont tous dans le domaine rural. </w:t>
      </w:r>
      <w:r w:rsidR="000C79AB" w:rsidRPr="00FD1DDA">
        <w:rPr>
          <w:rFonts w:ascii="Times New Roman" w:hAnsi="Times New Roman" w:cs="Times New Roman"/>
          <w:iCs/>
          <w:sz w:val="24"/>
          <w:szCs w:val="24"/>
          <w:lang w:val="fr-CA"/>
        </w:rPr>
        <w:t xml:space="preserve">On peut toutefois citer des taxons </w:t>
      </w:r>
      <w:r w:rsidR="00FD1DDA" w:rsidRPr="00FD1DDA">
        <w:rPr>
          <w:rFonts w:ascii="Times New Roman" w:hAnsi="Times New Roman" w:cs="Times New Roman"/>
          <w:iCs/>
          <w:sz w:val="24"/>
          <w:szCs w:val="24"/>
          <w:lang w:val="fr-CA"/>
        </w:rPr>
        <w:t>menacés additionnel</w:t>
      </w:r>
      <w:r w:rsidRPr="00FD1DDA">
        <w:rPr>
          <w:rFonts w:ascii="Times New Roman" w:hAnsi="Times New Roman" w:cs="Times New Roman"/>
          <w:iCs/>
          <w:sz w:val="24"/>
          <w:szCs w:val="24"/>
          <w:lang w:val="fr-CA"/>
        </w:rPr>
        <w:t xml:space="preserve">s </w:t>
      </w:r>
      <w:r w:rsidR="000C79AB" w:rsidRPr="00FD1DDA">
        <w:rPr>
          <w:rFonts w:ascii="Times New Roman" w:hAnsi="Times New Roman" w:cs="Times New Roman"/>
          <w:iCs/>
          <w:sz w:val="24"/>
          <w:szCs w:val="24"/>
          <w:lang w:val="fr-CA"/>
        </w:rPr>
        <w:t>comme</w:t>
      </w:r>
      <w:r w:rsidR="000C79AB" w:rsidRPr="00FD1DDA">
        <w:rPr>
          <w:rFonts w:ascii="Times New Roman" w:hAnsi="Times New Roman" w:cs="Times New Roman"/>
          <w:i/>
          <w:iCs/>
          <w:sz w:val="24"/>
          <w:szCs w:val="24"/>
          <w:lang w:val="fr-CA"/>
        </w:rPr>
        <w:t xml:space="preserve"> Cordia platityrsa, Ensete giletii, </w:t>
      </w:r>
      <w:r w:rsidR="00FD1DDA" w:rsidRPr="00FD1DDA">
        <w:rPr>
          <w:rFonts w:ascii="Times New Roman" w:hAnsi="Times New Roman" w:cs="Times New Roman"/>
          <w:i/>
          <w:color w:val="000000"/>
          <w:sz w:val="24"/>
          <w:szCs w:val="24"/>
        </w:rPr>
        <w:t>Balanites wilsoniana</w:t>
      </w:r>
      <w:r w:rsidR="00FD1DDA" w:rsidRPr="00FD1DDA">
        <w:rPr>
          <w:rFonts w:ascii="Times New Roman" w:hAnsi="Times New Roman" w:cs="Times New Roman"/>
          <w:color w:val="000000"/>
          <w:sz w:val="24"/>
          <w:szCs w:val="24"/>
        </w:rPr>
        <w:t xml:space="preserve">, </w:t>
      </w:r>
      <w:r w:rsidR="00FD1DDA" w:rsidRPr="00FD1DDA">
        <w:rPr>
          <w:rFonts w:ascii="Times New Roman" w:hAnsi="Times New Roman" w:cs="Times New Roman"/>
          <w:i/>
          <w:color w:val="000000"/>
          <w:sz w:val="24"/>
          <w:szCs w:val="24"/>
        </w:rPr>
        <w:t>Shrebera arborea</w:t>
      </w:r>
      <w:r w:rsidR="00FD1DDA" w:rsidRPr="00FD1DDA">
        <w:rPr>
          <w:rFonts w:ascii="Times New Roman" w:hAnsi="Times New Roman" w:cs="Times New Roman"/>
          <w:color w:val="000000"/>
          <w:sz w:val="24"/>
          <w:szCs w:val="24"/>
        </w:rPr>
        <w:t xml:space="preserve">.qui </w:t>
      </w:r>
      <w:r w:rsidR="00FD1DDA" w:rsidRPr="00FD1DDA">
        <w:rPr>
          <w:rFonts w:ascii="Times New Roman" w:hAnsi="Times New Roman" w:cs="Times New Roman"/>
          <w:iCs/>
          <w:sz w:val="24"/>
          <w:szCs w:val="24"/>
          <w:lang w:val="fr-CA"/>
        </w:rPr>
        <w:t>ont été conservées dans deux aires protégées : Parc National de Fazao</w:t>
      </w:r>
      <w:r w:rsidR="00932E65">
        <w:rPr>
          <w:rFonts w:ascii="Times New Roman" w:hAnsi="Times New Roman" w:cs="Times New Roman"/>
          <w:iCs/>
          <w:sz w:val="24"/>
          <w:szCs w:val="24"/>
          <w:lang w:val="fr-CA"/>
        </w:rPr>
        <w:t xml:space="preserve"> Malfakassa</w:t>
      </w:r>
      <w:r w:rsidR="00FD1DDA">
        <w:rPr>
          <w:rFonts w:ascii="Times New Roman" w:hAnsi="Times New Roman" w:cs="Times New Roman"/>
          <w:iCs/>
          <w:sz w:val="24"/>
          <w:szCs w:val="24"/>
          <w:lang w:val="fr-CA"/>
        </w:rPr>
        <w:t xml:space="preserve"> et la Réserve de faune de Togod</w:t>
      </w:r>
      <w:r w:rsidR="00FD1DDA" w:rsidRPr="00FD1DDA">
        <w:rPr>
          <w:rFonts w:ascii="Times New Roman" w:hAnsi="Times New Roman" w:cs="Times New Roman"/>
          <w:iCs/>
          <w:sz w:val="24"/>
          <w:szCs w:val="24"/>
          <w:lang w:val="fr-CA"/>
        </w:rPr>
        <w:t>o</w:t>
      </w:r>
      <w:r w:rsidRPr="00FD1DDA">
        <w:rPr>
          <w:rFonts w:ascii="Times New Roman" w:hAnsi="Times New Roman" w:cs="Times New Roman"/>
          <w:iCs/>
          <w:kern w:val="22"/>
          <w:sz w:val="24"/>
          <w:szCs w:val="24"/>
          <w:lang w:val="fr-CA"/>
        </w:rPr>
        <w:t>).</w:t>
      </w:r>
    </w:p>
    <w:p w14:paraId="72E5B527" w14:textId="77777777" w:rsidR="000D2FDF" w:rsidRPr="00FD1DDA" w:rsidRDefault="000D2FDF" w:rsidP="000D2FDF">
      <w:pPr>
        <w:pStyle w:val="Commentaire"/>
        <w:spacing w:after="0"/>
        <w:jc w:val="both"/>
        <w:rPr>
          <w:rFonts w:ascii="Times New Roman" w:hAnsi="Times New Roman" w:cs="Times New Roman"/>
          <w:iCs/>
          <w:sz w:val="24"/>
          <w:szCs w:val="24"/>
          <w:lang w:val="fr-CA"/>
        </w:rPr>
      </w:pPr>
    </w:p>
    <w:p w14:paraId="71639DF0" w14:textId="0676C042" w:rsidR="009C0565" w:rsidRPr="00FD1DDA"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FD1DDA">
        <w:rPr>
          <w:rFonts w:ascii="Times New Roman" w:hAnsi="Times New Roman" w:cs="Times New Roman"/>
          <w:b/>
          <w:iCs/>
          <w:kern w:val="22"/>
          <w:sz w:val="24"/>
          <w:szCs w:val="24"/>
          <w:lang w:val="fr-CA"/>
        </w:rPr>
        <w:t>Objectif 8 de la Stratégie mondiale pour</w:t>
      </w:r>
      <w:r w:rsidR="00932E65">
        <w:rPr>
          <w:rFonts w:ascii="Times New Roman" w:hAnsi="Times New Roman" w:cs="Times New Roman"/>
          <w:b/>
          <w:iCs/>
          <w:kern w:val="22"/>
          <w:sz w:val="24"/>
          <w:szCs w:val="24"/>
          <w:lang w:val="fr-CA"/>
        </w:rPr>
        <w:t xml:space="preserve"> la conservation des plantes : i</w:t>
      </w:r>
      <w:r w:rsidRPr="00FD1DDA">
        <w:rPr>
          <w:rFonts w:ascii="Times New Roman" w:hAnsi="Times New Roman" w:cs="Times New Roman"/>
          <w:b/>
          <w:iCs/>
          <w:kern w:val="22"/>
          <w:sz w:val="24"/>
          <w:szCs w:val="24"/>
          <w:lang w:val="fr-CA"/>
        </w:rPr>
        <w:t>nclusion d’au moins 75 pour cent des espèces de plantes menacées connues dans des collections ex situ, de préférence dans le pays d’origine, avec au moins 20 pour cent restants disponibles pour des programmes de récupération et de rétablissement</w:t>
      </w:r>
      <w:r w:rsidR="00932E65">
        <w:rPr>
          <w:rFonts w:ascii="Times New Roman" w:hAnsi="Times New Roman" w:cs="Times New Roman"/>
          <w:b/>
          <w:iCs/>
          <w:kern w:val="22"/>
          <w:sz w:val="24"/>
          <w:szCs w:val="24"/>
          <w:lang w:val="fr-CA"/>
        </w:rPr>
        <w:t>.</w:t>
      </w:r>
    </w:p>
    <w:p w14:paraId="15AEFB4C" w14:textId="77777777" w:rsidR="00FD1DDA" w:rsidRPr="00FD1DDA" w:rsidRDefault="00FD1DDA"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74EB56DE" w14:textId="1AE40807" w:rsidR="00B628B5" w:rsidRPr="007B1569" w:rsidRDefault="00FD1DDA" w:rsidP="00B628B5">
      <w:pPr>
        <w:spacing w:after="0" w:line="240" w:lineRule="auto"/>
        <w:jc w:val="both"/>
        <w:rPr>
          <w:rFonts w:ascii="Times New Roman" w:hAnsi="Times New Roman" w:cs="Times New Roman"/>
          <w:sz w:val="24"/>
          <w:szCs w:val="24"/>
        </w:rPr>
      </w:pPr>
      <w:r w:rsidRPr="00FD1DDA">
        <w:rPr>
          <w:rFonts w:ascii="Times New Roman" w:hAnsi="Times New Roman" w:cs="Times New Roman"/>
          <w:color w:val="000000"/>
          <w:sz w:val="24"/>
          <w:szCs w:val="24"/>
        </w:rPr>
        <w:t xml:space="preserve">L’herbier national du Togo abrité par la Faculté des Sciences de l’Université de Lomé compte plus de </w:t>
      </w:r>
      <w:r w:rsidRPr="00FD1DDA">
        <w:rPr>
          <w:rFonts w:ascii="Times New Roman" w:eastAsia="Times New Roman" w:hAnsi="Times New Roman" w:cs="Times New Roman"/>
          <w:sz w:val="24"/>
          <w:szCs w:val="24"/>
          <w:lang w:eastAsia="fr-FR"/>
        </w:rPr>
        <w:t xml:space="preserve">15000 parts pour environ 3500 espèces. Avec cet effort de collection, le Togo peut estimer posséder au moins 90 % de sa flore </w:t>
      </w:r>
      <w:r w:rsidRPr="00FD1DDA">
        <w:rPr>
          <w:rFonts w:ascii="Times New Roman" w:eastAsia="Times New Roman" w:hAnsi="Times New Roman" w:cs="Times New Roman"/>
          <w:i/>
          <w:sz w:val="24"/>
          <w:szCs w:val="24"/>
          <w:lang w:eastAsia="fr-FR"/>
        </w:rPr>
        <w:t>ex situ</w:t>
      </w:r>
      <w:r w:rsidRPr="00FD1DDA">
        <w:rPr>
          <w:rFonts w:ascii="Times New Roman" w:eastAsia="Times New Roman" w:hAnsi="Times New Roman" w:cs="Times New Roman"/>
          <w:sz w:val="24"/>
          <w:szCs w:val="24"/>
          <w:lang w:eastAsia="fr-FR"/>
        </w:rPr>
        <w:t>. Là où des efforts sont à faire, c’est la mise en place et l’aménagement de jardin botanique.</w:t>
      </w:r>
      <w:r w:rsidR="00B628B5">
        <w:rPr>
          <w:rFonts w:ascii="Times New Roman" w:eastAsia="Times New Roman" w:hAnsi="Times New Roman" w:cs="Times New Roman"/>
          <w:sz w:val="24"/>
          <w:szCs w:val="24"/>
          <w:lang w:eastAsia="fr-FR"/>
        </w:rPr>
        <w:t xml:space="preserve"> Toutefois, </w:t>
      </w:r>
      <w:r w:rsidR="00B628B5" w:rsidRPr="007B1569">
        <w:rPr>
          <w:rFonts w:ascii="Times New Roman" w:hAnsi="Times New Roman" w:cs="Times New Roman"/>
          <w:sz w:val="24"/>
          <w:szCs w:val="24"/>
        </w:rPr>
        <w:t>une vingtaine d’espèces végétales forestières menacées dans leur biotope naturel ont été récoltées et introduites dans le jardin de l’INFA de Tové</w:t>
      </w:r>
      <w:r w:rsidR="00B628B5">
        <w:rPr>
          <w:rFonts w:ascii="Times New Roman" w:hAnsi="Times New Roman" w:cs="Times New Roman"/>
          <w:sz w:val="24"/>
          <w:szCs w:val="24"/>
        </w:rPr>
        <w:t> :</w:t>
      </w:r>
      <w:r w:rsidR="006B5992">
        <w:rPr>
          <w:rFonts w:ascii="Times New Roman" w:hAnsi="Times New Roman" w:cs="Times New Roman"/>
          <w:sz w:val="24"/>
          <w:szCs w:val="24"/>
        </w:rPr>
        <w:t xml:space="preserve"> </w:t>
      </w:r>
      <w:r w:rsidR="00B628B5" w:rsidRPr="007B1569">
        <w:rPr>
          <w:rFonts w:ascii="Times New Roman" w:hAnsi="Times New Roman" w:cs="Times New Roman"/>
          <w:i/>
          <w:sz w:val="24"/>
          <w:szCs w:val="24"/>
        </w:rPr>
        <w:t>Afzelia</w:t>
      </w:r>
      <w:r w:rsidR="006B5992">
        <w:rPr>
          <w:rFonts w:ascii="Times New Roman" w:hAnsi="Times New Roman" w:cs="Times New Roman"/>
          <w:i/>
          <w:sz w:val="24"/>
          <w:szCs w:val="24"/>
        </w:rPr>
        <w:t xml:space="preserve"> </w:t>
      </w:r>
      <w:r w:rsidR="00B628B5" w:rsidRPr="007B1569">
        <w:rPr>
          <w:rFonts w:ascii="Times New Roman" w:hAnsi="Times New Roman" w:cs="Times New Roman"/>
          <w:i/>
          <w:sz w:val="24"/>
          <w:szCs w:val="24"/>
        </w:rPr>
        <w:t>bella, Daniella</w:t>
      </w:r>
      <w:r w:rsidR="006B5992">
        <w:rPr>
          <w:rFonts w:ascii="Times New Roman" w:hAnsi="Times New Roman" w:cs="Times New Roman"/>
          <w:i/>
          <w:sz w:val="24"/>
          <w:szCs w:val="24"/>
        </w:rPr>
        <w:t xml:space="preserve"> </w:t>
      </w:r>
      <w:r w:rsidR="00B628B5" w:rsidRPr="007B1569">
        <w:rPr>
          <w:rFonts w:ascii="Times New Roman" w:hAnsi="Times New Roman" w:cs="Times New Roman"/>
          <w:i/>
          <w:sz w:val="24"/>
          <w:szCs w:val="24"/>
        </w:rPr>
        <w:t>ogea, Detarium</w:t>
      </w:r>
      <w:r w:rsidR="006B5992">
        <w:rPr>
          <w:rFonts w:ascii="Times New Roman" w:hAnsi="Times New Roman" w:cs="Times New Roman"/>
          <w:i/>
          <w:sz w:val="24"/>
          <w:szCs w:val="24"/>
        </w:rPr>
        <w:t xml:space="preserve"> </w:t>
      </w:r>
      <w:r w:rsidR="00B628B5" w:rsidRPr="007B1569">
        <w:rPr>
          <w:rFonts w:ascii="Times New Roman" w:hAnsi="Times New Roman" w:cs="Times New Roman"/>
          <w:i/>
          <w:sz w:val="24"/>
          <w:szCs w:val="24"/>
        </w:rPr>
        <w:t>senegalense, Entandrophragma</w:t>
      </w:r>
      <w:r w:rsidR="006B5992">
        <w:rPr>
          <w:rFonts w:ascii="Times New Roman" w:hAnsi="Times New Roman" w:cs="Times New Roman"/>
          <w:i/>
          <w:sz w:val="24"/>
          <w:szCs w:val="24"/>
        </w:rPr>
        <w:t xml:space="preserve"> </w:t>
      </w:r>
      <w:r w:rsidR="00B628B5" w:rsidRPr="007B1569">
        <w:rPr>
          <w:rFonts w:ascii="Times New Roman" w:hAnsi="Times New Roman" w:cs="Times New Roman"/>
          <w:i/>
          <w:sz w:val="24"/>
          <w:szCs w:val="24"/>
        </w:rPr>
        <w:t>angolense, Mansonia</w:t>
      </w:r>
      <w:r w:rsidR="006B5992">
        <w:rPr>
          <w:rFonts w:ascii="Times New Roman" w:hAnsi="Times New Roman" w:cs="Times New Roman"/>
          <w:i/>
          <w:sz w:val="24"/>
          <w:szCs w:val="24"/>
        </w:rPr>
        <w:t xml:space="preserve"> </w:t>
      </w:r>
      <w:r w:rsidR="00B628B5" w:rsidRPr="007B1569">
        <w:rPr>
          <w:rFonts w:ascii="Times New Roman" w:hAnsi="Times New Roman" w:cs="Times New Roman"/>
          <w:i/>
          <w:sz w:val="24"/>
          <w:szCs w:val="24"/>
        </w:rPr>
        <w:t>altissima,</w:t>
      </w:r>
      <w:r w:rsidR="00B628B5">
        <w:rPr>
          <w:rFonts w:ascii="Times New Roman" w:hAnsi="Times New Roman" w:cs="Times New Roman"/>
          <w:i/>
          <w:sz w:val="24"/>
          <w:szCs w:val="24"/>
        </w:rPr>
        <w:t xml:space="preserve"> Mimusops warneckei,</w:t>
      </w:r>
      <w:r w:rsidR="00B628B5" w:rsidRPr="007B1569">
        <w:rPr>
          <w:rFonts w:ascii="Times New Roman" w:hAnsi="Times New Roman" w:cs="Times New Roman"/>
          <w:i/>
          <w:sz w:val="24"/>
          <w:szCs w:val="24"/>
        </w:rPr>
        <w:t xml:space="preserve"> Nauclea didderichii, N. pobeguinii,</w:t>
      </w:r>
      <w:r w:rsidR="006B5992">
        <w:rPr>
          <w:rFonts w:ascii="Times New Roman" w:hAnsi="Times New Roman" w:cs="Times New Roman"/>
          <w:i/>
          <w:sz w:val="24"/>
          <w:szCs w:val="24"/>
        </w:rPr>
        <w:t xml:space="preserve"> </w:t>
      </w:r>
      <w:r w:rsidR="00B628B5" w:rsidRPr="007B1569">
        <w:rPr>
          <w:rFonts w:ascii="Times New Roman" w:hAnsi="Times New Roman" w:cs="Times New Roman"/>
          <w:i/>
          <w:iCs/>
          <w:color w:val="000000"/>
          <w:sz w:val="24"/>
          <w:szCs w:val="24"/>
        </w:rPr>
        <w:t>Symphonia</w:t>
      </w:r>
      <w:r w:rsidR="006B5992">
        <w:rPr>
          <w:rFonts w:ascii="Times New Roman" w:hAnsi="Times New Roman" w:cs="Times New Roman"/>
          <w:i/>
          <w:iCs/>
          <w:color w:val="000000"/>
          <w:sz w:val="24"/>
          <w:szCs w:val="24"/>
        </w:rPr>
        <w:t xml:space="preserve"> </w:t>
      </w:r>
      <w:r w:rsidR="00B628B5" w:rsidRPr="007B1569">
        <w:rPr>
          <w:rFonts w:ascii="Times New Roman" w:hAnsi="Times New Roman" w:cs="Times New Roman"/>
          <w:i/>
          <w:iCs/>
          <w:color w:val="000000"/>
          <w:sz w:val="24"/>
          <w:szCs w:val="24"/>
        </w:rPr>
        <w:t xml:space="preserve">globulifera, </w:t>
      </w:r>
      <w:r w:rsidR="00B628B5" w:rsidRPr="007B1569">
        <w:rPr>
          <w:rFonts w:ascii="Times New Roman" w:hAnsi="Times New Roman" w:cs="Times New Roman"/>
          <w:iCs/>
          <w:color w:val="000000"/>
          <w:sz w:val="24"/>
          <w:szCs w:val="24"/>
        </w:rPr>
        <w:t>etc.</w:t>
      </w:r>
    </w:p>
    <w:p w14:paraId="03706EB3" w14:textId="77777777" w:rsidR="00B628B5" w:rsidRDefault="00B628B5" w:rsidP="00FD1DDA">
      <w:pPr>
        <w:spacing w:after="0" w:line="240" w:lineRule="auto"/>
        <w:jc w:val="both"/>
        <w:rPr>
          <w:rFonts w:ascii="Times New Roman" w:eastAsia="Times New Roman" w:hAnsi="Times New Roman" w:cs="Times New Roman"/>
          <w:sz w:val="24"/>
          <w:szCs w:val="24"/>
          <w:lang w:eastAsia="fr-FR"/>
        </w:rPr>
      </w:pPr>
    </w:p>
    <w:p w14:paraId="1C74B731" w14:textId="380B5236" w:rsidR="00FD1DDA" w:rsidRDefault="00FD1DDA" w:rsidP="00932E65">
      <w:pPr>
        <w:spacing w:after="0" w:line="240" w:lineRule="auto"/>
        <w:jc w:val="both"/>
        <w:rPr>
          <w:rFonts w:ascii="Times New Roman" w:hAnsi="Times New Roman" w:cs="Times New Roman"/>
          <w:i/>
          <w:iCs/>
          <w:sz w:val="24"/>
          <w:szCs w:val="24"/>
        </w:rPr>
      </w:pPr>
      <w:r w:rsidRPr="005B7093">
        <w:rPr>
          <w:rFonts w:ascii="Times New Roman" w:hAnsi="Times New Roman" w:cs="Times New Roman"/>
          <w:sz w:val="24"/>
          <w:szCs w:val="24"/>
        </w:rPr>
        <w:t xml:space="preserve">Plusieurs travaux de recherches, pour la plupart réalisés à la Faculté des Sciences de l’Université de Lomé, </w:t>
      </w:r>
      <w:r w:rsidR="00B628B5">
        <w:rPr>
          <w:rFonts w:ascii="Times New Roman" w:hAnsi="Times New Roman" w:cs="Times New Roman"/>
          <w:sz w:val="24"/>
          <w:szCs w:val="24"/>
        </w:rPr>
        <w:t xml:space="preserve">sont en cours pour assurer la </w:t>
      </w:r>
      <w:r w:rsidRPr="005B7093">
        <w:rPr>
          <w:rFonts w:ascii="Times New Roman" w:hAnsi="Times New Roman" w:cs="Times New Roman"/>
          <w:iCs/>
          <w:sz w:val="24"/>
          <w:szCs w:val="24"/>
        </w:rPr>
        <w:t xml:space="preserve">domestication </w:t>
      </w:r>
      <w:r w:rsidR="00B628B5">
        <w:rPr>
          <w:rFonts w:ascii="Times New Roman" w:hAnsi="Times New Roman" w:cs="Times New Roman"/>
          <w:sz w:val="24"/>
          <w:szCs w:val="24"/>
        </w:rPr>
        <w:t>d’espèces menacées dans leur biotope</w:t>
      </w:r>
      <w:r w:rsidR="00932E65">
        <w:rPr>
          <w:rFonts w:ascii="Times New Roman" w:hAnsi="Times New Roman" w:cs="Times New Roman"/>
          <w:sz w:val="24"/>
          <w:szCs w:val="24"/>
        </w:rPr>
        <w:t xml:space="preserve"> </w:t>
      </w:r>
      <w:r w:rsidR="00B628B5" w:rsidRPr="00B628B5">
        <w:rPr>
          <w:rFonts w:ascii="Times New Roman" w:hAnsi="Times New Roman" w:cs="Times New Roman"/>
          <w:i/>
          <w:sz w:val="24"/>
          <w:szCs w:val="24"/>
        </w:rPr>
        <w:t>Entandrophragma angolense</w:t>
      </w:r>
      <w:r w:rsidR="00B628B5">
        <w:rPr>
          <w:rFonts w:ascii="Times New Roman" w:hAnsi="Times New Roman" w:cs="Times New Roman"/>
          <w:sz w:val="24"/>
          <w:szCs w:val="24"/>
        </w:rPr>
        <w:t xml:space="preserve">, </w:t>
      </w:r>
      <w:r w:rsidRPr="005B7093">
        <w:rPr>
          <w:rFonts w:ascii="Times New Roman" w:hAnsi="Times New Roman" w:cs="Times New Roman"/>
          <w:i/>
          <w:iCs/>
          <w:sz w:val="24"/>
          <w:szCs w:val="24"/>
        </w:rPr>
        <w:t>Nauclea diderrichii</w:t>
      </w:r>
      <w:r w:rsidR="00B628B5">
        <w:rPr>
          <w:rFonts w:ascii="Times New Roman" w:hAnsi="Times New Roman" w:cs="Times New Roman"/>
          <w:i/>
          <w:iCs/>
          <w:sz w:val="24"/>
          <w:szCs w:val="24"/>
        </w:rPr>
        <w:t xml:space="preserve">, </w:t>
      </w:r>
      <w:r w:rsidRPr="005B7093">
        <w:rPr>
          <w:rFonts w:ascii="Times New Roman" w:hAnsi="Times New Roman" w:cs="Times New Roman"/>
          <w:i/>
          <w:iCs/>
          <w:sz w:val="24"/>
          <w:szCs w:val="24"/>
        </w:rPr>
        <w:t>Mansonia altissima</w:t>
      </w:r>
      <w:r w:rsidR="00B628B5">
        <w:rPr>
          <w:rFonts w:ascii="Times New Roman" w:hAnsi="Times New Roman" w:cs="Times New Roman"/>
          <w:i/>
          <w:iCs/>
          <w:sz w:val="24"/>
          <w:szCs w:val="24"/>
        </w:rPr>
        <w:t xml:space="preserve">, </w:t>
      </w:r>
      <w:r w:rsidRPr="005B7093">
        <w:rPr>
          <w:rFonts w:ascii="Times New Roman" w:hAnsi="Times New Roman" w:cs="Times New Roman"/>
          <w:i/>
          <w:sz w:val="24"/>
          <w:szCs w:val="24"/>
        </w:rPr>
        <w:t xml:space="preserve">Detarium </w:t>
      </w:r>
      <w:r w:rsidRPr="00690470">
        <w:rPr>
          <w:rFonts w:ascii="Times New Roman" w:hAnsi="Times New Roman" w:cs="Times New Roman"/>
          <w:i/>
          <w:sz w:val="24"/>
          <w:szCs w:val="24"/>
        </w:rPr>
        <w:t>senegalense</w:t>
      </w:r>
      <w:r w:rsidRPr="005B7093">
        <w:rPr>
          <w:rFonts w:ascii="Times New Roman" w:hAnsi="Times New Roman" w:cs="Times New Roman"/>
          <w:sz w:val="24"/>
          <w:szCs w:val="24"/>
        </w:rPr>
        <w:t xml:space="preserve">, </w:t>
      </w:r>
      <w:r w:rsidR="00B628B5" w:rsidRPr="005B7093">
        <w:rPr>
          <w:rFonts w:ascii="Times New Roman" w:hAnsi="Times New Roman" w:cs="Times New Roman"/>
          <w:i/>
          <w:iCs/>
          <w:sz w:val="24"/>
          <w:szCs w:val="24"/>
        </w:rPr>
        <w:t xml:space="preserve">Pterocarpus erinaceus, </w:t>
      </w:r>
      <w:r w:rsidR="00932E65">
        <w:rPr>
          <w:rFonts w:ascii="Times New Roman" w:hAnsi="Times New Roman" w:cs="Times New Roman"/>
          <w:i/>
          <w:iCs/>
          <w:sz w:val="24"/>
          <w:szCs w:val="24"/>
        </w:rPr>
        <w:t>P. mildbraedii, etc.</w:t>
      </w:r>
    </w:p>
    <w:p w14:paraId="1151C3F3" w14:textId="77777777" w:rsidR="00932E65" w:rsidRDefault="00932E65" w:rsidP="00932E65">
      <w:pPr>
        <w:spacing w:after="0" w:line="240" w:lineRule="auto"/>
        <w:jc w:val="both"/>
        <w:rPr>
          <w:b/>
          <w:iCs/>
          <w:kern w:val="22"/>
          <w:lang w:val="fr-CA"/>
        </w:rPr>
      </w:pPr>
    </w:p>
    <w:p w14:paraId="44A4A718" w14:textId="1B20EF68" w:rsidR="009C0565" w:rsidRPr="0098360C"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98360C">
        <w:rPr>
          <w:rFonts w:ascii="Times New Roman" w:hAnsi="Times New Roman" w:cs="Times New Roman"/>
          <w:b/>
          <w:iCs/>
          <w:kern w:val="22"/>
          <w:sz w:val="24"/>
          <w:szCs w:val="24"/>
          <w:lang w:val="fr-CA"/>
        </w:rPr>
        <w:t>Objectif 9 de la Stratégie mondiale pour</w:t>
      </w:r>
      <w:r w:rsidR="00932E65">
        <w:rPr>
          <w:rFonts w:ascii="Times New Roman" w:hAnsi="Times New Roman" w:cs="Times New Roman"/>
          <w:b/>
          <w:iCs/>
          <w:kern w:val="22"/>
          <w:sz w:val="24"/>
          <w:szCs w:val="24"/>
          <w:lang w:val="fr-CA"/>
        </w:rPr>
        <w:t xml:space="preserve"> la conservation des plantes : c</w:t>
      </w:r>
      <w:r w:rsidRPr="0098360C">
        <w:rPr>
          <w:rFonts w:ascii="Times New Roman" w:hAnsi="Times New Roman" w:cs="Times New Roman"/>
          <w:b/>
          <w:iCs/>
          <w:kern w:val="22"/>
          <w:sz w:val="24"/>
          <w:szCs w:val="24"/>
          <w:lang w:val="fr-CA"/>
        </w:rPr>
        <w:t>onservation de 70 pour cent de la diversité génétique des cultures et des plantes sauvages apparentées et d’autres espèces de plantes importantes au plan socioéconomique, tout en respectant, préservant et maintenant les connaissances autochtones et locales connexes</w:t>
      </w:r>
    </w:p>
    <w:p w14:paraId="7BAB2AD1" w14:textId="77777777" w:rsidR="00092D2B" w:rsidRPr="0098360C" w:rsidRDefault="00092D2B" w:rsidP="0098360C">
      <w:pPr>
        <w:autoSpaceDE w:val="0"/>
        <w:autoSpaceDN w:val="0"/>
        <w:adjustRightInd w:val="0"/>
        <w:spacing w:after="0" w:line="240" w:lineRule="auto"/>
        <w:jc w:val="both"/>
        <w:rPr>
          <w:rFonts w:ascii="Times New Roman" w:hAnsi="Times New Roman" w:cs="Times New Roman"/>
          <w:bCs/>
          <w:color w:val="000000"/>
          <w:sz w:val="24"/>
          <w:szCs w:val="24"/>
        </w:rPr>
      </w:pPr>
    </w:p>
    <w:p w14:paraId="709691BA" w14:textId="598D1690" w:rsidR="00092D2B" w:rsidRPr="0098360C" w:rsidRDefault="00092D2B" w:rsidP="0098360C">
      <w:pPr>
        <w:autoSpaceDE w:val="0"/>
        <w:autoSpaceDN w:val="0"/>
        <w:adjustRightInd w:val="0"/>
        <w:spacing w:after="0" w:line="240" w:lineRule="auto"/>
        <w:jc w:val="both"/>
        <w:rPr>
          <w:rFonts w:ascii="Times New Roman" w:hAnsi="Times New Roman" w:cs="Times New Roman"/>
          <w:color w:val="000000"/>
          <w:sz w:val="24"/>
          <w:szCs w:val="24"/>
        </w:rPr>
      </w:pPr>
      <w:r w:rsidRPr="0098360C">
        <w:rPr>
          <w:rFonts w:ascii="Times New Roman" w:hAnsi="Times New Roman" w:cs="Times New Roman"/>
          <w:bCs/>
          <w:color w:val="000000"/>
          <w:sz w:val="24"/>
          <w:szCs w:val="24"/>
        </w:rPr>
        <w:t>Le Ministère de l’Agriculture</w:t>
      </w:r>
      <w:r w:rsidR="00932E65">
        <w:rPr>
          <w:rFonts w:ascii="Times New Roman" w:hAnsi="Times New Roman" w:cs="Times New Roman"/>
          <w:bCs/>
          <w:color w:val="000000"/>
          <w:sz w:val="24"/>
          <w:szCs w:val="24"/>
        </w:rPr>
        <w:t>,</w:t>
      </w:r>
      <w:r w:rsidRPr="0098360C">
        <w:rPr>
          <w:rFonts w:ascii="Times New Roman" w:hAnsi="Times New Roman" w:cs="Times New Roman"/>
          <w:bCs/>
          <w:color w:val="000000"/>
          <w:sz w:val="24"/>
          <w:szCs w:val="24"/>
        </w:rPr>
        <w:t xml:space="preserve"> de l’Elevage et de l’Hydraulique</w:t>
      </w:r>
      <w:r w:rsidRPr="0098360C">
        <w:rPr>
          <w:rFonts w:ascii="Times New Roman" w:hAnsi="Times New Roman" w:cs="Times New Roman"/>
          <w:bCs/>
          <w:sz w:val="24"/>
          <w:szCs w:val="24"/>
        </w:rPr>
        <w:t>, dans son p</w:t>
      </w:r>
      <w:r w:rsidRPr="0098360C">
        <w:rPr>
          <w:rFonts w:ascii="Times New Roman" w:hAnsi="Times New Roman" w:cs="Times New Roman"/>
          <w:bCs/>
          <w:color w:val="000000"/>
          <w:sz w:val="24"/>
          <w:szCs w:val="24"/>
        </w:rPr>
        <w:t xml:space="preserve">remier rapport sur l’état </w:t>
      </w:r>
      <w:r w:rsidRPr="0098360C">
        <w:rPr>
          <w:rFonts w:ascii="Times New Roman" w:hAnsi="Times New Roman" w:cs="Times New Roman"/>
          <w:bCs/>
          <w:sz w:val="24"/>
          <w:szCs w:val="24"/>
        </w:rPr>
        <w:t>de la biodiversité pour l’alimentation et l’agriculture au Togo</w:t>
      </w:r>
      <w:r w:rsidR="0098360C">
        <w:rPr>
          <w:rFonts w:ascii="Times New Roman" w:hAnsi="Times New Roman" w:cs="Times New Roman"/>
          <w:bCs/>
          <w:sz w:val="24"/>
          <w:szCs w:val="24"/>
        </w:rPr>
        <w:t xml:space="preserve"> (MAEP/FAO/BAA, 2017)</w:t>
      </w:r>
      <w:r w:rsidRPr="0098360C">
        <w:rPr>
          <w:rFonts w:ascii="Times New Roman" w:hAnsi="Times New Roman" w:cs="Times New Roman"/>
          <w:sz w:val="24"/>
          <w:szCs w:val="24"/>
        </w:rPr>
        <w:t>, a dressé un</w:t>
      </w:r>
      <w:r w:rsidR="009C0565" w:rsidRPr="0098360C">
        <w:rPr>
          <w:rFonts w:ascii="Times New Roman" w:hAnsi="Times New Roman" w:cs="Times New Roman"/>
          <w:iCs/>
          <w:sz w:val="24"/>
          <w:szCs w:val="24"/>
          <w:lang w:val="fr-CA"/>
        </w:rPr>
        <w:t xml:space="preserve"> répertoire national </w:t>
      </w:r>
      <w:r w:rsidRPr="0098360C">
        <w:rPr>
          <w:rFonts w:ascii="Times New Roman" w:hAnsi="Times New Roman" w:cs="Times New Roman"/>
          <w:iCs/>
          <w:sz w:val="24"/>
          <w:szCs w:val="24"/>
          <w:lang w:val="fr-CA"/>
        </w:rPr>
        <w:t xml:space="preserve">assez exhaustif </w:t>
      </w:r>
      <w:r w:rsidR="009C0565" w:rsidRPr="0098360C">
        <w:rPr>
          <w:rFonts w:ascii="Times New Roman" w:hAnsi="Times New Roman" w:cs="Times New Roman"/>
          <w:iCs/>
          <w:sz w:val="24"/>
          <w:szCs w:val="24"/>
          <w:lang w:val="fr-CA"/>
        </w:rPr>
        <w:t>des espèces sauvages apparentées et autres espèces de plantes impor</w:t>
      </w:r>
      <w:r w:rsidRPr="0098360C">
        <w:rPr>
          <w:rFonts w:ascii="Times New Roman" w:hAnsi="Times New Roman" w:cs="Times New Roman"/>
          <w:iCs/>
          <w:sz w:val="24"/>
          <w:szCs w:val="24"/>
          <w:lang w:val="fr-CA"/>
        </w:rPr>
        <w:t xml:space="preserve">tantes au plan socioéconomique, notamment les </w:t>
      </w:r>
      <w:r w:rsidR="009C0565" w:rsidRPr="0098360C">
        <w:rPr>
          <w:rFonts w:ascii="Times New Roman" w:hAnsi="Times New Roman" w:cs="Times New Roman"/>
          <w:iCs/>
          <w:sz w:val="24"/>
          <w:szCs w:val="24"/>
          <w:lang w:val="fr-CA"/>
        </w:rPr>
        <w:t>plantes médicinales,</w:t>
      </w:r>
      <w:r w:rsidR="0098360C">
        <w:rPr>
          <w:rFonts w:ascii="Times New Roman" w:hAnsi="Times New Roman" w:cs="Times New Roman"/>
          <w:iCs/>
          <w:sz w:val="24"/>
          <w:szCs w:val="24"/>
          <w:lang w:val="fr-CA"/>
        </w:rPr>
        <w:t xml:space="preserve"> les</w:t>
      </w:r>
      <w:r w:rsidR="009C0565" w:rsidRPr="0098360C">
        <w:rPr>
          <w:rFonts w:ascii="Times New Roman" w:hAnsi="Times New Roman" w:cs="Times New Roman"/>
          <w:iCs/>
          <w:sz w:val="24"/>
          <w:szCs w:val="24"/>
          <w:lang w:val="fr-CA"/>
        </w:rPr>
        <w:t xml:space="preserve"> plantes fourragères, </w:t>
      </w:r>
      <w:r w:rsidR="0098360C">
        <w:rPr>
          <w:rFonts w:ascii="Times New Roman" w:hAnsi="Times New Roman" w:cs="Times New Roman"/>
          <w:iCs/>
          <w:sz w:val="24"/>
          <w:szCs w:val="24"/>
          <w:lang w:val="fr-CA"/>
        </w:rPr>
        <w:t xml:space="preserve">les </w:t>
      </w:r>
      <w:r w:rsidR="009C0565" w:rsidRPr="0098360C">
        <w:rPr>
          <w:rFonts w:ascii="Times New Roman" w:hAnsi="Times New Roman" w:cs="Times New Roman"/>
          <w:iCs/>
          <w:sz w:val="24"/>
          <w:szCs w:val="24"/>
          <w:lang w:val="fr-CA"/>
        </w:rPr>
        <w:t>espèces d’arbres u</w:t>
      </w:r>
      <w:r w:rsidRPr="0098360C">
        <w:rPr>
          <w:rFonts w:ascii="Times New Roman" w:hAnsi="Times New Roman" w:cs="Times New Roman"/>
          <w:iCs/>
          <w:sz w:val="24"/>
          <w:szCs w:val="24"/>
          <w:lang w:val="fr-CA"/>
        </w:rPr>
        <w:t xml:space="preserve">tiles, </w:t>
      </w:r>
      <w:r w:rsidR="0098360C" w:rsidRPr="0098360C">
        <w:rPr>
          <w:rFonts w:ascii="Times New Roman" w:hAnsi="Times New Roman" w:cs="Times New Roman"/>
          <w:iCs/>
          <w:sz w:val="24"/>
          <w:szCs w:val="24"/>
          <w:lang w:val="fr-CA"/>
        </w:rPr>
        <w:t>l</w:t>
      </w:r>
      <w:r w:rsidRPr="0098360C">
        <w:rPr>
          <w:rFonts w:ascii="Times New Roman" w:hAnsi="Times New Roman" w:cs="Times New Roman"/>
          <w:bCs/>
          <w:iCs/>
          <w:sz w:val="24"/>
          <w:szCs w:val="24"/>
        </w:rPr>
        <w:t>es plantes mineures et négligées</w:t>
      </w:r>
      <w:r w:rsidR="0098360C" w:rsidRPr="0098360C">
        <w:rPr>
          <w:rFonts w:ascii="Times New Roman" w:hAnsi="Times New Roman" w:cs="Times New Roman"/>
          <w:bCs/>
          <w:iCs/>
          <w:sz w:val="24"/>
          <w:szCs w:val="24"/>
        </w:rPr>
        <w:t>, les fruitiers sauvages, les</w:t>
      </w:r>
      <w:r w:rsidRPr="0098360C">
        <w:rPr>
          <w:rFonts w:ascii="Times New Roman" w:hAnsi="Times New Roman" w:cs="Times New Roman"/>
          <w:sz w:val="24"/>
          <w:szCs w:val="24"/>
        </w:rPr>
        <w:t xml:space="preserve"> lianes</w:t>
      </w:r>
      <w:r w:rsidR="0098360C" w:rsidRPr="0098360C">
        <w:rPr>
          <w:rFonts w:ascii="Times New Roman" w:hAnsi="Times New Roman" w:cs="Times New Roman"/>
          <w:sz w:val="24"/>
          <w:szCs w:val="24"/>
        </w:rPr>
        <w:t>,l</w:t>
      </w:r>
      <w:r w:rsidR="0098360C">
        <w:rPr>
          <w:rFonts w:ascii="Times New Roman" w:hAnsi="Times New Roman" w:cs="Times New Roman"/>
          <w:bCs/>
          <w:iCs/>
          <w:sz w:val="24"/>
          <w:szCs w:val="24"/>
        </w:rPr>
        <w:t>es plantes fourragères, l</w:t>
      </w:r>
      <w:r w:rsidRPr="0098360C">
        <w:rPr>
          <w:rFonts w:ascii="Times New Roman" w:hAnsi="Times New Roman" w:cs="Times New Roman"/>
          <w:sz w:val="24"/>
          <w:szCs w:val="24"/>
        </w:rPr>
        <w:t>es espèces fourragères</w:t>
      </w:r>
      <w:r w:rsidR="0098360C">
        <w:rPr>
          <w:rFonts w:ascii="Times New Roman" w:hAnsi="Times New Roman" w:cs="Times New Roman"/>
          <w:sz w:val="24"/>
          <w:szCs w:val="24"/>
        </w:rPr>
        <w:t>…</w:t>
      </w:r>
    </w:p>
    <w:p w14:paraId="5B618BDF" w14:textId="77777777" w:rsidR="00092D2B" w:rsidRPr="00092D2B" w:rsidRDefault="00092D2B" w:rsidP="00092D2B">
      <w:pPr>
        <w:autoSpaceDE w:val="0"/>
        <w:autoSpaceDN w:val="0"/>
        <w:adjustRightInd w:val="0"/>
        <w:spacing w:after="0" w:line="240" w:lineRule="auto"/>
        <w:rPr>
          <w:rFonts w:ascii="Times New Roman" w:hAnsi="Times New Roman" w:cs="Times New Roman"/>
          <w:sz w:val="23"/>
          <w:szCs w:val="23"/>
        </w:rPr>
      </w:pPr>
    </w:p>
    <w:p w14:paraId="483FDB3A" w14:textId="6466FE89" w:rsidR="009C0565" w:rsidRPr="006C388F"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6C388F">
        <w:rPr>
          <w:rFonts w:ascii="Times New Roman" w:hAnsi="Times New Roman" w:cs="Times New Roman"/>
          <w:b/>
          <w:iCs/>
          <w:kern w:val="22"/>
          <w:sz w:val="24"/>
          <w:szCs w:val="24"/>
          <w:lang w:val="fr-CA"/>
        </w:rPr>
        <w:t>Objectif 10 de la Stratégie mondiale pour la conservation des pl</w:t>
      </w:r>
      <w:r w:rsidR="00932E65">
        <w:rPr>
          <w:rFonts w:ascii="Times New Roman" w:hAnsi="Times New Roman" w:cs="Times New Roman"/>
          <w:b/>
          <w:iCs/>
          <w:kern w:val="22"/>
          <w:sz w:val="24"/>
          <w:szCs w:val="24"/>
          <w:lang w:val="fr-CA"/>
        </w:rPr>
        <w:t>antes : m</w:t>
      </w:r>
      <w:r w:rsidRPr="006C388F">
        <w:rPr>
          <w:rFonts w:ascii="Times New Roman" w:hAnsi="Times New Roman" w:cs="Times New Roman"/>
          <w:b/>
          <w:iCs/>
          <w:kern w:val="22"/>
          <w:sz w:val="24"/>
          <w:szCs w:val="24"/>
          <w:lang w:val="fr-CA"/>
        </w:rPr>
        <w:t>ise en place de plans de gestion efficaces pour prévenir les nouvelles invasions biologiques et gérer les zones importantes pour la diversité des plantes qui sont envahies</w:t>
      </w:r>
      <w:r w:rsidR="00932E65">
        <w:rPr>
          <w:rFonts w:ascii="Times New Roman" w:hAnsi="Times New Roman" w:cs="Times New Roman"/>
          <w:b/>
          <w:iCs/>
          <w:kern w:val="22"/>
          <w:sz w:val="24"/>
          <w:szCs w:val="24"/>
          <w:lang w:val="fr-CA"/>
        </w:rPr>
        <w:t>.</w:t>
      </w:r>
    </w:p>
    <w:p w14:paraId="54CA2B84" w14:textId="77777777" w:rsidR="009C0565" w:rsidRPr="006C388F"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6AF452EC" w14:textId="77777777" w:rsidR="006C388F" w:rsidRPr="006C388F" w:rsidRDefault="00E13C2D" w:rsidP="00254C9C">
      <w:pPr>
        <w:spacing w:after="0" w:line="240" w:lineRule="auto"/>
        <w:jc w:val="both"/>
        <w:rPr>
          <w:rFonts w:ascii="Times New Roman" w:hAnsi="Times New Roman" w:cs="Times New Roman"/>
          <w:bCs/>
          <w:sz w:val="24"/>
          <w:szCs w:val="24"/>
        </w:rPr>
      </w:pPr>
      <w:r w:rsidRPr="006C388F">
        <w:rPr>
          <w:rFonts w:ascii="Times New Roman" w:hAnsi="Times New Roman" w:cs="Times New Roman"/>
          <w:sz w:val="24"/>
          <w:szCs w:val="24"/>
        </w:rPr>
        <w:t xml:space="preserve">La flore exotique du Togo compte environ 658 espèces, soit 21,52 </w:t>
      </w:r>
      <w:r w:rsidR="006C388F" w:rsidRPr="006C388F">
        <w:rPr>
          <w:rFonts w:ascii="Times New Roman" w:hAnsi="Times New Roman" w:cs="Times New Roman"/>
          <w:sz w:val="24"/>
          <w:szCs w:val="24"/>
        </w:rPr>
        <w:t>% dont certaines espèces sont très envahissantes (Tableau 1</w:t>
      </w:r>
      <w:r w:rsidR="004B51B8">
        <w:rPr>
          <w:rFonts w:ascii="Times New Roman" w:hAnsi="Times New Roman" w:cs="Times New Roman"/>
          <w:sz w:val="24"/>
          <w:szCs w:val="24"/>
        </w:rPr>
        <w:t>4</w:t>
      </w:r>
      <w:r w:rsidR="006C388F" w:rsidRPr="006C388F">
        <w:rPr>
          <w:rFonts w:ascii="Times New Roman" w:hAnsi="Times New Roman" w:cs="Times New Roman"/>
          <w:sz w:val="24"/>
          <w:szCs w:val="24"/>
        </w:rPr>
        <w:t xml:space="preserve">). </w:t>
      </w:r>
      <w:r w:rsidR="006C388F" w:rsidRPr="006C388F">
        <w:rPr>
          <w:rFonts w:ascii="Times New Roman" w:hAnsi="Times New Roman" w:cs="Times New Roman"/>
          <w:bCs/>
          <w:sz w:val="24"/>
          <w:szCs w:val="24"/>
        </w:rPr>
        <w:t xml:space="preserve">Comme espèces exotiques envahissantes sur terre ferme, on peut citer </w:t>
      </w:r>
      <w:r w:rsidR="006C388F" w:rsidRPr="006C388F">
        <w:rPr>
          <w:rFonts w:ascii="Times New Roman" w:hAnsi="Times New Roman" w:cs="Times New Roman"/>
          <w:bCs/>
          <w:i/>
          <w:sz w:val="24"/>
          <w:szCs w:val="24"/>
        </w:rPr>
        <w:t>Chromolaena odorata</w:t>
      </w:r>
      <w:r w:rsidR="006C388F" w:rsidRPr="006C388F">
        <w:rPr>
          <w:rFonts w:ascii="Times New Roman" w:hAnsi="Times New Roman" w:cs="Times New Roman"/>
          <w:bCs/>
          <w:sz w:val="24"/>
          <w:szCs w:val="24"/>
        </w:rPr>
        <w:t xml:space="preserve"> (Asteraceae), une espèce des jachères surtout du climat guinéen, </w:t>
      </w:r>
      <w:r w:rsidR="006C388F" w:rsidRPr="006C388F">
        <w:rPr>
          <w:rFonts w:ascii="Times New Roman" w:hAnsi="Times New Roman" w:cs="Times New Roman"/>
          <w:bCs/>
          <w:i/>
          <w:sz w:val="24"/>
          <w:szCs w:val="24"/>
        </w:rPr>
        <w:t>Azadirachta indica</w:t>
      </w:r>
      <w:r w:rsidR="006C388F" w:rsidRPr="006C388F">
        <w:rPr>
          <w:rFonts w:ascii="Times New Roman" w:hAnsi="Times New Roman" w:cs="Times New Roman"/>
          <w:bCs/>
          <w:sz w:val="24"/>
          <w:szCs w:val="24"/>
        </w:rPr>
        <w:t xml:space="preserve"> (Meliaceae) observé partout au Togo et devenu même la végétation ligneuse de certaines localités à travers le pays, </w:t>
      </w:r>
      <w:r w:rsidR="006C388F" w:rsidRPr="006C388F">
        <w:rPr>
          <w:rFonts w:ascii="Times New Roman" w:hAnsi="Times New Roman" w:cs="Times New Roman"/>
          <w:bCs/>
          <w:i/>
          <w:sz w:val="24"/>
          <w:szCs w:val="24"/>
        </w:rPr>
        <w:t>Leucaena leucocephala</w:t>
      </w:r>
      <w:r w:rsidR="006C388F" w:rsidRPr="006C388F">
        <w:rPr>
          <w:rFonts w:ascii="Times New Roman" w:hAnsi="Times New Roman" w:cs="Times New Roman"/>
          <w:bCs/>
          <w:sz w:val="24"/>
          <w:szCs w:val="24"/>
        </w:rPr>
        <w:t xml:space="preserve"> (Mimosaceae), </w:t>
      </w:r>
      <w:r w:rsidR="006C388F" w:rsidRPr="006C388F">
        <w:rPr>
          <w:rFonts w:ascii="Times New Roman" w:hAnsi="Times New Roman" w:cs="Times New Roman"/>
          <w:bCs/>
          <w:i/>
          <w:iCs/>
          <w:sz w:val="24"/>
          <w:szCs w:val="24"/>
        </w:rPr>
        <w:t>Titonia diversifolia</w:t>
      </w:r>
      <w:r w:rsidR="006C388F" w:rsidRPr="006C388F">
        <w:rPr>
          <w:rFonts w:ascii="Times New Roman" w:hAnsi="Times New Roman" w:cs="Times New Roman"/>
          <w:bCs/>
          <w:sz w:val="24"/>
          <w:szCs w:val="24"/>
        </w:rPr>
        <w:t xml:space="preserve"> (Asteraceae) et </w:t>
      </w:r>
      <w:r w:rsidR="006C388F" w:rsidRPr="006C388F">
        <w:rPr>
          <w:rFonts w:ascii="Times New Roman" w:hAnsi="Times New Roman" w:cs="Times New Roman"/>
          <w:bCs/>
          <w:i/>
          <w:iCs/>
          <w:sz w:val="24"/>
          <w:szCs w:val="24"/>
        </w:rPr>
        <w:t>Mimosa invisa</w:t>
      </w:r>
      <w:r w:rsidR="006C388F" w:rsidRPr="006C388F">
        <w:rPr>
          <w:rFonts w:ascii="Times New Roman" w:hAnsi="Times New Roman" w:cs="Times New Roman"/>
          <w:bCs/>
          <w:iCs/>
          <w:sz w:val="24"/>
          <w:szCs w:val="24"/>
        </w:rPr>
        <w:t>(Fabaceae)</w:t>
      </w:r>
      <w:r w:rsidR="006C388F" w:rsidRPr="006C388F">
        <w:rPr>
          <w:rFonts w:ascii="Times New Roman" w:hAnsi="Times New Roman" w:cs="Times New Roman"/>
          <w:bCs/>
          <w:sz w:val="24"/>
          <w:szCs w:val="24"/>
        </w:rPr>
        <w:t xml:space="preserve">. Dans les </w:t>
      </w:r>
      <w:r w:rsidR="006C388F" w:rsidRPr="006C388F">
        <w:rPr>
          <w:rFonts w:ascii="Times New Roman" w:hAnsi="Times New Roman" w:cs="Times New Roman"/>
          <w:sz w:val="24"/>
          <w:szCs w:val="24"/>
        </w:rPr>
        <w:t xml:space="preserve">forêts de la zone montagneuse sub-humide du Togo décrit comme un hotspot en Afrique sub-saharienne (Ferla et </w:t>
      </w:r>
      <w:r w:rsidR="006C388F" w:rsidRPr="006C388F">
        <w:rPr>
          <w:rFonts w:ascii="Times New Roman" w:hAnsi="Times New Roman" w:cs="Times New Roman"/>
          <w:i/>
          <w:sz w:val="24"/>
          <w:szCs w:val="24"/>
        </w:rPr>
        <w:t>al.</w:t>
      </w:r>
      <w:r w:rsidR="006C388F" w:rsidRPr="006C388F">
        <w:rPr>
          <w:rFonts w:ascii="Times New Roman" w:hAnsi="Times New Roman" w:cs="Times New Roman"/>
          <w:sz w:val="24"/>
          <w:szCs w:val="24"/>
        </w:rPr>
        <w:t xml:space="preserve"> 2001), et où l’endémisme est très prononcé pour l’Afrique de l’ouest (Beentje et </w:t>
      </w:r>
      <w:r w:rsidR="006C388F" w:rsidRPr="006C388F">
        <w:rPr>
          <w:rFonts w:ascii="Times New Roman" w:hAnsi="Times New Roman" w:cs="Times New Roman"/>
          <w:i/>
          <w:sz w:val="24"/>
          <w:szCs w:val="24"/>
        </w:rPr>
        <w:t xml:space="preserve">al. </w:t>
      </w:r>
      <w:r w:rsidR="006C388F" w:rsidRPr="006C388F">
        <w:rPr>
          <w:rFonts w:ascii="Times New Roman" w:hAnsi="Times New Roman" w:cs="Times New Roman"/>
          <w:sz w:val="24"/>
          <w:szCs w:val="24"/>
        </w:rPr>
        <w:t>1994), l’intensification de la culture du teck (</w:t>
      </w:r>
      <w:r w:rsidR="006C388F" w:rsidRPr="006C388F">
        <w:rPr>
          <w:rFonts w:ascii="Times New Roman" w:hAnsi="Times New Roman" w:cs="Times New Roman"/>
          <w:i/>
          <w:sz w:val="24"/>
          <w:szCs w:val="24"/>
        </w:rPr>
        <w:t>Tectona grandis</w:t>
      </w:r>
      <w:r w:rsidR="006C388F" w:rsidRPr="006C388F">
        <w:rPr>
          <w:rFonts w:ascii="Times New Roman" w:hAnsi="Times New Roman" w:cs="Times New Roman"/>
          <w:sz w:val="24"/>
          <w:szCs w:val="24"/>
        </w:rPr>
        <w:t>) menace dangereusement la flore locale.</w:t>
      </w:r>
    </w:p>
    <w:p w14:paraId="3A1E1E1F" w14:textId="77777777" w:rsidR="006C388F" w:rsidRPr="006C388F" w:rsidRDefault="006C388F" w:rsidP="00254C9C">
      <w:pPr>
        <w:spacing w:after="0" w:line="240" w:lineRule="auto"/>
        <w:jc w:val="both"/>
        <w:rPr>
          <w:rFonts w:ascii="Times New Roman" w:hAnsi="Times New Roman" w:cs="Times New Roman"/>
          <w:bCs/>
          <w:sz w:val="24"/>
          <w:szCs w:val="24"/>
        </w:rPr>
      </w:pPr>
    </w:p>
    <w:p w14:paraId="307664CD" w14:textId="25E19CC6" w:rsidR="006C388F" w:rsidRDefault="006C388F" w:rsidP="00254C9C">
      <w:pPr>
        <w:spacing w:after="0" w:line="240" w:lineRule="auto"/>
        <w:jc w:val="both"/>
        <w:rPr>
          <w:rFonts w:ascii="Times New Roman" w:hAnsi="Times New Roman" w:cs="Times New Roman"/>
          <w:bCs/>
          <w:sz w:val="24"/>
          <w:szCs w:val="24"/>
        </w:rPr>
      </w:pPr>
      <w:r w:rsidRPr="006C388F">
        <w:rPr>
          <w:rFonts w:ascii="Times New Roman" w:hAnsi="Times New Roman" w:cs="Times New Roman"/>
          <w:bCs/>
          <w:sz w:val="24"/>
          <w:szCs w:val="24"/>
        </w:rPr>
        <w:t xml:space="preserve">En milieu aquatique, les principales espèces aquatiques qui envahissent les mares et les lagunes au Togo sont </w:t>
      </w:r>
      <w:r w:rsidR="00932E65">
        <w:rPr>
          <w:rFonts w:ascii="Times New Roman" w:hAnsi="Times New Roman" w:cs="Times New Roman"/>
          <w:bCs/>
          <w:i/>
          <w:sz w:val="24"/>
          <w:szCs w:val="24"/>
        </w:rPr>
        <w:t>Pistia stratio</w:t>
      </w:r>
      <w:r w:rsidRPr="006C388F">
        <w:rPr>
          <w:rFonts w:ascii="Times New Roman" w:hAnsi="Times New Roman" w:cs="Times New Roman"/>
          <w:bCs/>
          <w:i/>
          <w:sz w:val="24"/>
          <w:szCs w:val="24"/>
        </w:rPr>
        <w:t>tes</w:t>
      </w:r>
      <w:r w:rsidRPr="006C388F">
        <w:rPr>
          <w:rFonts w:ascii="Times New Roman" w:hAnsi="Times New Roman" w:cs="Times New Roman"/>
          <w:bCs/>
          <w:sz w:val="24"/>
          <w:szCs w:val="24"/>
        </w:rPr>
        <w:t xml:space="preserve"> et </w:t>
      </w:r>
      <w:r w:rsidRPr="006C388F">
        <w:rPr>
          <w:rFonts w:ascii="Times New Roman" w:hAnsi="Times New Roman" w:cs="Times New Roman"/>
          <w:bCs/>
          <w:i/>
          <w:sz w:val="24"/>
          <w:szCs w:val="24"/>
        </w:rPr>
        <w:t>Echhornia crassipes</w:t>
      </w:r>
      <w:r w:rsidRPr="006C388F">
        <w:rPr>
          <w:rFonts w:ascii="Times New Roman" w:hAnsi="Times New Roman" w:cs="Times New Roman"/>
          <w:bCs/>
          <w:sz w:val="24"/>
          <w:szCs w:val="24"/>
        </w:rPr>
        <w:t xml:space="preserve"> (Photo 1) mais aussi les espèces de fougères </w:t>
      </w:r>
      <w:r w:rsidRPr="006C388F">
        <w:rPr>
          <w:rFonts w:ascii="Times New Roman" w:hAnsi="Times New Roman" w:cs="Times New Roman"/>
          <w:color w:val="000000"/>
          <w:sz w:val="24"/>
          <w:szCs w:val="24"/>
          <w:lang w:val="es-ES"/>
        </w:rPr>
        <w:t xml:space="preserve">telles que </w:t>
      </w:r>
      <w:r w:rsidRPr="006C388F">
        <w:rPr>
          <w:rFonts w:ascii="Times New Roman" w:hAnsi="Times New Roman" w:cs="Times New Roman"/>
          <w:i/>
          <w:color w:val="000000"/>
          <w:sz w:val="24"/>
          <w:szCs w:val="24"/>
          <w:lang w:val="es-ES"/>
        </w:rPr>
        <w:t>Azolla africana</w:t>
      </w:r>
      <w:r w:rsidRPr="006C388F">
        <w:rPr>
          <w:rFonts w:ascii="Times New Roman" w:hAnsi="Times New Roman" w:cs="Times New Roman"/>
          <w:color w:val="000000"/>
          <w:sz w:val="24"/>
          <w:szCs w:val="24"/>
          <w:lang w:val="es-ES"/>
        </w:rPr>
        <w:t xml:space="preserve"> et </w:t>
      </w:r>
      <w:r w:rsidRPr="006C388F">
        <w:rPr>
          <w:rFonts w:ascii="Times New Roman" w:hAnsi="Times New Roman" w:cs="Times New Roman"/>
          <w:i/>
          <w:color w:val="000000"/>
          <w:sz w:val="24"/>
          <w:szCs w:val="24"/>
          <w:lang w:val="fr-CA"/>
        </w:rPr>
        <w:t>Salvinia auriculata</w:t>
      </w:r>
      <w:r w:rsidR="00932E65">
        <w:rPr>
          <w:rFonts w:ascii="Times New Roman" w:hAnsi="Times New Roman" w:cs="Times New Roman"/>
          <w:bCs/>
          <w:sz w:val="24"/>
          <w:szCs w:val="24"/>
        </w:rPr>
        <w:t>, qui entraîne</w:t>
      </w:r>
      <w:r w:rsidRPr="006C388F">
        <w:rPr>
          <w:rFonts w:ascii="Times New Roman" w:hAnsi="Times New Roman" w:cs="Times New Roman"/>
          <w:bCs/>
          <w:sz w:val="24"/>
          <w:szCs w:val="24"/>
        </w:rPr>
        <w:t>nt l’eutrophisation et l’asphyxie de toute la diversité biologique de ces écosystèmes.</w:t>
      </w:r>
    </w:p>
    <w:p w14:paraId="4905E8A2" w14:textId="77777777" w:rsidR="004B51B8" w:rsidRDefault="004B51B8" w:rsidP="00254C9C">
      <w:pPr>
        <w:spacing w:after="0" w:line="240" w:lineRule="auto"/>
        <w:jc w:val="both"/>
        <w:rPr>
          <w:rFonts w:ascii="Times New Roman" w:hAnsi="Times New Roman" w:cs="Times New Roman"/>
          <w:bCs/>
          <w:sz w:val="24"/>
          <w:szCs w:val="24"/>
        </w:rPr>
      </w:pPr>
    </w:p>
    <w:p w14:paraId="46B6444C" w14:textId="0F4F69C8" w:rsidR="006C388F" w:rsidRPr="006C388F" w:rsidRDefault="004B51B8" w:rsidP="00ED2E7E">
      <w:pPr>
        <w:pStyle w:val="Lgende"/>
      </w:pPr>
      <w:bookmarkStart w:id="80" w:name="_Toc533413482"/>
      <w:r w:rsidRPr="004B51B8">
        <w:rPr>
          <w:rFonts w:ascii="Times New Roman" w:hAnsi="Times New Roman"/>
          <w:sz w:val="24"/>
          <w:szCs w:val="24"/>
        </w:rPr>
        <w:t xml:space="preserve">Tableau </w:t>
      </w:r>
      <w:r w:rsidR="00620BEA" w:rsidRPr="004B51B8">
        <w:rPr>
          <w:rFonts w:ascii="Times New Roman" w:hAnsi="Times New Roman"/>
          <w:sz w:val="24"/>
          <w:szCs w:val="24"/>
        </w:rPr>
        <w:fldChar w:fldCharType="begin"/>
      </w:r>
      <w:r w:rsidRPr="004B51B8">
        <w:rPr>
          <w:rFonts w:ascii="Times New Roman" w:hAnsi="Times New Roman"/>
          <w:sz w:val="24"/>
          <w:szCs w:val="24"/>
        </w:rPr>
        <w:instrText xml:space="preserve"> SEQ Tableau \* ARABIC </w:instrText>
      </w:r>
      <w:r w:rsidR="00620BEA" w:rsidRPr="004B51B8">
        <w:rPr>
          <w:rFonts w:ascii="Times New Roman" w:hAnsi="Times New Roman"/>
          <w:sz w:val="24"/>
          <w:szCs w:val="24"/>
        </w:rPr>
        <w:fldChar w:fldCharType="separate"/>
      </w:r>
      <w:r w:rsidR="00C47BFF">
        <w:rPr>
          <w:rFonts w:ascii="Times New Roman" w:hAnsi="Times New Roman"/>
          <w:noProof/>
          <w:sz w:val="24"/>
          <w:szCs w:val="24"/>
        </w:rPr>
        <w:t>11</w:t>
      </w:r>
      <w:r w:rsidR="00620BEA" w:rsidRPr="004B51B8">
        <w:rPr>
          <w:rFonts w:ascii="Times New Roman" w:hAnsi="Times New Roman"/>
          <w:sz w:val="24"/>
          <w:szCs w:val="24"/>
        </w:rPr>
        <w:fldChar w:fldCharType="end"/>
      </w:r>
      <w:r w:rsidRPr="004B51B8">
        <w:rPr>
          <w:rFonts w:ascii="Times New Roman" w:hAnsi="Times New Roman"/>
          <w:sz w:val="24"/>
          <w:szCs w:val="24"/>
        </w:rPr>
        <w:t>: EEE les plus menaçantes au Togo.</w:t>
      </w:r>
      <w:bookmarkEnd w:id="80"/>
    </w:p>
    <w:tbl>
      <w:tblPr>
        <w:tblStyle w:val="Grilledutableau"/>
        <w:tblW w:w="9464" w:type="dxa"/>
        <w:tblLook w:val="04A0" w:firstRow="1" w:lastRow="0" w:firstColumn="1" w:lastColumn="0" w:noHBand="0" w:noVBand="1"/>
      </w:tblPr>
      <w:tblGrid>
        <w:gridCol w:w="1777"/>
        <w:gridCol w:w="1669"/>
        <w:gridCol w:w="2089"/>
        <w:gridCol w:w="3929"/>
      </w:tblGrid>
      <w:tr w:rsidR="00E13C2D" w:rsidRPr="00F971D4" w14:paraId="2CE8E0E9" w14:textId="77777777" w:rsidTr="00C47F5F">
        <w:tc>
          <w:tcPr>
            <w:tcW w:w="1838" w:type="dxa"/>
            <w:vAlign w:val="center"/>
          </w:tcPr>
          <w:p w14:paraId="5966F173" w14:textId="77777777" w:rsidR="00E13C2D" w:rsidRPr="00483676" w:rsidRDefault="00E13C2D" w:rsidP="00254C9C">
            <w:pPr>
              <w:rPr>
                <w:rFonts w:ascii="Times New Roman" w:hAnsi="Times New Roman" w:cs="Times New Roman"/>
                <w:b/>
                <w:sz w:val="24"/>
                <w:szCs w:val="24"/>
              </w:rPr>
            </w:pPr>
            <w:r w:rsidRPr="00483676">
              <w:rPr>
                <w:rFonts w:ascii="Times New Roman" w:hAnsi="Times New Roman" w:cs="Times New Roman"/>
                <w:b/>
                <w:sz w:val="24"/>
                <w:szCs w:val="24"/>
              </w:rPr>
              <w:t>Espèce</w:t>
            </w:r>
          </w:p>
        </w:tc>
        <w:tc>
          <w:tcPr>
            <w:tcW w:w="1134" w:type="dxa"/>
            <w:vAlign w:val="center"/>
          </w:tcPr>
          <w:p w14:paraId="5D49B173" w14:textId="77777777" w:rsidR="00E13C2D" w:rsidRPr="00483676" w:rsidRDefault="00E13C2D" w:rsidP="00254C9C">
            <w:pPr>
              <w:rPr>
                <w:rFonts w:ascii="Times New Roman" w:hAnsi="Times New Roman" w:cs="Times New Roman"/>
                <w:b/>
                <w:sz w:val="24"/>
                <w:szCs w:val="24"/>
              </w:rPr>
            </w:pPr>
            <w:r w:rsidRPr="00483676">
              <w:rPr>
                <w:rFonts w:ascii="Times New Roman" w:hAnsi="Times New Roman" w:cs="Times New Roman"/>
                <w:b/>
                <w:sz w:val="24"/>
                <w:szCs w:val="24"/>
              </w:rPr>
              <w:t>Famille</w:t>
            </w:r>
          </w:p>
        </w:tc>
        <w:tc>
          <w:tcPr>
            <w:tcW w:w="1843" w:type="dxa"/>
            <w:vAlign w:val="center"/>
          </w:tcPr>
          <w:p w14:paraId="6F297F76" w14:textId="77777777" w:rsidR="00E13C2D" w:rsidRPr="00483676" w:rsidRDefault="00E13C2D" w:rsidP="00254C9C">
            <w:pPr>
              <w:rPr>
                <w:rFonts w:ascii="Times New Roman" w:hAnsi="Times New Roman" w:cs="Times New Roman"/>
                <w:b/>
                <w:sz w:val="24"/>
                <w:szCs w:val="24"/>
              </w:rPr>
            </w:pPr>
            <w:r w:rsidRPr="00483676">
              <w:rPr>
                <w:rFonts w:ascii="Times New Roman" w:hAnsi="Times New Roman" w:cs="Times New Roman"/>
                <w:b/>
                <w:sz w:val="24"/>
                <w:szCs w:val="24"/>
              </w:rPr>
              <w:t>Origine</w:t>
            </w:r>
          </w:p>
        </w:tc>
        <w:tc>
          <w:tcPr>
            <w:tcW w:w="4649" w:type="dxa"/>
            <w:vAlign w:val="center"/>
          </w:tcPr>
          <w:p w14:paraId="260BC748" w14:textId="77777777" w:rsidR="00E13C2D" w:rsidRPr="00F971D4" w:rsidRDefault="00E13C2D" w:rsidP="00254C9C">
            <w:pPr>
              <w:rPr>
                <w:rFonts w:ascii="Times New Roman" w:hAnsi="Times New Roman" w:cs="Times New Roman"/>
                <w:b/>
                <w:sz w:val="24"/>
                <w:szCs w:val="24"/>
              </w:rPr>
            </w:pPr>
            <w:r w:rsidRPr="00F971D4">
              <w:rPr>
                <w:rFonts w:ascii="Times New Roman" w:hAnsi="Times New Roman" w:cs="Times New Roman"/>
                <w:b/>
                <w:sz w:val="24"/>
                <w:szCs w:val="24"/>
              </w:rPr>
              <w:t>Zone où l’espèce devient très envahissant</w:t>
            </w:r>
            <w:r w:rsidR="006C388F" w:rsidRPr="00F971D4">
              <w:rPr>
                <w:rFonts w:ascii="Times New Roman" w:hAnsi="Times New Roman" w:cs="Times New Roman"/>
                <w:b/>
                <w:sz w:val="24"/>
                <w:szCs w:val="24"/>
              </w:rPr>
              <w:t>e</w:t>
            </w:r>
            <w:r w:rsidRPr="00F971D4">
              <w:rPr>
                <w:rFonts w:ascii="Times New Roman" w:hAnsi="Times New Roman" w:cs="Times New Roman"/>
                <w:b/>
                <w:sz w:val="24"/>
                <w:szCs w:val="24"/>
              </w:rPr>
              <w:t xml:space="preserve"> au Togo</w:t>
            </w:r>
          </w:p>
        </w:tc>
      </w:tr>
      <w:tr w:rsidR="00E13C2D" w:rsidRPr="00F971D4" w14:paraId="7403C28E" w14:textId="77777777" w:rsidTr="00C47F5F">
        <w:tc>
          <w:tcPr>
            <w:tcW w:w="1838" w:type="dxa"/>
            <w:vAlign w:val="center"/>
          </w:tcPr>
          <w:p w14:paraId="7D09169E"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b/>
                <w:bCs/>
                <w:i/>
                <w:iCs/>
                <w:sz w:val="24"/>
                <w:szCs w:val="24"/>
              </w:rPr>
              <w:t>Azadirachta indica</w:t>
            </w:r>
          </w:p>
        </w:tc>
        <w:tc>
          <w:tcPr>
            <w:tcW w:w="1134" w:type="dxa"/>
            <w:vAlign w:val="center"/>
          </w:tcPr>
          <w:p w14:paraId="60B5B2A4" w14:textId="77777777" w:rsidR="00E13C2D" w:rsidRPr="00F971D4" w:rsidRDefault="00480905" w:rsidP="00254C9C">
            <w:pPr>
              <w:rPr>
                <w:rFonts w:ascii="Times New Roman" w:hAnsi="Times New Roman" w:cs="Times New Roman"/>
                <w:sz w:val="24"/>
                <w:szCs w:val="24"/>
              </w:rPr>
            </w:pPr>
            <w:r w:rsidRPr="00F971D4">
              <w:rPr>
                <w:rFonts w:ascii="Times New Roman" w:hAnsi="Times New Roman" w:cs="Times New Roman"/>
                <w:sz w:val="24"/>
                <w:szCs w:val="24"/>
              </w:rPr>
              <w:t>Meliaceae</w:t>
            </w:r>
          </w:p>
        </w:tc>
        <w:tc>
          <w:tcPr>
            <w:tcW w:w="1843" w:type="dxa"/>
            <w:vAlign w:val="center"/>
          </w:tcPr>
          <w:p w14:paraId="35933889" w14:textId="77777777" w:rsidR="00E13C2D" w:rsidRPr="00483676" w:rsidRDefault="00480905" w:rsidP="00480905">
            <w:pPr>
              <w:rPr>
                <w:rFonts w:ascii="Times New Roman" w:hAnsi="Times New Roman" w:cs="Times New Roman"/>
                <w:sz w:val="24"/>
                <w:szCs w:val="24"/>
              </w:rPr>
            </w:pPr>
            <w:r w:rsidRPr="00483676">
              <w:rPr>
                <w:rFonts w:ascii="Times New Roman" w:eastAsia="Times New Roman" w:hAnsi="Times New Roman" w:cs="Times New Roman"/>
                <w:sz w:val="24"/>
                <w:szCs w:val="24"/>
                <w:lang w:eastAsia="fr-FR"/>
              </w:rPr>
              <w:t>Inde</w:t>
            </w:r>
          </w:p>
        </w:tc>
        <w:tc>
          <w:tcPr>
            <w:tcW w:w="4649" w:type="dxa"/>
            <w:vAlign w:val="center"/>
          </w:tcPr>
          <w:p w14:paraId="6BECBC61"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sz w:val="24"/>
                <w:szCs w:val="24"/>
              </w:rPr>
              <w:t>Ilots forestiers naturels en particulier les forêts sacrées</w:t>
            </w:r>
          </w:p>
        </w:tc>
      </w:tr>
      <w:tr w:rsidR="00E13C2D" w:rsidRPr="00F971D4" w14:paraId="1EB8D5C5" w14:textId="77777777" w:rsidTr="00C47F5F">
        <w:tc>
          <w:tcPr>
            <w:tcW w:w="1838" w:type="dxa"/>
            <w:vAlign w:val="center"/>
          </w:tcPr>
          <w:p w14:paraId="4F4BC263"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b/>
                <w:bCs/>
                <w:i/>
                <w:iCs/>
                <w:sz w:val="24"/>
                <w:szCs w:val="24"/>
              </w:rPr>
              <w:t>Chromolaena odorata</w:t>
            </w:r>
          </w:p>
        </w:tc>
        <w:tc>
          <w:tcPr>
            <w:tcW w:w="1134" w:type="dxa"/>
            <w:vAlign w:val="center"/>
          </w:tcPr>
          <w:p w14:paraId="286D3319" w14:textId="77777777" w:rsidR="00E13C2D" w:rsidRPr="00F971D4" w:rsidRDefault="00E13C2D" w:rsidP="00254C9C">
            <w:pPr>
              <w:rPr>
                <w:rFonts w:ascii="Times New Roman" w:hAnsi="Times New Roman" w:cs="Times New Roman"/>
                <w:sz w:val="24"/>
                <w:szCs w:val="24"/>
              </w:rPr>
            </w:pPr>
            <w:r w:rsidRPr="00F971D4">
              <w:rPr>
                <w:rFonts w:ascii="Times New Roman" w:hAnsi="Times New Roman" w:cs="Times New Roman"/>
                <w:sz w:val="24"/>
                <w:szCs w:val="24"/>
              </w:rPr>
              <w:t>Asteraceae</w:t>
            </w:r>
          </w:p>
        </w:tc>
        <w:tc>
          <w:tcPr>
            <w:tcW w:w="1843" w:type="dxa"/>
            <w:vAlign w:val="center"/>
          </w:tcPr>
          <w:p w14:paraId="004E057A" w14:textId="77777777" w:rsidR="00E13C2D" w:rsidRPr="00F971D4" w:rsidRDefault="00E13C2D" w:rsidP="00254C9C">
            <w:pPr>
              <w:rPr>
                <w:rFonts w:ascii="Times New Roman" w:hAnsi="Times New Roman" w:cs="Times New Roman"/>
                <w:sz w:val="24"/>
                <w:szCs w:val="24"/>
              </w:rPr>
            </w:pPr>
            <w:r w:rsidRPr="00F971D4">
              <w:rPr>
                <w:rFonts w:ascii="Times New Roman" w:hAnsi="Times New Roman" w:cs="Times New Roman"/>
                <w:sz w:val="24"/>
                <w:szCs w:val="24"/>
              </w:rPr>
              <w:t>Antilles et Amérique Tropicale</w:t>
            </w:r>
          </w:p>
        </w:tc>
        <w:tc>
          <w:tcPr>
            <w:tcW w:w="4649" w:type="dxa"/>
            <w:vAlign w:val="center"/>
          </w:tcPr>
          <w:p w14:paraId="4C34C00F" w14:textId="77777777" w:rsidR="00E13C2D" w:rsidRPr="00F971D4" w:rsidRDefault="00E13C2D" w:rsidP="00254C9C">
            <w:pPr>
              <w:rPr>
                <w:rFonts w:ascii="Times New Roman" w:hAnsi="Times New Roman" w:cs="Times New Roman"/>
                <w:sz w:val="24"/>
                <w:szCs w:val="24"/>
              </w:rPr>
            </w:pPr>
            <w:r w:rsidRPr="00F971D4">
              <w:rPr>
                <w:rFonts w:ascii="Times New Roman" w:hAnsi="Times New Roman" w:cs="Times New Roman"/>
                <w:sz w:val="24"/>
                <w:szCs w:val="24"/>
              </w:rPr>
              <w:t>Toute zone forestière</w:t>
            </w:r>
          </w:p>
        </w:tc>
      </w:tr>
      <w:tr w:rsidR="00E13C2D" w:rsidRPr="00F971D4" w14:paraId="3636B4C2" w14:textId="77777777" w:rsidTr="00C47F5F">
        <w:tc>
          <w:tcPr>
            <w:tcW w:w="1838" w:type="dxa"/>
            <w:vAlign w:val="center"/>
          </w:tcPr>
          <w:p w14:paraId="33EDB205"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b/>
                <w:bCs/>
                <w:i/>
                <w:iCs/>
                <w:sz w:val="24"/>
                <w:szCs w:val="24"/>
              </w:rPr>
              <w:t>Eichhornia crassipes</w:t>
            </w:r>
          </w:p>
        </w:tc>
        <w:tc>
          <w:tcPr>
            <w:tcW w:w="1134" w:type="dxa"/>
            <w:vAlign w:val="center"/>
          </w:tcPr>
          <w:p w14:paraId="40D34049" w14:textId="77777777" w:rsidR="00E13C2D" w:rsidRPr="00483676" w:rsidRDefault="00A14142" w:rsidP="00254C9C">
            <w:pPr>
              <w:rPr>
                <w:rFonts w:ascii="Times New Roman" w:hAnsi="Times New Roman" w:cs="Times New Roman"/>
                <w:sz w:val="24"/>
                <w:szCs w:val="24"/>
              </w:rPr>
            </w:pPr>
            <w:hyperlink r:id="rId45" w:tooltip="Pontederiaceae" w:history="1">
              <w:r w:rsidR="00480905" w:rsidRPr="00483676">
                <w:rPr>
                  <w:rStyle w:val="Lienhypertexte"/>
                  <w:rFonts w:ascii="Times New Roman" w:hAnsi="Times New Roman" w:cs="Times New Roman"/>
                  <w:iCs/>
                  <w:color w:val="auto"/>
                  <w:sz w:val="24"/>
                  <w:szCs w:val="24"/>
                </w:rPr>
                <w:t>Pontederiaceae</w:t>
              </w:r>
            </w:hyperlink>
          </w:p>
        </w:tc>
        <w:tc>
          <w:tcPr>
            <w:tcW w:w="1843" w:type="dxa"/>
            <w:vAlign w:val="center"/>
          </w:tcPr>
          <w:p w14:paraId="0355FB87" w14:textId="77777777" w:rsidR="00E13C2D" w:rsidRPr="00483676" w:rsidRDefault="00480905" w:rsidP="00480905">
            <w:pPr>
              <w:rPr>
                <w:rFonts w:ascii="Times New Roman" w:hAnsi="Times New Roman" w:cs="Times New Roman"/>
                <w:sz w:val="24"/>
                <w:szCs w:val="24"/>
              </w:rPr>
            </w:pPr>
            <w:r w:rsidRPr="00483676">
              <w:rPr>
                <w:rFonts w:ascii="Times New Roman" w:hAnsi="Times New Roman" w:cs="Times New Roman"/>
                <w:sz w:val="24"/>
                <w:szCs w:val="24"/>
              </w:rPr>
              <w:t xml:space="preserve">Amérique du Sud, Cuvette </w:t>
            </w:r>
            <w:hyperlink r:id="rId46" w:tooltip="Amazonie" w:history="1">
              <w:r w:rsidRPr="00483676">
                <w:rPr>
                  <w:rStyle w:val="Lienhypertexte"/>
                  <w:rFonts w:ascii="Times New Roman" w:hAnsi="Times New Roman" w:cs="Times New Roman"/>
                  <w:color w:val="auto"/>
                  <w:sz w:val="24"/>
                  <w:szCs w:val="24"/>
                </w:rPr>
                <w:t>amazonienne</w:t>
              </w:r>
            </w:hyperlink>
            <w:r w:rsidRPr="00483676">
              <w:rPr>
                <w:rFonts w:ascii="Times New Roman" w:hAnsi="Times New Roman" w:cs="Times New Roman"/>
                <w:sz w:val="24"/>
                <w:szCs w:val="24"/>
              </w:rPr>
              <w:t xml:space="preserve"> du Brésil</w:t>
            </w:r>
          </w:p>
        </w:tc>
        <w:tc>
          <w:tcPr>
            <w:tcW w:w="4649" w:type="dxa"/>
            <w:vAlign w:val="center"/>
          </w:tcPr>
          <w:p w14:paraId="149F16B4" w14:textId="77777777" w:rsidR="00E13C2D" w:rsidRPr="00483676" w:rsidRDefault="00E13C2D" w:rsidP="00932E65">
            <w:pPr>
              <w:jc w:val="both"/>
              <w:rPr>
                <w:rFonts w:ascii="Times New Roman" w:hAnsi="Times New Roman" w:cs="Times New Roman"/>
                <w:sz w:val="24"/>
                <w:szCs w:val="24"/>
              </w:rPr>
            </w:pPr>
            <w:r w:rsidRPr="00483676">
              <w:rPr>
                <w:rFonts w:ascii="Times New Roman" w:hAnsi="Times New Roman" w:cs="Times New Roman"/>
                <w:sz w:val="24"/>
                <w:szCs w:val="24"/>
              </w:rPr>
              <w:t xml:space="preserve">Milieu aquatique, en particulier la lagune de Lomé où la plante devient une peste qu’il </w:t>
            </w:r>
            <w:r w:rsidR="006C388F" w:rsidRPr="00483676">
              <w:rPr>
                <w:rFonts w:ascii="Times New Roman" w:hAnsi="Times New Roman" w:cs="Times New Roman"/>
                <w:sz w:val="24"/>
                <w:szCs w:val="24"/>
              </w:rPr>
              <w:t xml:space="preserve">faut </w:t>
            </w:r>
            <w:r w:rsidRPr="00483676">
              <w:rPr>
                <w:rFonts w:ascii="Times New Roman" w:hAnsi="Times New Roman" w:cs="Times New Roman"/>
                <w:sz w:val="24"/>
                <w:szCs w:val="24"/>
              </w:rPr>
              <w:t>enlever toutes les semaines si on ne veut pas qu’elle occupe toute la surface de l’eau</w:t>
            </w:r>
          </w:p>
        </w:tc>
      </w:tr>
      <w:tr w:rsidR="00E13C2D" w:rsidRPr="00F971D4" w14:paraId="775AF5F0" w14:textId="77777777" w:rsidTr="00C47F5F">
        <w:tc>
          <w:tcPr>
            <w:tcW w:w="1838" w:type="dxa"/>
            <w:vAlign w:val="center"/>
          </w:tcPr>
          <w:p w14:paraId="6BC1473F"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b/>
                <w:bCs/>
                <w:i/>
                <w:iCs/>
                <w:sz w:val="24"/>
                <w:szCs w:val="24"/>
              </w:rPr>
              <w:t>Mimosa invisa</w:t>
            </w:r>
          </w:p>
        </w:tc>
        <w:tc>
          <w:tcPr>
            <w:tcW w:w="1134" w:type="dxa"/>
            <w:vAlign w:val="center"/>
          </w:tcPr>
          <w:p w14:paraId="70D734BE" w14:textId="77777777" w:rsidR="00E13C2D" w:rsidRPr="00483676" w:rsidRDefault="00480905" w:rsidP="00254C9C">
            <w:pPr>
              <w:rPr>
                <w:rFonts w:ascii="Times New Roman" w:hAnsi="Times New Roman" w:cs="Times New Roman"/>
                <w:sz w:val="24"/>
                <w:szCs w:val="24"/>
              </w:rPr>
            </w:pPr>
            <w:r w:rsidRPr="00483676">
              <w:rPr>
                <w:rFonts w:ascii="Times New Roman" w:hAnsi="Times New Roman" w:cs="Times New Roman"/>
                <w:sz w:val="24"/>
                <w:szCs w:val="24"/>
              </w:rPr>
              <w:t>Fabaceae</w:t>
            </w:r>
          </w:p>
        </w:tc>
        <w:tc>
          <w:tcPr>
            <w:tcW w:w="1843" w:type="dxa"/>
            <w:vAlign w:val="center"/>
          </w:tcPr>
          <w:p w14:paraId="0B0F5CC8" w14:textId="77777777" w:rsidR="00E13C2D" w:rsidRPr="00483676" w:rsidRDefault="00480905" w:rsidP="00254C9C">
            <w:pPr>
              <w:rPr>
                <w:rFonts w:ascii="Times New Roman" w:hAnsi="Times New Roman" w:cs="Times New Roman"/>
                <w:sz w:val="24"/>
                <w:szCs w:val="24"/>
              </w:rPr>
            </w:pPr>
            <w:r w:rsidRPr="00483676">
              <w:rPr>
                <w:rFonts w:ascii="Times New Roman" w:hAnsi="Times New Roman" w:cs="Times New Roman"/>
                <w:sz w:val="24"/>
                <w:szCs w:val="24"/>
              </w:rPr>
              <w:t>Régions tropicales d'</w:t>
            </w:r>
            <w:hyperlink r:id="rId47" w:tooltip="Amérique du Sud" w:history="1">
              <w:r w:rsidRPr="00483676">
                <w:rPr>
                  <w:rStyle w:val="Lienhypertexte"/>
                  <w:rFonts w:ascii="Times New Roman" w:hAnsi="Times New Roman" w:cs="Times New Roman"/>
                  <w:color w:val="auto"/>
                  <w:sz w:val="24"/>
                  <w:szCs w:val="24"/>
                </w:rPr>
                <w:t>Amérique du Sud</w:t>
              </w:r>
            </w:hyperlink>
          </w:p>
        </w:tc>
        <w:tc>
          <w:tcPr>
            <w:tcW w:w="4649" w:type="dxa"/>
            <w:vAlign w:val="center"/>
          </w:tcPr>
          <w:p w14:paraId="67670C97"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sz w:val="24"/>
                <w:szCs w:val="24"/>
              </w:rPr>
              <w:t>Zone forestière et de plus en plus vers les écotones forêt-savane</w:t>
            </w:r>
          </w:p>
        </w:tc>
      </w:tr>
      <w:tr w:rsidR="00E13C2D" w:rsidRPr="00F971D4" w14:paraId="114125E0" w14:textId="77777777" w:rsidTr="00C47F5F">
        <w:tc>
          <w:tcPr>
            <w:tcW w:w="1838" w:type="dxa"/>
            <w:vAlign w:val="center"/>
          </w:tcPr>
          <w:p w14:paraId="7799E667" w14:textId="0E335F85" w:rsidR="00E13C2D" w:rsidRPr="00483676" w:rsidRDefault="00932E65" w:rsidP="00483676">
            <w:pPr>
              <w:jc w:val="center"/>
              <w:rPr>
                <w:rFonts w:ascii="Times New Roman" w:hAnsi="Times New Roman" w:cs="Times New Roman"/>
                <w:sz w:val="24"/>
                <w:szCs w:val="24"/>
              </w:rPr>
            </w:pPr>
            <w:r>
              <w:rPr>
                <w:rFonts w:ascii="Times New Roman" w:hAnsi="Times New Roman" w:cs="Times New Roman"/>
                <w:b/>
                <w:bCs/>
                <w:i/>
                <w:iCs/>
                <w:sz w:val="24"/>
                <w:szCs w:val="24"/>
              </w:rPr>
              <w:t>Pistia stratio</w:t>
            </w:r>
            <w:r w:rsidR="00E13C2D" w:rsidRPr="00483676">
              <w:rPr>
                <w:rFonts w:ascii="Times New Roman" w:hAnsi="Times New Roman" w:cs="Times New Roman"/>
                <w:b/>
                <w:bCs/>
                <w:i/>
                <w:iCs/>
                <w:sz w:val="24"/>
                <w:szCs w:val="24"/>
              </w:rPr>
              <w:t>tes</w:t>
            </w:r>
          </w:p>
        </w:tc>
        <w:tc>
          <w:tcPr>
            <w:tcW w:w="1134" w:type="dxa"/>
            <w:vAlign w:val="center"/>
          </w:tcPr>
          <w:p w14:paraId="6629051C" w14:textId="77777777" w:rsidR="00E13C2D" w:rsidRPr="00483676" w:rsidRDefault="00480905" w:rsidP="00483676">
            <w:pPr>
              <w:jc w:val="center"/>
              <w:rPr>
                <w:rFonts w:ascii="Times New Roman" w:hAnsi="Times New Roman" w:cs="Times New Roman"/>
                <w:sz w:val="24"/>
                <w:szCs w:val="24"/>
              </w:rPr>
            </w:pPr>
            <w:r w:rsidRPr="00483676">
              <w:rPr>
                <w:rFonts w:ascii="Times New Roman" w:hAnsi="Times New Roman" w:cs="Times New Roman"/>
                <w:sz w:val="24"/>
                <w:szCs w:val="24"/>
              </w:rPr>
              <w:t>Araceae</w:t>
            </w:r>
          </w:p>
        </w:tc>
        <w:tc>
          <w:tcPr>
            <w:tcW w:w="1843" w:type="dxa"/>
            <w:vAlign w:val="center"/>
          </w:tcPr>
          <w:p w14:paraId="4EB60193" w14:textId="77777777" w:rsidR="00E13C2D" w:rsidRPr="00483676" w:rsidRDefault="00483676" w:rsidP="00483676">
            <w:pPr>
              <w:jc w:val="center"/>
              <w:rPr>
                <w:rFonts w:ascii="Times New Roman" w:hAnsi="Times New Roman" w:cs="Times New Roman"/>
                <w:sz w:val="24"/>
                <w:szCs w:val="24"/>
              </w:rPr>
            </w:pPr>
            <w:r w:rsidRPr="00483676">
              <w:rPr>
                <w:rFonts w:ascii="Times New Roman" w:hAnsi="Times New Roman" w:cs="Times New Roman"/>
                <w:sz w:val="24"/>
                <w:szCs w:val="24"/>
              </w:rPr>
              <w:t>Régions tropicales, Nil</w:t>
            </w:r>
          </w:p>
        </w:tc>
        <w:tc>
          <w:tcPr>
            <w:tcW w:w="4649" w:type="dxa"/>
            <w:vAlign w:val="center"/>
          </w:tcPr>
          <w:p w14:paraId="37674EA7" w14:textId="77777777" w:rsidR="00E13C2D" w:rsidRPr="00F971D4" w:rsidRDefault="00E13C2D" w:rsidP="00932E65">
            <w:pPr>
              <w:jc w:val="both"/>
              <w:rPr>
                <w:rFonts w:ascii="Times New Roman" w:hAnsi="Times New Roman" w:cs="Times New Roman"/>
                <w:sz w:val="24"/>
                <w:szCs w:val="24"/>
              </w:rPr>
            </w:pPr>
            <w:r w:rsidRPr="00483676">
              <w:rPr>
                <w:rFonts w:ascii="Times New Roman" w:hAnsi="Times New Roman" w:cs="Times New Roman"/>
                <w:sz w:val="24"/>
                <w:szCs w:val="24"/>
              </w:rPr>
              <w:t xml:space="preserve">Même écologie que </w:t>
            </w:r>
            <w:r w:rsidRPr="00483676">
              <w:rPr>
                <w:rFonts w:ascii="Times New Roman" w:hAnsi="Times New Roman" w:cs="Times New Roman"/>
                <w:bCs/>
                <w:i/>
                <w:iCs/>
                <w:sz w:val="24"/>
                <w:szCs w:val="24"/>
              </w:rPr>
              <w:t>Eichhornia crassipes.</w:t>
            </w:r>
            <w:r w:rsidRPr="00F971D4">
              <w:rPr>
                <w:rFonts w:ascii="Times New Roman" w:hAnsi="Times New Roman" w:cs="Times New Roman"/>
                <w:bCs/>
                <w:iCs/>
                <w:sz w:val="24"/>
                <w:szCs w:val="24"/>
              </w:rPr>
              <w:t>Elle était la plante envahissante avant l’arrivée  de cette dernière. Aujourd’hui elle se retrouve dans les bars des cours</w:t>
            </w:r>
          </w:p>
        </w:tc>
      </w:tr>
      <w:tr w:rsidR="00E13C2D" w:rsidRPr="00F971D4" w14:paraId="0070DE21" w14:textId="77777777" w:rsidTr="00C47F5F">
        <w:tc>
          <w:tcPr>
            <w:tcW w:w="1838" w:type="dxa"/>
            <w:vAlign w:val="center"/>
          </w:tcPr>
          <w:p w14:paraId="0B56C79D" w14:textId="77777777" w:rsidR="00E13C2D" w:rsidRPr="00483676" w:rsidRDefault="00E13C2D" w:rsidP="00254C9C">
            <w:pPr>
              <w:rPr>
                <w:rFonts w:ascii="Times New Roman" w:hAnsi="Times New Roman" w:cs="Times New Roman"/>
                <w:b/>
                <w:bCs/>
                <w:i/>
                <w:iCs/>
                <w:sz w:val="24"/>
                <w:szCs w:val="24"/>
              </w:rPr>
            </w:pPr>
            <w:r w:rsidRPr="00483676">
              <w:rPr>
                <w:rFonts w:ascii="Times New Roman" w:hAnsi="Times New Roman" w:cs="Times New Roman"/>
                <w:b/>
                <w:bCs/>
                <w:i/>
                <w:iCs/>
                <w:sz w:val="24"/>
                <w:szCs w:val="24"/>
              </w:rPr>
              <w:t>Tectona grandis</w:t>
            </w:r>
          </w:p>
        </w:tc>
        <w:tc>
          <w:tcPr>
            <w:tcW w:w="1134" w:type="dxa"/>
            <w:vAlign w:val="center"/>
          </w:tcPr>
          <w:p w14:paraId="1B347F38" w14:textId="77777777" w:rsidR="00E13C2D" w:rsidRPr="00483676" w:rsidRDefault="00483676" w:rsidP="00254C9C">
            <w:pPr>
              <w:rPr>
                <w:rFonts w:ascii="Times New Roman" w:hAnsi="Times New Roman" w:cs="Times New Roman"/>
                <w:sz w:val="24"/>
                <w:szCs w:val="24"/>
              </w:rPr>
            </w:pPr>
            <w:r w:rsidRPr="00483676">
              <w:rPr>
                <w:rFonts w:ascii="Times New Roman" w:hAnsi="Times New Roman" w:cs="Times New Roman"/>
                <w:sz w:val="24"/>
                <w:szCs w:val="24"/>
              </w:rPr>
              <w:t>Verbenaceae</w:t>
            </w:r>
          </w:p>
        </w:tc>
        <w:tc>
          <w:tcPr>
            <w:tcW w:w="1843" w:type="dxa"/>
            <w:vAlign w:val="center"/>
          </w:tcPr>
          <w:p w14:paraId="48014F20" w14:textId="5754F841" w:rsidR="00E13C2D" w:rsidRPr="00483676" w:rsidRDefault="00483676" w:rsidP="00483676">
            <w:pPr>
              <w:rPr>
                <w:rFonts w:ascii="Times New Roman" w:hAnsi="Times New Roman" w:cs="Times New Roman"/>
                <w:sz w:val="24"/>
                <w:szCs w:val="24"/>
              </w:rPr>
            </w:pPr>
            <w:r w:rsidRPr="00483676">
              <w:rPr>
                <w:rFonts w:ascii="Times New Roman" w:hAnsi="Times New Roman" w:cs="Times New Roman"/>
                <w:sz w:val="24"/>
                <w:szCs w:val="24"/>
              </w:rPr>
              <w:t>Inde,</w:t>
            </w:r>
            <w:r w:rsidR="005A319E">
              <w:rPr>
                <w:rFonts w:ascii="Times New Roman" w:hAnsi="Times New Roman" w:cs="Times New Roman"/>
                <w:sz w:val="24"/>
                <w:szCs w:val="24"/>
              </w:rPr>
              <w:t xml:space="preserve"> </w:t>
            </w:r>
            <w:hyperlink r:id="rId48" w:tooltip="Malaisie" w:history="1">
              <w:r w:rsidRPr="00483676">
                <w:rPr>
                  <w:rStyle w:val="Lienhypertexte"/>
                  <w:rFonts w:ascii="Times New Roman" w:hAnsi="Times New Roman" w:cs="Times New Roman"/>
                  <w:color w:val="auto"/>
                  <w:sz w:val="24"/>
                  <w:szCs w:val="24"/>
                </w:rPr>
                <w:t>Malaisie</w:t>
              </w:r>
            </w:hyperlink>
            <w:r w:rsidRPr="00483676">
              <w:rPr>
                <w:rFonts w:ascii="Times New Roman" w:hAnsi="Times New Roman" w:cs="Times New Roman"/>
                <w:sz w:val="24"/>
                <w:szCs w:val="24"/>
              </w:rPr>
              <w:t xml:space="preserve">, </w:t>
            </w:r>
            <w:hyperlink r:id="rId49" w:tooltip="Laos" w:history="1">
              <w:r w:rsidRPr="00483676">
                <w:rPr>
                  <w:rStyle w:val="Lienhypertexte"/>
                  <w:rFonts w:ascii="Times New Roman" w:hAnsi="Times New Roman" w:cs="Times New Roman"/>
                  <w:color w:val="auto"/>
                  <w:sz w:val="24"/>
                  <w:szCs w:val="24"/>
                </w:rPr>
                <w:t>Laos</w:t>
              </w:r>
            </w:hyperlink>
            <w:r w:rsidRPr="00483676">
              <w:rPr>
                <w:rFonts w:ascii="Times New Roman" w:hAnsi="Times New Roman" w:cs="Times New Roman"/>
                <w:sz w:val="24"/>
                <w:szCs w:val="24"/>
              </w:rPr>
              <w:t>,</w:t>
            </w:r>
            <w:r w:rsidR="005A319E">
              <w:rPr>
                <w:rFonts w:ascii="Times New Roman" w:hAnsi="Times New Roman" w:cs="Times New Roman"/>
                <w:sz w:val="24"/>
                <w:szCs w:val="24"/>
              </w:rPr>
              <w:t xml:space="preserve"> </w:t>
            </w:r>
            <w:hyperlink r:id="rId50" w:tooltip="Thaïlande" w:history="1">
              <w:r w:rsidRPr="00483676">
                <w:rPr>
                  <w:rStyle w:val="Lienhypertexte"/>
                  <w:rFonts w:ascii="Times New Roman" w:hAnsi="Times New Roman" w:cs="Times New Roman"/>
                  <w:color w:val="auto"/>
                  <w:sz w:val="24"/>
                  <w:szCs w:val="24"/>
                </w:rPr>
                <w:t>Thaïlande</w:t>
              </w:r>
            </w:hyperlink>
          </w:p>
        </w:tc>
        <w:tc>
          <w:tcPr>
            <w:tcW w:w="4649" w:type="dxa"/>
            <w:vAlign w:val="center"/>
          </w:tcPr>
          <w:p w14:paraId="754558E9" w14:textId="77777777" w:rsidR="00E13C2D" w:rsidRPr="00483676" w:rsidRDefault="00E13C2D" w:rsidP="00932E65">
            <w:pPr>
              <w:jc w:val="both"/>
              <w:rPr>
                <w:rFonts w:ascii="Times New Roman" w:hAnsi="Times New Roman" w:cs="Times New Roman"/>
                <w:sz w:val="24"/>
                <w:szCs w:val="24"/>
              </w:rPr>
            </w:pPr>
            <w:r w:rsidRPr="00483676">
              <w:rPr>
                <w:rFonts w:ascii="Times New Roman" w:hAnsi="Times New Roman" w:cs="Times New Roman"/>
                <w:sz w:val="24"/>
                <w:szCs w:val="24"/>
              </w:rPr>
              <w:t>Dans toutes les zones de forêt naturelles sensibles, suite aujourd’hui à l’extension des plantations de teck étatiques et privées</w:t>
            </w:r>
          </w:p>
        </w:tc>
      </w:tr>
      <w:tr w:rsidR="00E13C2D" w:rsidRPr="00F971D4" w14:paraId="3C1DDA5A" w14:textId="77777777" w:rsidTr="00C47F5F">
        <w:tc>
          <w:tcPr>
            <w:tcW w:w="1838" w:type="dxa"/>
            <w:vAlign w:val="center"/>
          </w:tcPr>
          <w:p w14:paraId="050658A8"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b/>
                <w:bCs/>
                <w:i/>
                <w:iCs/>
                <w:sz w:val="24"/>
                <w:szCs w:val="24"/>
              </w:rPr>
              <w:t>Titonia diversifolia</w:t>
            </w:r>
          </w:p>
        </w:tc>
        <w:tc>
          <w:tcPr>
            <w:tcW w:w="1134" w:type="dxa"/>
            <w:vAlign w:val="center"/>
          </w:tcPr>
          <w:p w14:paraId="5F83CF24" w14:textId="77777777" w:rsidR="00E13C2D" w:rsidRPr="00483676" w:rsidRDefault="00483676" w:rsidP="00254C9C">
            <w:pPr>
              <w:rPr>
                <w:rFonts w:ascii="Times New Roman" w:hAnsi="Times New Roman" w:cs="Times New Roman"/>
                <w:sz w:val="24"/>
                <w:szCs w:val="24"/>
              </w:rPr>
            </w:pPr>
            <w:r w:rsidRPr="00483676">
              <w:rPr>
                <w:rFonts w:ascii="Times New Roman" w:hAnsi="Times New Roman" w:cs="Times New Roman"/>
                <w:bCs/>
                <w:sz w:val="24"/>
                <w:szCs w:val="24"/>
              </w:rPr>
              <w:t>Astéracées</w:t>
            </w:r>
          </w:p>
        </w:tc>
        <w:tc>
          <w:tcPr>
            <w:tcW w:w="1843" w:type="dxa"/>
            <w:vAlign w:val="center"/>
          </w:tcPr>
          <w:p w14:paraId="5EAE808F" w14:textId="77777777" w:rsidR="00E13C2D" w:rsidRPr="00483676" w:rsidRDefault="00483676" w:rsidP="00254C9C">
            <w:pPr>
              <w:rPr>
                <w:rFonts w:ascii="Times New Roman" w:hAnsi="Times New Roman" w:cs="Times New Roman"/>
                <w:sz w:val="24"/>
                <w:szCs w:val="24"/>
              </w:rPr>
            </w:pPr>
            <w:r>
              <w:rPr>
                <w:rFonts w:ascii="Times New Roman" w:hAnsi="Times New Roman" w:cs="Times New Roman"/>
                <w:bCs/>
                <w:sz w:val="24"/>
                <w:szCs w:val="24"/>
              </w:rPr>
              <w:t>Mexique</w:t>
            </w:r>
            <w:r w:rsidRPr="00483676">
              <w:rPr>
                <w:rFonts w:ascii="Times New Roman" w:hAnsi="Times New Roman" w:cs="Times New Roman"/>
                <w:bCs/>
                <w:sz w:val="24"/>
                <w:szCs w:val="24"/>
              </w:rPr>
              <w:t>,Amérique centrale</w:t>
            </w:r>
          </w:p>
        </w:tc>
        <w:tc>
          <w:tcPr>
            <w:tcW w:w="4649" w:type="dxa"/>
            <w:vAlign w:val="center"/>
          </w:tcPr>
          <w:p w14:paraId="6786DECA" w14:textId="77777777" w:rsidR="00E13C2D" w:rsidRPr="00483676" w:rsidRDefault="00E13C2D" w:rsidP="00254C9C">
            <w:pPr>
              <w:rPr>
                <w:rFonts w:ascii="Times New Roman" w:hAnsi="Times New Roman" w:cs="Times New Roman"/>
                <w:sz w:val="24"/>
                <w:szCs w:val="24"/>
              </w:rPr>
            </w:pPr>
            <w:r w:rsidRPr="00483676">
              <w:rPr>
                <w:rFonts w:ascii="Times New Roman" w:hAnsi="Times New Roman" w:cs="Times New Roman"/>
                <w:sz w:val="24"/>
                <w:szCs w:val="24"/>
              </w:rPr>
              <w:t>zone de forêts semi-décidue du Togo</w:t>
            </w:r>
          </w:p>
        </w:tc>
      </w:tr>
    </w:tbl>
    <w:p w14:paraId="604E88E8" w14:textId="77777777" w:rsidR="00E13C2D" w:rsidRPr="00507B07" w:rsidRDefault="00E13C2D" w:rsidP="005F0296">
      <w:pPr>
        <w:keepNext/>
        <w:spacing w:after="0" w:line="240" w:lineRule="auto"/>
        <w:rPr>
          <w:rFonts w:ascii="Times New Roman" w:hAnsi="Times New Roman" w:cs="Times New Roman"/>
          <w:sz w:val="24"/>
          <w:szCs w:val="24"/>
        </w:rPr>
      </w:pPr>
    </w:p>
    <w:p w14:paraId="3FE720CC" w14:textId="77777777" w:rsidR="00E13C2D" w:rsidRPr="00DA63BF" w:rsidRDefault="005F0296" w:rsidP="00254C9C">
      <w:pPr>
        <w:pStyle w:val="Lgende"/>
        <w:spacing w:after="0" w:line="240" w:lineRule="auto"/>
        <w:jc w:val="center"/>
        <w:rPr>
          <w:rFonts w:ascii="Times New Roman" w:hAnsi="Times New Roman"/>
          <w:sz w:val="24"/>
          <w:szCs w:val="24"/>
        </w:rPr>
      </w:pPr>
      <w:bookmarkStart w:id="81" w:name="_Toc397876492"/>
      <w:r>
        <w:rPr>
          <w:rFonts w:ascii="Times New Roman" w:hAnsi="Times New Roman"/>
          <w:noProof/>
          <w:sz w:val="24"/>
          <w:szCs w:val="24"/>
          <w:lang w:eastAsia="fr-FR"/>
        </w:rPr>
        <w:drawing>
          <wp:inline distT="0" distB="0" distL="0" distR="0" wp14:anchorId="5496D811" wp14:editId="39EBDFBD">
            <wp:extent cx="5759450" cy="4319588"/>
            <wp:effectExtent l="19050" t="0" r="0" b="0"/>
            <wp:docPr id="28" name="Image 1" descr="F:\IOMEGA2008_2010\Aout2010\Album\ecologie\S420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OMEGA2008_2010\Aout2010\Album\ecologie\S4200028.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59450" cy="4319588"/>
                    </a:xfrm>
                    <a:prstGeom prst="rect">
                      <a:avLst/>
                    </a:prstGeom>
                    <a:noFill/>
                    <a:ln w="9525">
                      <a:noFill/>
                      <a:miter lim="800000"/>
                      <a:headEnd/>
                      <a:tailEnd/>
                    </a:ln>
                  </pic:spPr>
                </pic:pic>
              </a:graphicData>
            </a:graphic>
          </wp:inline>
        </w:drawing>
      </w:r>
    </w:p>
    <w:p w14:paraId="20E1F6E5" w14:textId="77777777" w:rsidR="005F0296" w:rsidRDefault="005F0296" w:rsidP="00254C9C">
      <w:pPr>
        <w:pStyle w:val="Lgende"/>
        <w:spacing w:after="0" w:line="240" w:lineRule="auto"/>
        <w:jc w:val="center"/>
        <w:rPr>
          <w:rFonts w:ascii="Times New Roman" w:hAnsi="Times New Roman"/>
          <w:sz w:val="24"/>
          <w:szCs w:val="24"/>
        </w:rPr>
      </w:pPr>
    </w:p>
    <w:p w14:paraId="17C97F4B" w14:textId="1823662D" w:rsidR="006C388F" w:rsidRPr="004B51B8" w:rsidRDefault="004B51B8" w:rsidP="004B51B8">
      <w:pPr>
        <w:pStyle w:val="Lgende"/>
        <w:rPr>
          <w:rFonts w:ascii="Times New Roman" w:hAnsi="Times New Roman"/>
          <w:sz w:val="24"/>
          <w:szCs w:val="24"/>
        </w:rPr>
      </w:pPr>
      <w:bookmarkStart w:id="82" w:name="_Toc533413517"/>
      <w:bookmarkEnd w:id="81"/>
      <w:r w:rsidRPr="004B51B8">
        <w:rPr>
          <w:rFonts w:ascii="Times New Roman" w:hAnsi="Times New Roman"/>
          <w:sz w:val="24"/>
          <w:szCs w:val="24"/>
        </w:rPr>
        <w:t xml:space="preserve">Photo </w:t>
      </w:r>
      <w:r w:rsidR="00620BEA" w:rsidRPr="004B51B8">
        <w:rPr>
          <w:rFonts w:ascii="Times New Roman" w:hAnsi="Times New Roman"/>
          <w:sz w:val="24"/>
          <w:szCs w:val="24"/>
        </w:rPr>
        <w:fldChar w:fldCharType="begin"/>
      </w:r>
      <w:r w:rsidRPr="004B51B8">
        <w:rPr>
          <w:rFonts w:ascii="Times New Roman" w:hAnsi="Times New Roman"/>
          <w:sz w:val="24"/>
          <w:szCs w:val="24"/>
        </w:rPr>
        <w:instrText xml:space="preserve"> SEQ Photo \* ARABIC </w:instrText>
      </w:r>
      <w:r w:rsidR="00620BEA" w:rsidRPr="004B51B8">
        <w:rPr>
          <w:rFonts w:ascii="Times New Roman" w:hAnsi="Times New Roman"/>
          <w:sz w:val="24"/>
          <w:szCs w:val="24"/>
        </w:rPr>
        <w:fldChar w:fldCharType="separate"/>
      </w:r>
      <w:r w:rsidR="00C47BFF">
        <w:rPr>
          <w:rFonts w:ascii="Times New Roman" w:hAnsi="Times New Roman"/>
          <w:noProof/>
          <w:sz w:val="24"/>
          <w:szCs w:val="24"/>
        </w:rPr>
        <w:t>6</w:t>
      </w:r>
      <w:r w:rsidR="00620BEA" w:rsidRPr="004B51B8">
        <w:rPr>
          <w:rFonts w:ascii="Times New Roman" w:hAnsi="Times New Roman"/>
          <w:sz w:val="24"/>
          <w:szCs w:val="24"/>
        </w:rPr>
        <w:fldChar w:fldCharType="end"/>
      </w:r>
      <w:r w:rsidR="00AE224F">
        <w:rPr>
          <w:rFonts w:ascii="Times New Roman" w:hAnsi="Times New Roman"/>
          <w:sz w:val="24"/>
          <w:szCs w:val="24"/>
        </w:rPr>
        <w:t>: e</w:t>
      </w:r>
      <w:r w:rsidRPr="004B51B8">
        <w:rPr>
          <w:rFonts w:ascii="Times New Roman" w:hAnsi="Times New Roman"/>
          <w:sz w:val="24"/>
          <w:szCs w:val="24"/>
        </w:rPr>
        <w:t>ichhornia crassipes s’installant sur le chenal de Gbaga à Seko.</w:t>
      </w:r>
      <w:bookmarkEnd w:id="82"/>
    </w:p>
    <w:p w14:paraId="28251A64" w14:textId="58677BFA" w:rsidR="00E13C2D" w:rsidRPr="00DA63BF" w:rsidRDefault="006C388F"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 xml:space="preserve">L’abondance des plantes exotiques de façon générale et celles qui sont envahissantes de façon particulière s’expliquent par </w:t>
      </w:r>
      <w:r w:rsidR="00DA63BF" w:rsidRPr="00DA63BF">
        <w:rPr>
          <w:rFonts w:ascii="Times New Roman" w:hAnsi="Times New Roman" w:cs="Times New Roman"/>
          <w:sz w:val="24"/>
          <w:szCs w:val="24"/>
        </w:rPr>
        <w:t>l’inexistence</w:t>
      </w:r>
      <w:r w:rsidRPr="00DA63BF">
        <w:rPr>
          <w:rFonts w:ascii="Times New Roman" w:hAnsi="Times New Roman" w:cs="Times New Roman"/>
          <w:sz w:val="24"/>
          <w:szCs w:val="24"/>
        </w:rPr>
        <w:t xml:space="preserve"> de mesures pour le contrôle et l’analyse des espèces à introduire dans la flore</w:t>
      </w:r>
      <w:r w:rsidR="00DA63BF" w:rsidRPr="00DA63BF">
        <w:rPr>
          <w:rFonts w:ascii="Times New Roman" w:hAnsi="Times New Roman" w:cs="Times New Roman"/>
          <w:sz w:val="24"/>
          <w:szCs w:val="24"/>
        </w:rPr>
        <w:t xml:space="preserve"> nationale</w:t>
      </w:r>
      <w:r w:rsidRPr="00DA63BF">
        <w:rPr>
          <w:rFonts w:ascii="Times New Roman" w:hAnsi="Times New Roman" w:cs="Times New Roman"/>
          <w:sz w:val="24"/>
          <w:szCs w:val="24"/>
        </w:rPr>
        <w:t xml:space="preserve">. </w:t>
      </w:r>
      <w:r w:rsidR="00E13C2D" w:rsidRPr="00DA63BF">
        <w:rPr>
          <w:rFonts w:ascii="Times New Roman" w:hAnsi="Times New Roman" w:cs="Times New Roman"/>
          <w:sz w:val="24"/>
        </w:rPr>
        <w:t xml:space="preserve">Toutefois, dans </w:t>
      </w:r>
      <w:r w:rsidR="0032558C">
        <w:rPr>
          <w:rFonts w:ascii="Times New Roman" w:hAnsi="Times New Roman" w:cs="Times New Roman"/>
          <w:sz w:val="24"/>
        </w:rPr>
        <w:t xml:space="preserve">la </w:t>
      </w:r>
      <w:r w:rsidR="00E13C2D" w:rsidRPr="00DA63BF">
        <w:rPr>
          <w:rFonts w:ascii="Times New Roman" w:hAnsi="Times New Roman" w:cs="Times New Roman"/>
          <w:sz w:val="24"/>
        </w:rPr>
        <w:t>SPANB 2011-2020</w:t>
      </w:r>
      <w:r w:rsidR="00DA63BF" w:rsidRPr="00DA63BF">
        <w:rPr>
          <w:rFonts w:ascii="Times New Roman" w:hAnsi="Times New Roman" w:cs="Times New Roman"/>
          <w:sz w:val="24"/>
        </w:rPr>
        <w:t>, l</w:t>
      </w:r>
      <w:r w:rsidR="00E13C2D" w:rsidRPr="00DA63BF">
        <w:rPr>
          <w:rFonts w:ascii="Times New Roman" w:hAnsi="Times New Roman" w:cs="Times New Roman"/>
          <w:sz w:val="24"/>
        </w:rPr>
        <w:t xml:space="preserve">a problématique des EEE a été </w:t>
      </w:r>
      <w:r w:rsidR="00932E65">
        <w:rPr>
          <w:rFonts w:ascii="Times New Roman" w:hAnsi="Times New Roman" w:cs="Times New Roman"/>
          <w:sz w:val="24"/>
        </w:rPr>
        <w:t>prise en compte</w:t>
      </w:r>
      <w:r w:rsidR="00E13C2D" w:rsidRPr="00DA63BF">
        <w:rPr>
          <w:rFonts w:ascii="Times New Roman" w:hAnsi="Times New Roman" w:cs="Times New Roman"/>
          <w:sz w:val="24"/>
        </w:rPr>
        <w:t>. Ainsi</w:t>
      </w:r>
      <w:r w:rsidR="0032558C">
        <w:rPr>
          <w:rFonts w:ascii="Times New Roman" w:hAnsi="Times New Roman" w:cs="Times New Roman"/>
          <w:sz w:val="24"/>
        </w:rPr>
        <w:t>,</w:t>
      </w:r>
      <w:r w:rsidR="00E13C2D" w:rsidRPr="00DA63BF">
        <w:rPr>
          <w:rFonts w:ascii="Times New Roman" w:hAnsi="Times New Roman" w:cs="Times New Roman"/>
          <w:sz w:val="24"/>
        </w:rPr>
        <w:t xml:space="preserve"> deux objectifs nationaux portant sur les espèces exotiques envahissan</w:t>
      </w:r>
      <w:r w:rsidR="0032558C">
        <w:rPr>
          <w:rFonts w:ascii="Times New Roman" w:hAnsi="Times New Roman" w:cs="Times New Roman"/>
          <w:sz w:val="24"/>
        </w:rPr>
        <w:t>tes de la SPANB Togo sont énonc</w:t>
      </w:r>
      <w:r w:rsidR="00E13C2D" w:rsidRPr="00DA63BF">
        <w:rPr>
          <w:rFonts w:ascii="Times New Roman" w:hAnsi="Times New Roman" w:cs="Times New Roman"/>
          <w:sz w:val="24"/>
        </w:rPr>
        <w:t>és :</w:t>
      </w:r>
    </w:p>
    <w:p w14:paraId="3272465F" w14:textId="150C0F8C" w:rsidR="00E13C2D" w:rsidRPr="00DA63BF" w:rsidRDefault="00E13C2D" w:rsidP="00175ED5">
      <w:pPr>
        <w:numPr>
          <w:ilvl w:val="0"/>
          <w:numId w:val="1"/>
        </w:numPr>
        <w:spacing w:after="0" w:line="240" w:lineRule="auto"/>
        <w:jc w:val="both"/>
        <w:rPr>
          <w:rFonts w:ascii="Times New Roman" w:hAnsi="Times New Roman" w:cs="Times New Roman"/>
          <w:sz w:val="24"/>
          <w:szCs w:val="24"/>
        </w:rPr>
      </w:pPr>
      <w:r w:rsidRPr="00DA63BF">
        <w:rPr>
          <w:rFonts w:ascii="Times New Roman" w:hAnsi="Times New Roman" w:cs="Times New Roman"/>
          <w:b/>
          <w:bCs/>
          <w:i/>
          <w:iCs/>
          <w:sz w:val="24"/>
          <w:szCs w:val="24"/>
        </w:rPr>
        <w:t>Objectif 9</w:t>
      </w:r>
      <w:r w:rsidR="00AE224F">
        <w:rPr>
          <w:rFonts w:ascii="Times New Roman" w:hAnsi="Times New Roman" w:cs="Times New Roman"/>
          <w:b/>
          <w:bCs/>
          <w:i/>
          <w:iCs/>
          <w:sz w:val="24"/>
          <w:szCs w:val="24"/>
        </w:rPr>
        <w:t xml:space="preserve"> </w:t>
      </w:r>
      <w:r w:rsidR="00932E65">
        <w:rPr>
          <w:rFonts w:ascii="Times New Roman" w:hAnsi="Times New Roman" w:cs="Times New Roman"/>
          <w:sz w:val="24"/>
          <w:szCs w:val="24"/>
        </w:rPr>
        <w:t>: d</w:t>
      </w:r>
      <w:r w:rsidRPr="00DA63BF">
        <w:rPr>
          <w:rFonts w:ascii="Times New Roman" w:hAnsi="Times New Roman" w:cs="Times New Roman"/>
          <w:sz w:val="24"/>
          <w:szCs w:val="24"/>
        </w:rPr>
        <w:t>’ici à 2020, les espèces exotiques envahissantes et les voies d’introduction sont identifiées et classées en ordre de priorité ; les espèces prioritaires sont contrôlées ou éradiquées et des mesures sont en place pour gérer les voies de pénétration afin d’empêcher l’introduction et l’établissement de ces espèces ;</w:t>
      </w:r>
    </w:p>
    <w:p w14:paraId="65026E65" w14:textId="7EA2ACE2" w:rsidR="00E13C2D" w:rsidRPr="00DA63BF" w:rsidRDefault="00E13C2D" w:rsidP="00175ED5">
      <w:pPr>
        <w:numPr>
          <w:ilvl w:val="0"/>
          <w:numId w:val="1"/>
        </w:numPr>
        <w:spacing w:after="0" w:line="240" w:lineRule="auto"/>
        <w:jc w:val="both"/>
        <w:rPr>
          <w:rFonts w:ascii="Times New Roman" w:hAnsi="Times New Roman" w:cs="Times New Roman"/>
          <w:sz w:val="24"/>
          <w:szCs w:val="24"/>
        </w:rPr>
      </w:pPr>
      <w:r w:rsidRPr="00DA63BF">
        <w:rPr>
          <w:rFonts w:ascii="Times New Roman" w:hAnsi="Times New Roman" w:cs="Times New Roman"/>
          <w:b/>
          <w:bCs/>
          <w:i/>
          <w:sz w:val="24"/>
          <w:szCs w:val="24"/>
        </w:rPr>
        <w:t>Objectif 19</w:t>
      </w:r>
      <w:r w:rsidR="00AE224F">
        <w:rPr>
          <w:rFonts w:ascii="Times New Roman" w:hAnsi="Times New Roman" w:cs="Times New Roman"/>
          <w:b/>
          <w:bCs/>
          <w:i/>
          <w:sz w:val="24"/>
          <w:szCs w:val="24"/>
        </w:rPr>
        <w:t xml:space="preserve"> </w:t>
      </w:r>
      <w:r w:rsidR="00932E65">
        <w:rPr>
          <w:rFonts w:ascii="Times New Roman" w:hAnsi="Times New Roman" w:cs="Times New Roman"/>
          <w:sz w:val="24"/>
          <w:szCs w:val="24"/>
        </w:rPr>
        <w:t>: d</w:t>
      </w:r>
      <w:r w:rsidRPr="00DA63BF">
        <w:rPr>
          <w:rFonts w:ascii="Times New Roman" w:hAnsi="Times New Roman" w:cs="Times New Roman"/>
          <w:sz w:val="24"/>
          <w:szCs w:val="24"/>
        </w:rPr>
        <w:t>’ici à 2020, les connaissances, la base scientifique et les technologies associées à la diversité biologique, ses valeurs, son fonctionnement, son état et ses tendances, et les conséquences de son appauvrissement, sont améliorées, largement partagées et transférées, et appliquées.</w:t>
      </w:r>
    </w:p>
    <w:p w14:paraId="29520843" w14:textId="77777777" w:rsidR="00E13C2D" w:rsidRPr="00DA63BF" w:rsidRDefault="00E13C2D" w:rsidP="00254C9C">
      <w:pPr>
        <w:spacing w:after="0" w:line="240" w:lineRule="auto"/>
        <w:rPr>
          <w:rFonts w:ascii="Times New Roman" w:hAnsi="Times New Roman" w:cs="Times New Roman"/>
          <w:sz w:val="24"/>
          <w:szCs w:val="24"/>
        </w:rPr>
      </w:pPr>
    </w:p>
    <w:p w14:paraId="4B13B793" w14:textId="6572E774" w:rsidR="00E13C2D" w:rsidRPr="00DA63BF" w:rsidRDefault="00E13C2D" w:rsidP="00254C9C">
      <w:pPr>
        <w:spacing w:after="0" w:line="240" w:lineRule="auto"/>
        <w:rPr>
          <w:rFonts w:ascii="Times New Roman" w:hAnsi="Times New Roman" w:cs="Times New Roman"/>
          <w:sz w:val="24"/>
          <w:szCs w:val="24"/>
        </w:rPr>
      </w:pPr>
      <w:r w:rsidRPr="00DA63BF">
        <w:rPr>
          <w:rFonts w:ascii="Times New Roman" w:hAnsi="Times New Roman" w:cs="Times New Roman"/>
          <w:sz w:val="24"/>
          <w:szCs w:val="24"/>
        </w:rPr>
        <w:t>Pour atteindre ces objectifs, la s</w:t>
      </w:r>
      <w:r w:rsidRPr="00DA63BF">
        <w:rPr>
          <w:rFonts w:ascii="Times New Roman" w:hAnsi="Times New Roman" w:cs="Times New Roman"/>
          <w:bCs/>
          <w:sz w:val="24"/>
          <w:szCs w:val="24"/>
        </w:rPr>
        <w:t>tratégie de gestion et mesure de prévention préconisées par le Togo</w:t>
      </w:r>
      <w:r w:rsidR="00E24279">
        <w:rPr>
          <w:rFonts w:ascii="Times New Roman" w:hAnsi="Times New Roman" w:cs="Times New Roman"/>
          <w:bCs/>
          <w:sz w:val="24"/>
          <w:szCs w:val="24"/>
        </w:rPr>
        <w:t>,</w:t>
      </w:r>
      <w:r w:rsidR="0032558C">
        <w:rPr>
          <w:rFonts w:ascii="Times New Roman" w:hAnsi="Times New Roman" w:cs="Times New Roman"/>
          <w:bCs/>
          <w:sz w:val="24"/>
          <w:szCs w:val="24"/>
        </w:rPr>
        <w:t xml:space="preserve"> </w:t>
      </w:r>
      <w:r w:rsidR="00E24279">
        <w:rPr>
          <w:rFonts w:ascii="Times New Roman" w:hAnsi="Times New Roman" w:cs="Times New Roman"/>
          <w:bCs/>
          <w:sz w:val="24"/>
          <w:szCs w:val="24"/>
        </w:rPr>
        <w:t xml:space="preserve">mais non encore adoptées, </w:t>
      </w:r>
      <w:r w:rsidRPr="00DA63BF">
        <w:rPr>
          <w:rFonts w:ascii="Times New Roman" w:hAnsi="Times New Roman" w:cs="Times New Roman"/>
          <w:bCs/>
          <w:sz w:val="24"/>
          <w:szCs w:val="24"/>
        </w:rPr>
        <w:t>sont :</w:t>
      </w:r>
    </w:p>
    <w:p w14:paraId="4E7655F2" w14:textId="41CF60E6" w:rsidR="00E13C2D" w:rsidRPr="00DA63BF" w:rsidRDefault="00E13C2D" w:rsidP="00E50666">
      <w:pPr>
        <w:pStyle w:val="Paragraphedeliste"/>
        <w:numPr>
          <w:ilvl w:val="0"/>
          <w:numId w:val="47"/>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protection des zones de montagnes et les zones humides qui offrent les conditions favorables (à travers des études botaniques, ethnozoologiques, écologiques et socioéconomiques</w:t>
      </w:r>
      <w:r w:rsidR="00932E65">
        <w:rPr>
          <w:rFonts w:ascii="Times New Roman" w:hAnsi="Times New Roman" w:cs="Times New Roman"/>
          <w:sz w:val="24"/>
          <w:szCs w:val="24"/>
        </w:rPr>
        <w:t>)</w:t>
      </w:r>
      <w:r w:rsidRPr="00DA63BF">
        <w:rPr>
          <w:rFonts w:ascii="Times New Roman" w:hAnsi="Times New Roman" w:cs="Times New Roman"/>
          <w:sz w:val="24"/>
          <w:szCs w:val="24"/>
        </w:rPr>
        <w:t xml:space="preserve"> ;</w:t>
      </w:r>
    </w:p>
    <w:p w14:paraId="2CCC130F" w14:textId="77777777" w:rsidR="00E13C2D" w:rsidRPr="00DA63BF" w:rsidRDefault="00E13C2D" w:rsidP="00E50666">
      <w:pPr>
        <w:numPr>
          <w:ilvl w:val="0"/>
          <w:numId w:val="47"/>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promouvoir une gestion participative et intégrée de ces milieux ;</w:t>
      </w:r>
    </w:p>
    <w:p w14:paraId="2C0400BD" w14:textId="65B7505D" w:rsidR="00E13C2D" w:rsidRPr="00DA63BF" w:rsidRDefault="00932E65" w:rsidP="00E50666">
      <w:pPr>
        <w:numPr>
          <w:ilvl w:val="0"/>
          <w:numId w:val="4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é</w:t>
      </w:r>
      <w:r w:rsidR="00E13C2D" w:rsidRPr="00DA63BF">
        <w:rPr>
          <w:rFonts w:ascii="Times New Roman" w:hAnsi="Times New Roman" w:cs="Times New Roman"/>
          <w:sz w:val="24"/>
          <w:szCs w:val="24"/>
        </w:rPr>
        <w:t>laborer les plans d’aménagement et plans de gestion de ces milieux;</w:t>
      </w:r>
    </w:p>
    <w:p w14:paraId="309D27C8" w14:textId="77777777" w:rsidR="00E13C2D" w:rsidRPr="00DA63BF" w:rsidRDefault="00E13C2D" w:rsidP="00E50666">
      <w:pPr>
        <w:numPr>
          <w:ilvl w:val="0"/>
          <w:numId w:val="47"/>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informer et sensibiliser la population sur les statuts de ces ressources biologiques ;</w:t>
      </w:r>
    </w:p>
    <w:p w14:paraId="180BE452" w14:textId="77777777" w:rsidR="00E13C2D" w:rsidRPr="00DA63BF" w:rsidRDefault="00E13C2D" w:rsidP="00E50666">
      <w:pPr>
        <w:numPr>
          <w:ilvl w:val="0"/>
          <w:numId w:val="47"/>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conférer, avec la participation des populations environnantes, un statut approprié d’aires protégées aux écosystèmes qui abritent des espèces endémiques ;</w:t>
      </w:r>
    </w:p>
    <w:p w14:paraId="1B42EE44" w14:textId="77777777" w:rsidR="00E13C2D" w:rsidRPr="00DA63BF" w:rsidRDefault="00E13C2D" w:rsidP="00E50666">
      <w:pPr>
        <w:numPr>
          <w:ilvl w:val="0"/>
          <w:numId w:val="47"/>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 xml:space="preserve">créer des parcs zoologiques/jardins botaniques pour assurer la conservation </w:t>
      </w:r>
      <w:r w:rsidRPr="00DA63BF">
        <w:rPr>
          <w:rFonts w:ascii="Times New Roman" w:hAnsi="Times New Roman" w:cs="Times New Roman"/>
          <w:i/>
          <w:iCs/>
          <w:sz w:val="24"/>
          <w:szCs w:val="24"/>
        </w:rPr>
        <w:t>ex situ</w:t>
      </w:r>
      <w:r w:rsidRPr="00DA63BF">
        <w:rPr>
          <w:rFonts w:ascii="Times New Roman" w:hAnsi="Times New Roman" w:cs="Times New Roman"/>
          <w:sz w:val="24"/>
          <w:szCs w:val="24"/>
        </w:rPr>
        <w:t xml:space="preserve"> des espèces endémiques. </w:t>
      </w:r>
    </w:p>
    <w:p w14:paraId="71BB5D53" w14:textId="77777777" w:rsidR="00E13C2D" w:rsidRPr="00DA63BF" w:rsidRDefault="00E13C2D" w:rsidP="00254C9C">
      <w:pPr>
        <w:spacing w:after="0" w:line="240" w:lineRule="auto"/>
        <w:jc w:val="both"/>
        <w:rPr>
          <w:rFonts w:ascii="Times New Roman" w:hAnsi="Times New Roman" w:cs="Times New Roman"/>
          <w:sz w:val="24"/>
          <w:szCs w:val="24"/>
        </w:rPr>
      </w:pPr>
    </w:p>
    <w:p w14:paraId="3BF822F4" w14:textId="4492EADC" w:rsidR="00E13C2D" w:rsidRPr="00DA63BF" w:rsidRDefault="00E13C2D"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b/>
          <w:bCs/>
          <w:sz w:val="24"/>
          <w:szCs w:val="24"/>
        </w:rPr>
        <w:t>En matière de prévention (introduction, propagation) des EEE au niveau national sous-régional et régional, le Togo s’engage à</w:t>
      </w:r>
      <w:r w:rsidR="00932E65">
        <w:rPr>
          <w:rFonts w:ascii="Times New Roman" w:hAnsi="Times New Roman" w:cs="Times New Roman"/>
          <w:b/>
          <w:bCs/>
          <w:sz w:val="24"/>
          <w:szCs w:val="24"/>
        </w:rPr>
        <w:t xml:space="preserve"> </w:t>
      </w:r>
      <w:r w:rsidRPr="00DA63BF">
        <w:rPr>
          <w:rFonts w:ascii="Times New Roman" w:hAnsi="Times New Roman" w:cs="Times New Roman"/>
          <w:b/>
          <w:bCs/>
          <w:sz w:val="24"/>
          <w:szCs w:val="24"/>
        </w:rPr>
        <w:t>:</w:t>
      </w:r>
    </w:p>
    <w:p w14:paraId="3961B066" w14:textId="77777777"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contrôler la propagation par un suivi-évaluation des EEE ;</w:t>
      </w:r>
    </w:p>
    <w:p w14:paraId="73B91703" w14:textId="77777777"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mener des recherches collaboratives pour identifier (clé, fiches techniques), connaitre la stratégie de propagation et de distribution et l’impact réel des EEE sur la biodiversité ;</w:t>
      </w:r>
    </w:p>
    <w:p w14:paraId="1EB4C5C1" w14:textId="77777777"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développer les stratégies d’identification rapide (barcoding d’ADN ou scannage) et de gestion des EEE ;</w:t>
      </w:r>
    </w:p>
    <w:p w14:paraId="181333BD" w14:textId="77777777"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identifier et prioriser les voies d’entrées des EEE ;</w:t>
      </w:r>
    </w:p>
    <w:p w14:paraId="33B49D19" w14:textId="77777777"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contrôler les importations des EEE ;</w:t>
      </w:r>
    </w:p>
    <w:p w14:paraId="32FB8DD7" w14:textId="77777777"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mettre en place un système d’alerte précoce et de réponse rapide (mise à contribution des agronomes, agents des Eaux et Forêts, taxonomistes, para taxonomistes) ;</w:t>
      </w:r>
    </w:p>
    <w:p w14:paraId="777D4F10" w14:textId="296FAE5A" w:rsidR="00E13C2D" w:rsidRPr="0032558C" w:rsidRDefault="00E13C2D" w:rsidP="00E50666">
      <w:pPr>
        <w:pStyle w:val="Paragraphedeliste"/>
        <w:numPr>
          <w:ilvl w:val="0"/>
          <w:numId w:val="48"/>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échanger des informations entre les parties prenantes en s’appuyant sur le système CHM ou le</w:t>
      </w:r>
      <w:r w:rsidR="00932E65">
        <w:rPr>
          <w:rFonts w:ascii="Times New Roman" w:hAnsi="Times New Roman" w:cs="Times New Roman"/>
          <w:sz w:val="24"/>
          <w:szCs w:val="24"/>
        </w:rPr>
        <w:t xml:space="preserve"> modèle interpol</w:t>
      </w:r>
      <w:r w:rsidR="0032558C" w:rsidRPr="0032558C">
        <w:rPr>
          <w:rFonts w:ascii="Times New Roman" w:hAnsi="Times New Roman" w:cs="Times New Roman"/>
          <w:sz w:val="24"/>
          <w:szCs w:val="24"/>
        </w:rPr>
        <w:t xml:space="preserve"> de la police.</w:t>
      </w:r>
    </w:p>
    <w:p w14:paraId="1D4F107A" w14:textId="04B467AC" w:rsidR="00E13C2D" w:rsidRPr="00DA63BF" w:rsidRDefault="00E13C2D"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b/>
          <w:bCs/>
          <w:sz w:val="24"/>
          <w:szCs w:val="24"/>
        </w:rPr>
        <w:t>En matière d’atténuation/gestion des EEE au niveau national, le Togo retient les actions suivantes</w:t>
      </w:r>
      <w:r w:rsidR="0081313C">
        <w:rPr>
          <w:rFonts w:ascii="Times New Roman" w:hAnsi="Times New Roman" w:cs="Times New Roman"/>
          <w:b/>
          <w:bCs/>
          <w:sz w:val="24"/>
          <w:szCs w:val="24"/>
        </w:rPr>
        <w:t xml:space="preserve"> </w:t>
      </w:r>
      <w:r w:rsidRPr="00DA63BF">
        <w:rPr>
          <w:rFonts w:ascii="Times New Roman" w:hAnsi="Times New Roman" w:cs="Times New Roman"/>
          <w:b/>
          <w:bCs/>
          <w:sz w:val="24"/>
          <w:szCs w:val="24"/>
        </w:rPr>
        <w:t>:</w:t>
      </w:r>
    </w:p>
    <w:p w14:paraId="7D37CEF1" w14:textId="77777777" w:rsidR="00E13C2D" w:rsidRPr="00DA63BF" w:rsidRDefault="00E13C2D" w:rsidP="00E50666">
      <w:pPr>
        <w:numPr>
          <w:ilvl w:val="1"/>
          <w:numId w:val="49"/>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réaliser une analyse des risques des EEE sur la biodiversité ;</w:t>
      </w:r>
    </w:p>
    <w:p w14:paraId="610ADD59" w14:textId="77777777" w:rsidR="00E13C2D" w:rsidRPr="00DA63BF" w:rsidRDefault="00E13C2D" w:rsidP="00E50666">
      <w:pPr>
        <w:numPr>
          <w:ilvl w:val="1"/>
          <w:numId w:val="49"/>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 xml:space="preserve">évaluer le risque d’infestation (études écologiques, partage d’expériences, etc.) pour les EEE dont la présence a été signalée ; </w:t>
      </w:r>
    </w:p>
    <w:p w14:paraId="78DA8B73" w14:textId="77777777" w:rsidR="00E13C2D" w:rsidRDefault="00E13C2D" w:rsidP="00E50666">
      <w:pPr>
        <w:numPr>
          <w:ilvl w:val="1"/>
          <w:numId w:val="49"/>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mener des campagnes de vérification (entrepôts, marché, etc.) ;</w:t>
      </w:r>
    </w:p>
    <w:p w14:paraId="6BA8E700" w14:textId="77777777" w:rsidR="0074315E" w:rsidRDefault="0074315E" w:rsidP="0074315E">
      <w:pPr>
        <w:spacing w:after="0" w:line="240" w:lineRule="auto"/>
        <w:jc w:val="both"/>
        <w:rPr>
          <w:rFonts w:ascii="Times New Roman" w:hAnsi="Times New Roman" w:cs="Times New Roman"/>
          <w:sz w:val="24"/>
          <w:szCs w:val="24"/>
        </w:rPr>
      </w:pPr>
    </w:p>
    <w:p w14:paraId="49B2E548" w14:textId="77777777" w:rsidR="0074315E" w:rsidRPr="00DA63BF" w:rsidRDefault="0074315E" w:rsidP="0074315E">
      <w:pPr>
        <w:spacing w:after="0" w:line="240" w:lineRule="auto"/>
        <w:jc w:val="both"/>
        <w:rPr>
          <w:rFonts w:ascii="Times New Roman" w:hAnsi="Times New Roman" w:cs="Times New Roman"/>
          <w:sz w:val="24"/>
          <w:szCs w:val="24"/>
        </w:rPr>
      </w:pPr>
    </w:p>
    <w:p w14:paraId="7324BF19" w14:textId="77777777" w:rsidR="00E13C2D" w:rsidRPr="00DA63BF" w:rsidRDefault="00E13C2D"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b/>
          <w:bCs/>
          <w:sz w:val="24"/>
          <w:szCs w:val="24"/>
        </w:rPr>
        <w:t>En matière d’élaboration de la liste des EEE prioritaires, le Togo compte :</w:t>
      </w:r>
    </w:p>
    <w:p w14:paraId="63C419E4" w14:textId="7BC3B12D" w:rsidR="00E13C2D" w:rsidRPr="0032558C" w:rsidRDefault="00E13C2D" w:rsidP="00E50666">
      <w:pPr>
        <w:pStyle w:val="Paragraphedeliste"/>
        <w:numPr>
          <w:ilvl w:val="0"/>
          <w:numId w:val="50"/>
        </w:numPr>
        <w:spacing w:after="0" w:line="240" w:lineRule="auto"/>
        <w:jc w:val="both"/>
        <w:rPr>
          <w:rFonts w:ascii="Times New Roman" w:hAnsi="Times New Roman" w:cs="Times New Roman"/>
          <w:sz w:val="24"/>
          <w:szCs w:val="24"/>
        </w:rPr>
      </w:pPr>
      <w:r w:rsidRPr="0032558C">
        <w:rPr>
          <w:rFonts w:ascii="Times New Roman" w:hAnsi="Times New Roman" w:cs="Times New Roman"/>
          <w:sz w:val="24"/>
          <w:szCs w:val="24"/>
        </w:rPr>
        <w:t>élaborer et faire connaître la liste des espèces exotiques enva</w:t>
      </w:r>
      <w:r w:rsidR="0081313C">
        <w:rPr>
          <w:rFonts w:ascii="Times New Roman" w:hAnsi="Times New Roman" w:cs="Times New Roman"/>
          <w:sz w:val="24"/>
          <w:szCs w:val="24"/>
        </w:rPr>
        <w:t>hissantes aux niveaux national.</w:t>
      </w:r>
    </w:p>
    <w:p w14:paraId="75222ABF" w14:textId="04139A8D" w:rsidR="00E13C2D" w:rsidRPr="00DA63BF" w:rsidRDefault="00E13C2D"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b/>
          <w:bCs/>
          <w:sz w:val="24"/>
          <w:szCs w:val="24"/>
        </w:rPr>
        <w:t>En matière de renforcement des capacités en recherches collaboratives et formation sur l’identification (taxonomie) et la gestion des EEE, le Togo retient de</w:t>
      </w:r>
      <w:r w:rsidR="00AE224F">
        <w:rPr>
          <w:rFonts w:ascii="Times New Roman" w:hAnsi="Times New Roman" w:cs="Times New Roman"/>
          <w:b/>
          <w:bCs/>
          <w:sz w:val="24"/>
          <w:szCs w:val="24"/>
        </w:rPr>
        <w:t xml:space="preserve"> </w:t>
      </w:r>
      <w:r w:rsidRPr="00DA63BF">
        <w:rPr>
          <w:rFonts w:ascii="Times New Roman" w:hAnsi="Times New Roman" w:cs="Times New Roman"/>
          <w:b/>
          <w:bCs/>
          <w:sz w:val="24"/>
          <w:szCs w:val="24"/>
        </w:rPr>
        <w:t>:</w:t>
      </w:r>
    </w:p>
    <w:p w14:paraId="3ACEE94F"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connaitre la biologie et l’écologie des espèces (moyens de propagation) ;</w:t>
      </w:r>
    </w:p>
    <w:p w14:paraId="2ED9425C"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modéliser la niche écologique et cartographier la répartition des EEE (répartition dans le temps et dans l’espace) ;</w:t>
      </w:r>
    </w:p>
    <w:p w14:paraId="5FD381E9"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former en biologie, écologie, monitoring et socio-économie ;</w:t>
      </w:r>
    </w:p>
    <w:p w14:paraId="502BB437"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procéder à la mise en place des plateformes (plurisectorielles) d’IEC (information, éducation communication) sur les EEE ;</w:t>
      </w:r>
    </w:p>
    <w:p w14:paraId="37AD8363"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former des taxonomistes et des para taxonomistes des EEE et faciliter leur mise en mise réseau ;</w:t>
      </w:r>
    </w:p>
    <w:p w14:paraId="16964BE7"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mettre en place des programmes pluridisciplinaires de recherche sur les EEE ;</w:t>
      </w:r>
    </w:p>
    <w:p w14:paraId="1EEA95B7"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renforcer les capacités des agents commis aux frontières sur les EEE ;</w:t>
      </w:r>
    </w:p>
    <w:p w14:paraId="287E5B2F" w14:textId="77777777" w:rsidR="00E13C2D" w:rsidRPr="00DA63BF" w:rsidRDefault="00E13C2D" w:rsidP="00E50666">
      <w:pPr>
        <w:numPr>
          <w:ilvl w:val="1"/>
          <w:numId w:val="51"/>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renforcer la surveillance aux frontières et au niveau des postes aux frontières pour appliquer les standards internationaux et guides élaborés par les accords de WTO-SPS et IPPC ;</w:t>
      </w:r>
    </w:p>
    <w:p w14:paraId="127CDB6A" w14:textId="77777777" w:rsidR="00E13C2D" w:rsidRPr="00DA63BF" w:rsidRDefault="00E13C2D"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b/>
          <w:bCs/>
          <w:sz w:val="24"/>
          <w:szCs w:val="24"/>
        </w:rPr>
        <w:t>En matière d’élaboration et application des textes réglementaires, le Togo s’engage à :</w:t>
      </w:r>
    </w:p>
    <w:p w14:paraId="5AFA33F8" w14:textId="1D7109AE"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créer un cadre légal qui réglemente l’introduction des EEE</w:t>
      </w:r>
      <w:r w:rsidR="0081313C">
        <w:rPr>
          <w:rFonts w:ascii="Times New Roman" w:hAnsi="Times New Roman" w:cs="Times New Roman"/>
          <w:sz w:val="24"/>
          <w:szCs w:val="24"/>
        </w:rPr>
        <w:t xml:space="preserve"> </w:t>
      </w:r>
      <w:r w:rsidRPr="00DA63BF">
        <w:rPr>
          <w:rFonts w:ascii="Times New Roman" w:hAnsi="Times New Roman" w:cs="Times New Roman"/>
          <w:sz w:val="24"/>
          <w:szCs w:val="24"/>
        </w:rPr>
        <w:t>;</w:t>
      </w:r>
    </w:p>
    <w:p w14:paraId="4BA88F5A" w14:textId="77777777"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harmoniser la réglementation, les procédures  et outils d’identification </w:t>
      </w:r>
    </w:p>
    <w:p w14:paraId="1C905CDE" w14:textId="77777777" w:rsidR="00E13C2D" w:rsidRPr="00DA63BF" w:rsidRDefault="00E13C2D" w:rsidP="00254C9C">
      <w:pPr>
        <w:spacing w:after="0" w:line="240" w:lineRule="auto"/>
        <w:jc w:val="both"/>
        <w:rPr>
          <w:rFonts w:ascii="Times New Roman" w:hAnsi="Times New Roman" w:cs="Times New Roman"/>
          <w:sz w:val="24"/>
          <w:szCs w:val="24"/>
        </w:rPr>
      </w:pPr>
      <w:r w:rsidRPr="00DA63BF">
        <w:rPr>
          <w:rFonts w:ascii="Times New Roman" w:hAnsi="Times New Roman" w:cs="Times New Roman"/>
          <w:b/>
          <w:bCs/>
          <w:sz w:val="24"/>
          <w:szCs w:val="24"/>
        </w:rPr>
        <w:t>En matière de renforcement de partenariat mondial sur les EEE, le Togo s’engage à :</w:t>
      </w:r>
    </w:p>
    <w:p w14:paraId="69477D13" w14:textId="77777777"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promouvoir la collaboration institutionnelle au niveau national, sous-régional et régional pour une meilleure gestion des EEE ;</w:t>
      </w:r>
    </w:p>
    <w:p w14:paraId="7696263A" w14:textId="77777777"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mettre en place un réseau de taxonomistes ;</w:t>
      </w:r>
    </w:p>
    <w:p w14:paraId="79458796" w14:textId="77777777"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mettre en place un réseau des différents acteurs intervenant dans la gestion des EEE (partenariat public-privé, société civile, communautés locales) ;</w:t>
      </w:r>
    </w:p>
    <w:p w14:paraId="7B6F83E5" w14:textId="77777777"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mettre en place des groupes de travail nationaux, sous-régionaux et régionaux sur les EEE</w:t>
      </w:r>
    </w:p>
    <w:p w14:paraId="0023D285" w14:textId="3386433E" w:rsidR="00E13C2D" w:rsidRPr="00DA63BF" w:rsidRDefault="00E13C2D" w:rsidP="00E50666">
      <w:pPr>
        <w:numPr>
          <w:ilvl w:val="1"/>
          <w:numId w:val="52"/>
        </w:numPr>
        <w:spacing w:after="0" w:line="240" w:lineRule="auto"/>
        <w:jc w:val="both"/>
        <w:rPr>
          <w:rFonts w:ascii="Times New Roman" w:hAnsi="Times New Roman" w:cs="Times New Roman"/>
          <w:sz w:val="24"/>
          <w:szCs w:val="24"/>
        </w:rPr>
      </w:pPr>
      <w:r w:rsidRPr="00DA63BF">
        <w:rPr>
          <w:rFonts w:ascii="Times New Roman" w:hAnsi="Times New Roman" w:cs="Times New Roman"/>
          <w:sz w:val="24"/>
          <w:szCs w:val="24"/>
        </w:rPr>
        <w:t xml:space="preserve">contribuer à l’élaboration d’un plan de convergence sous-régional et régional sur la gestion des EEE et les intégrer dans les agendas des structures et organisations sous-régionales et régionale (GBIF, ECOWAS, UEMOA, CILSS, </w:t>
      </w:r>
      <w:r w:rsidR="0032558C">
        <w:rPr>
          <w:rFonts w:ascii="Times New Roman" w:hAnsi="Times New Roman" w:cs="Times New Roman"/>
          <w:sz w:val="24"/>
          <w:szCs w:val="24"/>
        </w:rPr>
        <w:t>COMIFAC, RAPAC, CEMAC, SADEC, etc.</w:t>
      </w:r>
      <w:r w:rsidRPr="00DA63BF">
        <w:rPr>
          <w:rFonts w:ascii="Times New Roman" w:hAnsi="Times New Roman" w:cs="Times New Roman"/>
          <w:sz w:val="24"/>
          <w:szCs w:val="24"/>
        </w:rPr>
        <w:t>).</w:t>
      </w:r>
    </w:p>
    <w:p w14:paraId="794FE233" w14:textId="77777777" w:rsidR="00E13C2D" w:rsidRPr="004944C9" w:rsidRDefault="00E13C2D"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8A5ACFA" w14:textId="092BC84A" w:rsidR="009C0565" w:rsidRPr="004944C9" w:rsidRDefault="009C0565"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4944C9">
        <w:rPr>
          <w:rFonts w:ascii="Times New Roman" w:hAnsi="Times New Roman" w:cs="Times New Roman"/>
          <w:b/>
          <w:iCs/>
          <w:kern w:val="22"/>
          <w:sz w:val="24"/>
          <w:szCs w:val="24"/>
          <w:lang w:val="fr-CA"/>
        </w:rPr>
        <w:t>Objectif 11 de la Stratégie mondiale pour</w:t>
      </w:r>
      <w:r w:rsidR="0081313C">
        <w:rPr>
          <w:rFonts w:ascii="Times New Roman" w:hAnsi="Times New Roman" w:cs="Times New Roman"/>
          <w:b/>
          <w:iCs/>
          <w:kern w:val="22"/>
          <w:sz w:val="24"/>
          <w:szCs w:val="24"/>
          <w:lang w:val="fr-CA"/>
        </w:rPr>
        <w:t xml:space="preserve"> la conservation des plantes : a</w:t>
      </w:r>
      <w:r w:rsidRPr="004944C9">
        <w:rPr>
          <w:rFonts w:ascii="Times New Roman" w:hAnsi="Times New Roman" w:cs="Times New Roman"/>
          <w:b/>
          <w:iCs/>
          <w:kern w:val="22"/>
          <w:sz w:val="24"/>
          <w:szCs w:val="24"/>
          <w:lang w:val="fr-CA"/>
        </w:rPr>
        <w:t>ucune espèce de flore ou de faune sauvage n’est menacée d’extinction par le commerce international</w:t>
      </w:r>
    </w:p>
    <w:p w14:paraId="56E9AAA4" w14:textId="77777777" w:rsidR="007F1782" w:rsidRPr="004944C9" w:rsidRDefault="007F1782" w:rsidP="007F1782">
      <w:pPr>
        <w:autoSpaceDE w:val="0"/>
        <w:autoSpaceDN w:val="0"/>
        <w:adjustRightInd w:val="0"/>
        <w:spacing w:after="0" w:line="240" w:lineRule="auto"/>
        <w:jc w:val="both"/>
        <w:rPr>
          <w:rFonts w:ascii="Times New Roman" w:eastAsia="MS Mincho" w:hAnsi="Times New Roman" w:cs="Times New Roman"/>
          <w:sz w:val="24"/>
          <w:szCs w:val="24"/>
          <w:lang w:eastAsia="fr-FR"/>
        </w:rPr>
      </w:pPr>
    </w:p>
    <w:p w14:paraId="5D443BC7" w14:textId="3858A9E1" w:rsidR="007F1782" w:rsidRPr="004944C9" w:rsidRDefault="0032558C" w:rsidP="007F1782">
      <w:pPr>
        <w:autoSpaceDE w:val="0"/>
        <w:autoSpaceDN w:val="0"/>
        <w:adjustRightInd w:val="0"/>
        <w:spacing w:after="0" w:line="240" w:lineRule="auto"/>
        <w:jc w:val="both"/>
        <w:rPr>
          <w:rFonts w:ascii="Times New Roman" w:eastAsia="MS Mincho" w:hAnsi="Times New Roman" w:cs="Times New Roman"/>
          <w:color w:val="000000"/>
          <w:sz w:val="24"/>
          <w:szCs w:val="24"/>
          <w:lang w:eastAsia="fr-FR"/>
        </w:rPr>
      </w:pPr>
      <w:r w:rsidRPr="0032558C">
        <w:rPr>
          <w:rFonts w:ascii="Times New Roman" w:eastAsia="MS Mincho" w:hAnsi="Times New Roman" w:cs="Times New Roman"/>
          <w:sz w:val="24"/>
          <w:szCs w:val="24"/>
          <w:lang w:eastAsia="fr-FR"/>
        </w:rPr>
        <w:t xml:space="preserve">Le </w:t>
      </w:r>
      <w:r w:rsidR="007F1782" w:rsidRPr="004944C9">
        <w:rPr>
          <w:rFonts w:ascii="Times New Roman" w:eastAsia="MS Mincho" w:hAnsi="Times New Roman" w:cs="Times New Roman"/>
          <w:i/>
          <w:sz w:val="24"/>
          <w:szCs w:val="24"/>
          <w:lang w:eastAsia="fr-FR"/>
        </w:rPr>
        <w:t>Pterocarpus erinaceus</w:t>
      </w:r>
      <w:r w:rsidR="007F1782" w:rsidRPr="004944C9">
        <w:rPr>
          <w:rFonts w:ascii="Times New Roman" w:eastAsia="MS Mincho" w:hAnsi="Times New Roman" w:cs="Times New Roman"/>
          <w:sz w:val="24"/>
          <w:szCs w:val="24"/>
          <w:lang w:eastAsia="fr-FR"/>
        </w:rPr>
        <w:t>.est extrêmement exploité comme bois d’œuvre et bois de service</w:t>
      </w:r>
      <w:r w:rsidR="007F1782" w:rsidRPr="004944C9">
        <w:rPr>
          <w:rFonts w:ascii="Times New Roman" w:hAnsi="Times New Roman" w:cs="Times New Roman"/>
          <w:sz w:val="24"/>
          <w:szCs w:val="24"/>
        </w:rPr>
        <w:t xml:space="preserve"> et le commerce du bois est principalement tourné vers la Chine. Suite à l’exploitation abusive, l</w:t>
      </w:r>
      <w:r w:rsidR="007F1782" w:rsidRPr="004944C9">
        <w:rPr>
          <w:rFonts w:ascii="Times New Roman" w:hAnsi="Times New Roman" w:cs="Times New Roman"/>
          <w:color w:val="000000"/>
          <w:sz w:val="24"/>
          <w:szCs w:val="24"/>
        </w:rPr>
        <w:t>’espèce a été inscrite à l’Annexe II de la CITES.</w:t>
      </w:r>
      <w:r w:rsidR="007F1782" w:rsidRPr="004944C9">
        <w:rPr>
          <w:rFonts w:ascii="Times New Roman" w:eastAsia="MS Mincho" w:hAnsi="Times New Roman" w:cs="Times New Roman"/>
          <w:color w:val="000000"/>
          <w:sz w:val="24"/>
          <w:szCs w:val="24"/>
          <w:lang w:eastAsia="fr-FR"/>
        </w:rPr>
        <w:t xml:space="preserve"> En </w:t>
      </w:r>
      <w:r w:rsidR="007F1782" w:rsidRPr="004944C9">
        <w:rPr>
          <w:rFonts w:ascii="Times New Roman" w:hAnsi="Times New Roman" w:cs="Times New Roman"/>
          <w:color w:val="000000"/>
          <w:sz w:val="24"/>
          <w:szCs w:val="24"/>
        </w:rPr>
        <w:t>juin 2016</w:t>
      </w:r>
      <w:r w:rsidR="00B74DEB">
        <w:rPr>
          <w:rFonts w:ascii="Times New Roman" w:hAnsi="Times New Roman" w:cs="Times New Roman"/>
          <w:color w:val="000000"/>
          <w:sz w:val="24"/>
          <w:szCs w:val="24"/>
        </w:rPr>
        <w:t>,</w:t>
      </w:r>
      <w:r w:rsidR="007F1782" w:rsidRPr="004944C9">
        <w:rPr>
          <w:rFonts w:ascii="Times New Roman" w:hAnsi="Times New Roman" w:cs="Times New Roman"/>
          <w:color w:val="000000"/>
          <w:sz w:val="24"/>
          <w:szCs w:val="24"/>
        </w:rPr>
        <w:t xml:space="preserve"> le </w:t>
      </w:r>
      <w:r w:rsidR="004944C9" w:rsidRPr="004944C9">
        <w:rPr>
          <w:rFonts w:ascii="Times New Roman" w:hAnsi="Times New Roman" w:cs="Times New Roman"/>
          <w:color w:val="000000"/>
          <w:sz w:val="24"/>
          <w:szCs w:val="24"/>
        </w:rPr>
        <w:t>MERF</w:t>
      </w:r>
      <w:r w:rsidR="007F1782" w:rsidRPr="004944C9">
        <w:rPr>
          <w:rFonts w:ascii="Times New Roman" w:hAnsi="Times New Roman" w:cs="Times New Roman"/>
          <w:color w:val="000000"/>
          <w:sz w:val="24"/>
          <w:szCs w:val="24"/>
        </w:rPr>
        <w:t xml:space="preserve"> a pris aussi un moratoire interdisant l’exportation de l’espèce au Togo pour une période 10 ans afin d’éviter son extinction locale et permettre aux peuplements naturels de pouvoir se régénérer</w:t>
      </w:r>
      <w:r w:rsidR="007F1782" w:rsidRPr="004944C9">
        <w:rPr>
          <w:rFonts w:ascii="Times New Roman" w:eastAsia="MS Mincho" w:hAnsi="Times New Roman" w:cs="Times New Roman"/>
          <w:color w:val="000000"/>
          <w:sz w:val="24"/>
          <w:szCs w:val="24"/>
          <w:lang w:eastAsia="fr-FR"/>
        </w:rPr>
        <w:t xml:space="preserve">. Actuellement le Laboratoire de Recherche Forestière de l’Université de Lomé est entrain de mener des travaux de recherche </w:t>
      </w:r>
      <w:r w:rsidR="004944C9" w:rsidRPr="004944C9">
        <w:rPr>
          <w:rFonts w:ascii="Times New Roman" w:eastAsia="MS Mincho" w:hAnsi="Times New Roman" w:cs="Times New Roman"/>
          <w:color w:val="000000"/>
          <w:sz w:val="24"/>
          <w:szCs w:val="24"/>
          <w:lang w:eastAsia="fr-FR"/>
        </w:rPr>
        <w:t>po</w:t>
      </w:r>
      <w:r w:rsidR="007F1782" w:rsidRPr="004944C9">
        <w:rPr>
          <w:rFonts w:ascii="Times New Roman" w:eastAsia="MS Mincho" w:hAnsi="Times New Roman" w:cs="Times New Roman"/>
          <w:color w:val="000000"/>
          <w:sz w:val="24"/>
          <w:szCs w:val="24"/>
          <w:lang w:eastAsia="fr-FR"/>
        </w:rPr>
        <w:t xml:space="preserve">ur la mise au point d’une stratégie de reconstitution des peuplements naturels de </w:t>
      </w:r>
      <w:r w:rsidR="007F1782" w:rsidRPr="004944C9">
        <w:rPr>
          <w:rFonts w:ascii="Times New Roman" w:eastAsia="MS Mincho" w:hAnsi="Times New Roman" w:cs="Times New Roman"/>
          <w:i/>
          <w:color w:val="000000"/>
          <w:sz w:val="24"/>
          <w:szCs w:val="24"/>
          <w:lang w:eastAsia="fr-FR"/>
        </w:rPr>
        <w:t>Pterocarpus erinaceus</w:t>
      </w:r>
      <w:r w:rsidR="007F1782" w:rsidRPr="004944C9">
        <w:rPr>
          <w:rFonts w:ascii="Times New Roman" w:eastAsia="MS Mincho" w:hAnsi="Times New Roman" w:cs="Times New Roman"/>
          <w:color w:val="000000"/>
          <w:sz w:val="24"/>
          <w:szCs w:val="24"/>
          <w:lang w:eastAsia="fr-FR"/>
        </w:rPr>
        <w:t>.</w:t>
      </w:r>
    </w:p>
    <w:p w14:paraId="1DB63835" w14:textId="77777777" w:rsidR="004944C9" w:rsidRPr="004944C9" w:rsidRDefault="004944C9" w:rsidP="005F0296">
      <w:pPr>
        <w:spacing w:after="0" w:line="240" w:lineRule="auto"/>
        <w:jc w:val="both"/>
        <w:rPr>
          <w:rFonts w:ascii="Times New Roman" w:hAnsi="Times New Roman" w:cs="Times New Roman"/>
          <w:sz w:val="24"/>
          <w:szCs w:val="24"/>
        </w:rPr>
      </w:pPr>
    </w:p>
    <w:p w14:paraId="002883C1" w14:textId="3C79F53B" w:rsidR="006F704C" w:rsidRDefault="004944C9" w:rsidP="007F1782">
      <w:pPr>
        <w:spacing w:after="0" w:line="240" w:lineRule="auto"/>
        <w:jc w:val="both"/>
        <w:rPr>
          <w:rStyle w:val="tlid-translation"/>
          <w:rFonts w:ascii="Times New Roman" w:hAnsi="Times New Roman" w:cs="Times New Roman"/>
          <w:sz w:val="24"/>
          <w:szCs w:val="24"/>
        </w:rPr>
      </w:pPr>
      <w:r w:rsidRPr="004944C9">
        <w:rPr>
          <w:rFonts w:ascii="Times New Roman" w:hAnsi="Times New Roman" w:cs="Times New Roman"/>
          <w:sz w:val="24"/>
          <w:szCs w:val="24"/>
        </w:rPr>
        <w:t>L</w:t>
      </w:r>
      <w:r w:rsidR="005F0296" w:rsidRPr="004944C9">
        <w:rPr>
          <w:rFonts w:ascii="Times New Roman" w:hAnsi="Times New Roman" w:cs="Times New Roman"/>
          <w:sz w:val="24"/>
          <w:szCs w:val="24"/>
        </w:rPr>
        <w:t xml:space="preserve">es animaux sauvages font également l’objet de transactions sur les marchés locaux. Ils sont soit tués pour leur viande qui est vendue, soit capturés pour être destinés à l’élevage domestique. Malheureusement, l’absence de données statistiques ne permet pas d’évaluer ce commerce national en terme monétaire. </w:t>
      </w:r>
      <w:r w:rsidR="00892190" w:rsidRPr="004944C9">
        <w:rPr>
          <w:rFonts w:ascii="Times New Roman" w:hAnsi="Times New Roman" w:cs="Times New Roman"/>
          <w:sz w:val="24"/>
          <w:szCs w:val="24"/>
        </w:rPr>
        <w:t>Le python royal est la principale espèce commercialisée, suivi du varan de savane et du varan du Nil.</w:t>
      </w:r>
      <w:r w:rsidR="00B74DEB">
        <w:rPr>
          <w:rFonts w:ascii="Times New Roman" w:hAnsi="Times New Roman" w:cs="Times New Roman"/>
          <w:sz w:val="24"/>
          <w:szCs w:val="24"/>
        </w:rPr>
        <w:t xml:space="preserve"> </w:t>
      </w:r>
      <w:r w:rsidR="007F1782" w:rsidRPr="004944C9">
        <w:rPr>
          <w:rStyle w:val="tlid-translation"/>
          <w:rFonts w:ascii="Times New Roman" w:hAnsi="Times New Roman" w:cs="Times New Roman"/>
          <w:sz w:val="24"/>
          <w:szCs w:val="24"/>
        </w:rPr>
        <w:t xml:space="preserve">Le commerce officiel des animaux de compagnie est une autre menace majeure pour la biodiversité au Togo. En effet, il existe un grand marché international (en grande partie illégal) d'animaux sauvages </w:t>
      </w:r>
      <w:r w:rsidRPr="004944C9">
        <w:rPr>
          <w:rStyle w:val="tlid-translation"/>
          <w:rFonts w:ascii="Times New Roman" w:hAnsi="Times New Roman" w:cs="Times New Roman"/>
          <w:sz w:val="24"/>
          <w:szCs w:val="24"/>
        </w:rPr>
        <w:t>ou</w:t>
      </w:r>
      <w:r w:rsidR="007F1782" w:rsidRPr="004944C9">
        <w:rPr>
          <w:rStyle w:val="tlid-translation"/>
          <w:rFonts w:ascii="Times New Roman" w:hAnsi="Times New Roman" w:cs="Times New Roman"/>
          <w:sz w:val="24"/>
          <w:szCs w:val="24"/>
        </w:rPr>
        <w:t xml:space="preserve"> de leurs parties, principalement pour leur valeur esthétique et médicinale. C'est malheureusement le cas de rares lézards, tortues et oiseaux</w:t>
      </w:r>
      <w:r w:rsidR="0081313C">
        <w:rPr>
          <w:rStyle w:val="tlid-translation"/>
          <w:rFonts w:ascii="Times New Roman" w:hAnsi="Times New Roman" w:cs="Times New Roman"/>
          <w:sz w:val="24"/>
          <w:szCs w:val="24"/>
        </w:rPr>
        <w:t xml:space="preserve"> </w:t>
      </w:r>
      <w:r w:rsidR="007F1782" w:rsidRPr="004944C9">
        <w:rPr>
          <w:rStyle w:val="tlid-translation"/>
          <w:rFonts w:ascii="Times New Roman" w:hAnsi="Times New Roman" w:cs="Times New Roman"/>
          <w:sz w:val="24"/>
          <w:szCs w:val="24"/>
        </w:rPr>
        <w:t>: les tortues à dos articulé (</w:t>
      </w:r>
      <w:r w:rsidR="007F1782" w:rsidRPr="004944C9">
        <w:rPr>
          <w:rStyle w:val="tlid-translation"/>
          <w:rFonts w:ascii="Times New Roman" w:hAnsi="Times New Roman" w:cs="Times New Roman"/>
          <w:i/>
          <w:sz w:val="24"/>
          <w:szCs w:val="24"/>
        </w:rPr>
        <w:t>Kinisyx</w:t>
      </w:r>
      <w:r w:rsidR="007F1782" w:rsidRPr="004944C9">
        <w:rPr>
          <w:rStyle w:val="tlid-translation"/>
          <w:rFonts w:ascii="Times New Roman" w:hAnsi="Times New Roman" w:cs="Times New Roman"/>
          <w:sz w:val="24"/>
          <w:szCs w:val="24"/>
        </w:rPr>
        <w:t xml:space="preserve"> spp.), Les varans (</w:t>
      </w:r>
      <w:r w:rsidR="007F1782" w:rsidRPr="004944C9">
        <w:rPr>
          <w:rStyle w:val="tlid-translation"/>
          <w:rFonts w:ascii="Times New Roman" w:hAnsi="Times New Roman" w:cs="Times New Roman"/>
          <w:i/>
          <w:sz w:val="24"/>
          <w:szCs w:val="24"/>
        </w:rPr>
        <w:t>Varanus</w:t>
      </w:r>
      <w:r w:rsidR="007F1782" w:rsidRPr="004944C9">
        <w:rPr>
          <w:rStyle w:val="tlid-translation"/>
          <w:rFonts w:ascii="Times New Roman" w:hAnsi="Times New Roman" w:cs="Times New Roman"/>
          <w:sz w:val="24"/>
          <w:szCs w:val="24"/>
        </w:rPr>
        <w:t xml:space="preserve"> sp.), </w:t>
      </w:r>
      <w:r w:rsidRPr="004944C9">
        <w:rPr>
          <w:rStyle w:val="tlid-translation"/>
          <w:rFonts w:ascii="Times New Roman" w:hAnsi="Times New Roman" w:cs="Times New Roman"/>
          <w:sz w:val="24"/>
          <w:szCs w:val="24"/>
        </w:rPr>
        <w:t>l</w:t>
      </w:r>
      <w:r w:rsidR="007F1782" w:rsidRPr="004944C9">
        <w:rPr>
          <w:rStyle w:val="tlid-translation"/>
          <w:rFonts w:ascii="Times New Roman" w:hAnsi="Times New Roman" w:cs="Times New Roman"/>
          <w:sz w:val="24"/>
          <w:szCs w:val="24"/>
        </w:rPr>
        <w:t>e perroquet gris (</w:t>
      </w:r>
      <w:r w:rsidR="007F1782" w:rsidRPr="004944C9">
        <w:rPr>
          <w:rStyle w:val="tlid-translation"/>
          <w:rFonts w:ascii="Times New Roman" w:hAnsi="Times New Roman" w:cs="Times New Roman"/>
          <w:i/>
          <w:sz w:val="24"/>
          <w:szCs w:val="24"/>
        </w:rPr>
        <w:t>Psittacus erithacus</w:t>
      </w:r>
      <w:r w:rsidR="007F1782" w:rsidRPr="004944C9">
        <w:rPr>
          <w:rStyle w:val="tlid-translation"/>
          <w:rFonts w:ascii="Times New Roman" w:hAnsi="Times New Roman" w:cs="Times New Roman"/>
          <w:sz w:val="24"/>
          <w:szCs w:val="24"/>
        </w:rPr>
        <w:t>), l'inséparable à tête rouge (</w:t>
      </w:r>
      <w:r w:rsidR="007F1782" w:rsidRPr="004944C9">
        <w:rPr>
          <w:rStyle w:val="tlid-translation"/>
          <w:rFonts w:ascii="Times New Roman" w:hAnsi="Times New Roman" w:cs="Times New Roman"/>
          <w:i/>
          <w:sz w:val="24"/>
          <w:szCs w:val="24"/>
        </w:rPr>
        <w:t>Agapornis pullaria</w:t>
      </w:r>
      <w:r w:rsidR="007F1782" w:rsidRPr="004944C9">
        <w:rPr>
          <w:rStyle w:val="tlid-translation"/>
          <w:rFonts w:ascii="Times New Roman" w:hAnsi="Times New Roman" w:cs="Times New Roman"/>
          <w:sz w:val="24"/>
          <w:szCs w:val="24"/>
        </w:rPr>
        <w:t>)</w:t>
      </w:r>
      <w:r w:rsidRPr="004944C9">
        <w:rPr>
          <w:rStyle w:val="tlid-translation"/>
          <w:rFonts w:ascii="Times New Roman" w:hAnsi="Times New Roman" w:cs="Times New Roman"/>
          <w:sz w:val="24"/>
          <w:szCs w:val="24"/>
        </w:rPr>
        <w:t xml:space="preserve">. </w:t>
      </w:r>
      <w:r w:rsidR="007F1782" w:rsidRPr="004944C9">
        <w:rPr>
          <w:rStyle w:val="tlid-translation"/>
          <w:rFonts w:ascii="Times New Roman" w:hAnsi="Times New Roman" w:cs="Times New Roman"/>
          <w:sz w:val="24"/>
          <w:szCs w:val="24"/>
        </w:rPr>
        <w:t>Le Togo n’est pas épargné par le fléau du trafic international de l’ivoire. En</w:t>
      </w:r>
      <w:r w:rsidR="006B5992">
        <w:rPr>
          <w:rStyle w:val="tlid-translation"/>
          <w:rFonts w:ascii="Times New Roman" w:hAnsi="Times New Roman" w:cs="Times New Roman"/>
          <w:sz w:val="24"/>
          <w:szCs w:val="24"/>
        </w:rPr>
        <w:t xml:space="preserve"> 2014, des i</w:t>
      </w:r>
      <w:r w:rsidR="006B5992" w:rsidRPr="006B5992">
        <w:rPr>
          <w:rStyle w:val="tlid-translation"/>
          <w:rFonts w:ascii="Times New Roman" w:hAnsi="Times New Roman" w:cs="Times New Roman"/>
          <w:sz w:val="24"/>
          <w:szCs w:val="24"/>
        </w:rPr>
        <w:t>voires en trans</w:t>
      </w:r>
      <w:r w:rsidR="006B5992">
        <w:rPr>
          <w:rStyle w:val="tlid-translation"/>
          <w:rFonts w:ascii="Times New Roman" w:hAnsi="Times New Roman" w:cs="Times New Roman"/>
          <w:sz w:val="24"/>
          <w:szCs w:val="24"/>
        </w:rPr>
        <w:t>it ont été saisis</w:t>
      </w:r>
      <w:r w:rsidR="006B5992" w:rsidRPr="006B5992">
        <w:rPr>
          <w:rStyle w:val="tlid-translation"/>
          <w:rFonts w:ascii="Times New Roman" w:hAnsi="Times New Roman" w:cs="Times New Roman"/>
          <w:sz w:val="24"/>
          <w:szCs w:val="24"/>
        </w:rPr>
        <w:t xml:space="preserve"> </w:t>
      </w:r>
      <w:r w:rsidR="006F704C">
        <w:rPr>
          <w:rStyle w:val="tlid-translation"/>
          <w:rFonts w:ascii="Times New Roman" w:hAnsi="Times New Roman" w:cs="Times New Roman"/>
          <w:sz w:val="24"/>
          <w:szCs w:val="24"/>
        </w:rPr>
        <w:t>au port autonome de Lomé. Des a</w:t>
      </w:r>
      <w:r w:rsidR="006F704C" w:rsidRPr="006F704C">
        <w:rPr>
          <w:rStyle w:val="tlid-translation"/>
          <w:rFonts w:ascii="Times New Roman" w:hAnsi="Times New Roman" w:cs="Times New Roman"/>
          <w:sz w:val="24"/>
          <w:szCs w:val="24"/>
        </w:rPr>
        <w:t xml:space="preserve">illerons de requins </w:t>
      </w:r>
      <w:r w:rsidR="006F704C">
        <w:rPr>
          <w:rStyle w:val="tlid-translation"/>
          <w:rFonts w:ascii="Times New Roman" w:hAnsi="Times New Roman" w:cs="Times New Roman"/>
          <w:sz w:val="24"/>
          <w:szCs w:val="24"/>
        </w:rPr>
        <w:t xml:space="preserve">ont été également </w:t>
      </w:r>
      <w:r w:rsidR="006F704C" w:rsidRPr="006F704C">
        <w:rPr>
          <w:rStyle w:val="tlid-translation"/>
          <w:rFonts w:ascii="Times New Roman" w:hAnsi="Times New Roman" w:cs="Times New Roman"/>
          <w:sz w:val="24"/>
          <w:szCs w:val="24"/>
        </w:rPr>
        <w:t>saisis en mer en 2017 (</w:t>
      </w:r>
      <w:r w:rsidR="006F704C">
        <w:rPr>
          <w:rStyle w:val="tlid-translation"/>
          <w:rFonts w:ascii="Times New Roman" w:hAnsi="Times New Roman" w:cs="Times New Roman"/>
          <w:sz w:val="24"/>
          <w:szCs w:val="24"/>
        </w:rPr>
        <w:t xml:space="preserve">voir </w:t>
      </w:r>
      <w:r w:rsidR="006F704C" w:rsidRPr="006F704C">
        <w:rPr>
          <w:rStyle w:val="tlid-translation"/>
          <w:rFonts w:ascii="Times New Roman" w:hAnsi="Times New Roman" w:cs="Times New Roman"/>
          <w:sz w:val="24"/>
          <w:szCs w:val="24"/>
        </w:rPr>
        <w:t xml:space="preserve">photo </w:t>
      </w:r>
      <w:r w:rsidR="006114A8">
        <w:rPr>
          <w:rStyle w:val="tlid-translation"/>
          <w:rFonts w:ascii="Times New Roman" w:hAnsi="Times New Roman" w:cs="Times New Roman"/>
          <w:sz w:val="24"/>
          <w:szCs w:val="24"/>
        </w:rPr>
        <w:t>2</w:t>
      </w:r>
      <w:r w:rsidR="006F704C" w:rsidRPr="006F704C">
        <w:rPr>
          <w:rStyle w:val="tlid-translation"/>
          <w:rFonts w:ascii="Times New Roman" w:hAnsi="Times New Roman" w:cs="Times New Roman"/>
          <w:sz w:val="24"/>
          <w:szCs w:val="24"/>
        </w:rPr>
        <w:t>)</w:t>
      </w:r>
      <w:r w:rsidR="006F704C">
        <w:rPr>
          <w:rStyle w:val="tlid-translation"/>
          <w:rFonts w:ascii="Times New Roman" w:hAnsi="Times New Roman" w:cs="Times New Roman"/>
          <w:sz w:val="24"/>
          <w:szCs w:val="24"/>
        </w:rPr>
        <w:t>.</w:t>
      </w:r>
    </w:p>
    <w:p w14:paraId="729706D8" w14:textId="22E5E3D7" w:rsidR="007F1782" w:rsidRDefault="007F1782" w:rsidP="007F1782">
      <w:pPr>
        <w:spacing w:after="0" w:line="240" w:lineRule="auto"/>
        <w:jc w:val="both"/>
        <w:rPr>
          <w:rStyle w:val="tlid-translation"/>
          <w:rFonts w:ascii="Times New Roman" w:hAnsi="Times New Roman" w:cs="Times New Roman"/>
          <w:sz w:val="24"/>
          <w:szCs w:val="24"/>
        </w:rPr>
      </w:pPr>
    </w:p>
    <w:tbl>
      <w:tblPr>
        <w:tblStyle w:val="Grilledutableau"/>
        <w:tblW w:w="9214" w:type="dxa"/>
        <w:tblInd w:w="108" w:type="dxa"/>
        <w:tblLook w:val="04A0" w:firstRow="1" w:lastRow="0" w:firstColumn="1" w:lastColumn="0" w:noHBand="0" w:noVBand="1"/>
      </w:tblPr>
      <w:tblGrid>
        <w:gridCol w:w="4743"/>
        <w:gridCol w:w="4471"/>
      </w:tblGrid>
      <w:tr w:rsidR="006B5992" w14:paraId="357F965E" w14:textId="77777777" w:rsidTr="0081313C">
        <w:tc>
          <w:tcPr>
            <w:tcW w:w="4352" w:type="dxa"/>
            <w:tcBorders>
              <w:bottom w:val="single" w:sz="4" w:space="0" w:color="000000" w:themeColor="text1"/>
            </w:tcBorders>
          </w:tcPr>
          <w:p w14:paraId="6A2B63B7" w14:textId="77777777" w:rsidR="006B5992" w:rsidRDefault="006B5992" w:rsidP="005A319E">
            <w:pPr>
              <w:ind w:right="-284"/>
            </w:pPr>
            <w:r>
              <w:rPr>
                <w:noProof/>
                <w:lang w:eastAsia="fr-FR"/>
              </w:rPr>
              <mc:AlternateContent>
                <mc:Choice Requires="wps">
                  <w:drawing>
                    <wp:anchor distT="0" distB="0" distL="114300" distR="114300" simplePos="0" relativeHeight="251659264" behindDoc="0" locked="0" layoutInCell="1" allowOverlap="1" wp14:anchorId="5BB6DFFA" wp14:editId="11BB73F5">
                      <wp:simplePos x="0" y="0"/>
                      <wp:positionH relativeFrom="column">
                        <wp:posOffset>66115</wp:posOffset>
                      </wp:positionH>
                      <wp:positionV relativeFrom="paragraph">
                        <wp:posOffset>1407235</wp:posOffset>
                      </wp:positionV>
                      <wp:extent cx="264459" cy="246529"/>
                      <wp:effectExtent l="0" t="0" r="21590" b="20320"/>
                      <wp:wrapNone/>
                      <wp:docPr id="27" name="Rectangle 27"/>
                      <wp:cNvGraphicFramePr/>
                      <a:graphic xmlns:a="http://schemas.openxmlformats.org/drawingml/2006/main">
                        <a:graphicData uri="http://schemas.microsoft.com/office/word/2010/wordprocessingShape">
                          <wps:wsp>
                            <wps:cNvSpPr/>
                            <wps:spPr>
                              <a:xfrm>
                                <a:off x="0" y="0"/>
                                <a:ext cx="264459" cy="246529"/>
                              </a:xfrm>
                              <a:prstGeom prst="rect">
                                <a:avLst/>
                              </a:prstGeom>
                            </wps:spPr>
                            <wps:style>
                              <a:lnRef idx="2">
                                <a:schemeClr val="accent6"/>
                              </a:lnRef>
                              <a:fillRef idx="1">
                                <a:schemeClr val="lt1"/>
                              </a:fillRef>
                              <a:effectRef idx="0">
                                <a:schemeClr val="accent6"/>
                              </a:effectRef>
                              <a:fontRef idx="minor">
                                <a:schemeClr val="dk1"/>
                              </a:fontRef>
                            </wps:style>
                            <wps:txbx>
                              <w:txbxContent>
                                <w:p w14:paraId="0E723164" w14:textId="77777777" w:rsidR="005E603D" w:rsidRPr="00855659" w:rsidRDefault="005E603D" w:rsidP="006B5992">
                                  <w:pPr>
                                    <w:jc w:val="center"/>
                                    <w:rPr>
                                      <w:b/>
                                      <w:sz w:val="18"/>
                                    </w:rPr>
                                  </w:pPr>
                                  <w:r w:rsidRPr="00855659">
                                    <w:rPr>
                                      <w:b/>
                                      <w:sz w:val="1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BB6DFFA" id="Rectangle 27" o:spid="_x0000_s1028" style="position:absolute;margin-left:5.2pt;margin-top:110.8pt;width:20.8pt;height:19.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" fillcolor="white [3201]" strokecolor="#70ad47 [3209]" strokeweight="1pt">
                      <v:textbox>
                        <w:txbxContent>
                          <w:p w14:paraId="0E723164" w14:textId="77777777" w:rsidR="005E603D" w:rsidRPr="00855659" w:rsidRDefault="005E603D" w:rsidP="006B5992">
                            <w:pPr>
                              <w:jc w:val="center"/>
                              <w:rPr>
                                <w:b/>
                                <w:sz w:val="18"/>
                              </w:rPr>
                            </w:pPr>
                            <w:r w:rsidRPr="00855659">
                              <w:rPr>
                                <w:b/>
                                <w:sz w:val="18"/>
                              </w:rPr>
                              <w:t>a</w:t>
                            </w:r>
                          </w:p>
                        </w:txbxContent>
                      </v:textbox>
                    </v:rect>
                  </w:pict>
                </mc:Fallback>
              </mc:AlternateContent>
            </w:r>
            <w:r w:rsidRPr="00945B75">
              <w:rPr>
                <w:noProof/>
                <w:lang w:eastAsia="fr-FR"/>
              </w:rPr>
              <w:drawing>
                <wp:inline distT="0" distB="0" distL="0" distR="0" wp14:anchorId="5F5C3453" wp14:editId="6F504870">
                  <wp:extent cx="3055116" cy="1721796"/>
                  <wp:effectExtent l="0" t="0" r="0" b="0"/>
                  <wp:docPr id="34" name="Image 34" descr="G:\Copies Laptop_BFK\Disque C\Desktop\TS DOS Buro_21-11-17\Dos SPF\Dos CITES\Constat_aillerons de requin-marine togolaise\Photos_29-08-2017_04 et 05-09-2017\20171004_13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Copies Laptop_BFK\Disque C\Desktop\TS DOS Buro_21-11-17\Dos SPF\Dos CITES\Constat_aillerons de requin-marine togolaise\Photos_29-08-2017_04 et 05-09-2017\20171004_13451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60946" cy="1725082"/>
                          </a:xfrm>
                          <a:prstGeom prst="rect">
                            <a:avLst/>
                          </a:prstGeom>
                          <a:noFill/>
                          <a:ln>
                            <a:noFill/>
                          </a:ln>
                        </pic:spPr>
                      </pic:pic>
                    </a:graphicData>
                  </a:graphic>
                </wp:inline>
              </w:drawing>
            </w:r>
          </w:p>
        </w:tc>
        <w:tc>
          <w:tcPr>
            <w:tcW w:w="4862" w:type="dxa"/>
            <w:tcBorders>
              <w:bottom w:val="single" w:sz="4" w:space="0" w:color="000000" w:themeColor="text1"/>
            </w:tcBorders>
          </w:tcPr>
          <w:p w14:paraId="1D9D457D" w14:textId="7ADCD026" w:rsidR="006B5992" w:rsidRDefault="006B5992" w:rsidP="005A319E">
            <w:pPr>
              <w:ind w:right="-284"/>
            </w:pPr>
            <w:r>
              <w:rPr>
                <w:noProof/>
                <w:lang w:eastAsia="fr-FR"/>
              </w:rPr>
              <mc:AlternateContent>
                <mc:Choice Requires="wps">
                  <w:drawing>
                    <wp:anchor distT="0" distB="0" distL="114300" distR="114300" simplePos="0" relativeHeight="251660288" behindDoc="0" locked="0" layoutInCell="1" allowOverlap="1" wp14:anchorId="75F7ED4A" wp14:editId="435732C8">
                      <wp:simplePos x="0" y="0"/>
                      <wp:positionH relativeFrom="column">
                        <wp:posOffset>91701</wp:posOffset>
                      </wp:positionH>
                      <wp:positionV relativeFrom="paragraph">
                        <wp:posOffset>1343884</wp:posOffset>
                      </wp:positionV>
                      <wp:extent cx="264459" cy="246529"/>
                      <wp:effectExtent l="0" t="0" r="21590" b="20320"/>
                      <wp:wrapNone/>
                      <wp:docPr id="31" name="Rectangle 31"/>
                      <wp:cNvGraphicFramePr/>
                      <a:graphic xmlns:a="http://schemas.openxmlformats.org/drawingml/2006/main">
                        <a:graphicData uri="http://schemas.microsoft.com/office/word/2010/wordprocessingShape">
                          <wps:wsp>
                            <wps:cNvSpPr/>
                            <wps:spPr>
                              <a:xfrm>
                                <a:off x="0" y="0"/>
                                <a:ext cx="264459" cy="246529"/>
                              </a:xfrm>
                              <a:prstGeom prst="rect">
                                <a:avLst/>
                              </a:prstGeom>
                            </wps:spPr>
                            <wps:style>
                              <a:lnRef idx="2">
                                <a:schemeClr val="accent6"/>
                              </a:lnRef>
                              <a:fillRef idx="1">
                                <a:schemeClr val="lt1"/>
                              </a:fillRef>
                              <a:effectRef idx="0">
                                <a:schemeClr val="accent6"/>
                              </a:effectRef>
                              <a:fontRef idx="minor">
                                <a:schemeClr val="dk1"/>
                              </a:fontRef>
                            </wps:style>
                            <wps:txbx>
                              <w:txbxContent>
                                <w:p w14:paraId="4499A18D" w14:textId="77777777" w:rsidR="005E603D" w:rsidRPr="00855659" w:rsidRDefault="005E603D" w:rsidP="006B5992">
                                  <w:pPr>
                                    <w:jc w:val="center"/>
                                    <w:rPr>
                                      <w:b/>
                                      <w:sz w:val="18"/>
                                    </w:rPr>
                                  </w:pPr>
                                  <w:r>
                                    <w:rPr>
                                      <w:b/>
                                      <w:sz w:val="18"/>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5F7ED4A" id="Rectangle 31" o:spid="_x0000_s1029" style="position:absolute;margin-left:7.2pt;margin-top:105.8pt;width:20.8pt;height:19.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" fillcolor="white [3201]" strokecolor="#70ad47 [3209]" strokeweight="1pt">
                      <v:textbox>
                        <w:txbxContent>
                          <w:p w14:paraId="4499A18D" w14:textId="77777777" w:rsidR="005E603D" w:rsidRPr="00855659" w:rsidRDefault="005E603D" w:rsidP="006B5992">
                            <w:pPr>
                              <w:jc w:val="center"/>
                              <w:rPr>
                                <w:b/>
                                <w:sz w:val="18"/>
                              </w:rPr>
                            </w:pPr>
                            <w:r>
                              <w:rPr>
                                <w:b/>
                                <w:sz w:val="18"/>
                              </w:rPr>
                              <w:t>b</w:t>
                            </w:r>
                          </w:p>
                        </w:txbxContent>
                      </v:textbox>
                    </v:rect>
                  </w:pict>
                </mc:Fallback>
              </mc:AlternateContent>
            </w:r>
            <w:r>
              <w:rPr>
                <w:noProof/>
                <w:lang w:eastAsia="fr-FR"/>
              </w:rPr>
              <w:drawing>
                <wp:inline distT="0" distB="0" distL="0" distR="0" wp14:anchorId="03440916" wp14:editId="1E5DCC2C">
                  <wp:extent cx="2610661" cy="1663430"/>
                  <wp:effectExtent l="0" t="0" r="0" b="0"/>
                  <wp:docPr id="36" name="Image 39" descr="IMG_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 name="Image 39" descr="IMG_26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10661" cy="1663430"/>
                          </a:xfrm>
                          <a:prstGeom prst="rect">
                            <a:avLst/>
                          </a:prstGeom>
                          <a:noFill/>
                          <a:ln>
                            <a:noFill/>
                          </a:ln>
                          <a:extLst/>
                        </pic:spPr>
                      </pic:pic>
                    </a:graphicData>
                  </a:graphic>
                </wp:inline>
              </w:drawing>
            </w:r>
          </w:p>
        </w:tc>
      </w:tr>
      <w:tr w:rsidR="006B5992" w14:paraId="143F4E98" w14:textId="77777777" w:rsidTr="0081313C">
        <w:tc>
          <w:tcPr>
            <w:tcW w:w="9214" w:type="dxa"/>
            <w:gridSpan w:val="2"/>
            <w:tcBorders>
              <w:left w:val="nil"/>
              <w:bottom w:val="nil"/>
              <w:right w:val="nil"/>
            </w:tcBorders>
          </w:tcPr>
          <w:p w14:paraId="671B0FF0" w14:textId="20ADE33A" w:rsidR="006B5992" w:rsidRPr="00ED2E7E" w:rsidRDefault="006B5992" w:rsidP="008D0F47">
            <w:pPr>
              <w:keepNext/>
              <w:ind w:right="-284"/>
              <w:rPr>
                <w:sz w:val="18"/>
              </w:rPr>
            </w:pPr>
          </w:p>
        </w:tc>
      </w:tr>
    </w:tbl>
    <w:p w14:paraId="26EE7226" w14:textId="1614C400" w:rsidR="00483676" w:rsidRPr="00AD1C6E" w:rsidRDefault="00AD1C6E" w:rsidP="00AD1C6E">
      <w:pPr>
        <w:pStyle w:val="Lgende"/>
        <w:rPr>
          <w:rFonts w:ascii="Times New Roman" w:hAnsi="Times New Roman"/>
          <w:sz w:val="24"/>
          <w:szCs w:val="24"/>
        </w:rPr>
      </w:pPr>
      <w:bookmarkStart w:id="83" w:name="_Toc533413518"/>
      <w:r w:rsidRPr="00AD1C6E">
        <w:rPr>
          <w:rFonts w:ascii="Times New Roman" w:hAnsi="Times New Roman"/>
          <w:sz w:val="24"/>
          <w:szCs w:val="24"/>
        </w:rPr>
        <w:t xml:space="preserve">Photo </w:t>
      </w:r>
      <w:r w:rsidRPr="00AD1C6E">
        <w:rPr>
          <w:rFonts w:ascii="Times New Roman" w:hAnsi="Times New Roman"/>
          <w:sz w:val="24"/>
          <w:szCs w:val="24"/>
        </w:rPr>
        <w:fldChar w:fldCharType="begin"/>
      </w:r>
      <w:r w:rsidRPr="00AD1C6E">
        <w:rPr>
          <w:rFonts w:ascii="Times New Roman" w:hAnsi="Times New Roman"/>
          <w:sz w:val="24"/>
          <w:szCs w:val="24"/>
        </w:rPr>
        <w:instrText xml:space="preserve"> SEQ Photo \* ARABIC </w:instrText>
      </w:r>
      <w:r w:rsidRPr="00AD1C6E">
        <w:rPr>
          <w:rFonts w:ascii="Times New Roman" w:hAnsi="Times New Roman"/>
          <w:sz w:val="24"/>
          <w:szCs w:val="24"/>
        </w:rPr>
        <w:fldChar w:fldCharType="separate"/>
      </w:r>
      <w:r w:rsidR="00C47BFF">
        <w:rPr>
          <w:rFonts w:ascii="Times New Roman" w:hAnsi="Times New Roman"/>
          <w:noProof/>
          <w:sz w:val="24"/>
          <w:szCs w:val="24"/>
        </w:rPr>
        <w:t>7</w:t>
      </w:r>
      <w:r w:rsidRPr="00AD1C6E">
        <w:rPr>
          <w:rFonts w:ascii="Times New Roman" w:hAnsi="Times New Roman"/>
          <w:sz w:val="24"/>
          <w:szCs w:val="24"/>
        </w:rPr>
        <w:fldChar w:fldCharType="end"/>
      </w:r>
      <w:r w:rsidRPr="00AD1C6E">
        <w:rPr>
          <w:rFonts w:ascii="Times New Roman" w:hAnsi="Times New Roman"/>
          <w:sz w:val="24"/>
          <w:szCs w:val="24"/>
        </w:rPr>
        <w:t xml:space="preserve"> : </w:t>
      </w:r>
      <w:r w:rsidR="008D0F47" w:rsidRPr="00AD1C6E">
        <w:rPr>
          <w:rFonts w:ascii="Times New Roman" w:hAnsi="Times New Roman"/>
          <w:sz w:val="24"/>
          <w:szCs w:val="24"/>
        </w:rPr>
        <w:t>Aillerons de requins saisis en mer en 2017 (a), ivoires en transit saisis et sortis du conteneur au port autonome de Lomé en 2014 (b)</w:t>
      </w:r>
      <w:bookmarkEnd w:id="83"/>
    </w:p>
    <w:p w14:paraId="0A12F964" w14:textId="77777777" w:rsidR="00AD1C6E" w:rsidRDefault="00AD1C6E" w:rsidP="00ED2E7E">
      <w:pPr>
        <w:spacing w:after="0" w:line="240" w:lineRule="auto"/>
        <w:jc w:val="both"/>
        <w:rPr>
          <w:rFonts w:ascii="Times New Roman" w:hAnsi="Times New Roman" w:cs="Times New Roman"/>
          <w:b/>
          <w:iCs/>
          <w:kern w:val="22"/>
          <w:sz w:val="24"/>
          <w:szCs w:val="24"/>
          <w:lang w:val="fr-CA"/>
        </w:rPr>
      </w:pPr>
    </w:p>
    <w:p w14:paraId="4810DAB3" w14:textId="2FC55AD1" w:rsidR="009C0565" w:rsidRPr="004944C9" w:rsidRDefault="009C0565" w:rsidP="00ED2E7E">
      <w:pPr>
        <w:spacing w:after="0" w:line="240" w:lineRule="auto"/>
        <w:jc w:val="both"/>
        <w:rPr>
          <w:rFonts w:ascii="Times New Roman" w:hAnsi="Times New Roman" w:cs="Times New Roman"/>
          <w:b/>
          <w:iCs/>
          <w:kern w:val="22"/>
          <w:sz w:val="24"/>
          <w:szCs w:val="24"/>
          <w:lang w:val="fr-CA"/>
        </w:rPr>
      </w:pPr>
      <w:r w:rsidRPr="004944C9">
        <w:rPr>
          <w:rFonts w:ascii="Times New Roman" w:hAnsi="Times New Roman" w:cs="Times New Roman"/>
          <w:b/>
          <w:iCs/>
          <w:kern w:val="22"/>
          <w:sz w:val="24"/>
          <w:szCs w:val="24"/>
          <w:lang w:val="fr-CA"/>
        </w:rPr>
        <w:t>Objectif 12 de la Stratégie mondiale pour</w:t>
      </w:r>
      <w:r w:rsidR="0081313C">
        <w:rPr>
          <w:rFonts w:ascii="Times New Roman" w:hAnsi="Times New Roman" w:cs="Times New Roman"/>
          <w:b/>
          <w:iCs/>
          <w:kern w:val="22"/>
          <w:sz w:val="24"/>
          <w:szCs w:val="24"/>
          <w:lang w:val="fr-CA"/>
        </w:rPr>
        <w:t xml:space="preserve"> la conservation des plantes : t</w:t>
      </w:r>
      <w:r w:rsidRPr="004944C9">
        <w:rPr>
          <w:rFonts w:ascii="Times New Roman" w:hAnsi="Times New Roman" w:cs="Times New Roman"/>
          <w:b/>
          <w:iCs/>
          <w:kern w:val="22"/>
          <w:sz w:val="24"/>
          <w:szCs w:val="24"/>
          <w:lang w:val="fr-CA"/>
        </w:rPr>
        <w:t>ous les produits basés sur des plantes sauvages ont une source durable</w:t>
      </w:r>
    </w:p>
    <w:p w14:paraId="49A2D2BA" w14:textId="77777777" w:rsidR="00883799" w:rsidRPr="004944C9" w:rsidRDefault="00883799" w:rsidP="00254C9C">
      <w:pPr>
        <w:autoSpaceDE w:val="0"/>
        <w:autoSpaceDN w:val="0"/>
        <w:adjustRightInd w:val="0"/>
        <w:spacing w:after="0" w:line="240" w:lineRule="auto"/>
        <w:jc w:val="both"/>
        <w:rPr>
          <w:rFonts w:ascii="Times New Roman" w:hAnsi="Times New Roman" w:cs="Times New Roman"/>
          <w:iCs/>
          <w:kern w:val="22"/>
          <w:sz w:val="24"/>
          <w:szCs w:val="24"/>
          <w:lang w:val="fr-CA"/>
        </w:rPr>
      </w:pPr>
    </w:p>
    <w:p w14:paraId="067B1146" w14:textId="77777777" w:rsidR="004944C9" w:rsidRPr="004944C9" w:rsidRDefault="004944C9" w:rsidP="00254C9C">
      <w:pPr>
        <w:autoSpaceDE w:val="0"/>
        <w:autoSpaceDN w:val="0"/>
        <w:adjustRightInd w:val="0"/>
        <w:spacing w:after="0" w:line="240" w:lineRule="auto"/>
        <w:jc w:val="both"/>
        <w:rPr>
          <w:rFonts w:ascii="Times New Roman" w:hAnsi="Times New Roman" w:cs="Times New Roman"/>
          <w:iCs/>
          <w:kern w:val="22"/>
          <w:sz w:val="24"/>
          <w:szCs w:val="24"/>
          <w:lang w:val="fr-CA"/>
        </w:rPr>
      </w:pPr>
      <w:r w:rsidRPr="004944C9">
        <w:rPr>
          <w:rFonts w:ascii="Times New Roman" w:hAnsi="Times New Roman" w:cs="Times New Roman"/>
          <w:iCs/>
          <w:kern w:val="22"/>
          <w:sz w:val="24"/>
          <w:szCs w:val="24"/>
          <w:lang w:val="fr-CA"/>
        </w:rPr>
        <w:t xml:space="preserve">Comme indiqué dans d’autres objectifs ci-dessus, les produis à base des plantes n’ont pas une source durable, faute de la mise en œuvre des principes de base de gestion durable. </w:t>
      </w:r>
    </w:p>
    <w:p w14:paraId="3A526CE4" w14:textId="77777777" w:rsidR="004944C9" w:rsidRPr="004944C9" w:rsidRDefault="004944C9" w:rsidP="00254C9C">
      <w:pPr>
        <w:autoSpaceDE w:val="0"/>
        <w:autoSpaceDN w:val="0"/>
        <w:adjustRightInd w:val="0"/>
        <w:spacing w:after="0" w:line="240" w:lineRule="auto"/>
        <w:jc w:val="both"/>
        <w:rPr>
          <w:rFonts w:ascii="Times New Roman" w:hAnsi="Times New Roman" w:cs="Times New Roman"/>
          <w:iCs/>
          <w:kern w:val="22"/>
          <w:sz w:val="24"/>
          <w:szCs w:val="24"/>
          <w:lang w:val="fr-CA"/>
        </w:rPr>
      </w:pPr>
    </w:p>
    <w:p w14:paraId="07284517" w14:textId="77777777" w:rsidR="00EE306F" w:rsidRDefault="00EE306F" w:rsidP="00254C9C">
      <w:pPr>
        <w:spacing w:after="0" w:line="240" w:lineRule="auto"/>
        <w:jc w:val="both"/>
        <w:rPr>
          <w:rFonts w:ascii="Times New Roman" w:hAnsi="Times New Roman" w:cs="Times New Roman"/>
          <w:b/>
          <w:iCs/>
          <w:kern w:val="22"/>
          <w:sz w:val="24"/>
          <w:szCs w:val="24"/>
          <w:lang w:val="fr-CA"/>
        </w:rPr>
      </w:pPr>
      <w:r w:rsidRPr="00880DE7">
        <w:rPr>
          <w:rFonts w:ascii="Times New Roman" w:hAnsi="Times New Roman" w:cs="Times New Roman"/>
          <w:b/>
          <w:iCs/>
          <w:kern w:val="22"/>
          <w:sz w:val="24"/>
          <w:szCs w:val="24"/>
          <w:lang w:val="fr-CA"/>
        </w:rPr>
        <w:t>Objectif 13 de la Stratégie mondiale pour la conservation des plantes : Maintien ou augmentation, selon qu’il convient, des connaissances, des innovations et des pratiques provenant des communautés autochtones et locales associées aux re</w:t>
      </w:r>
      <w:r w:rsidR="00676F5A">
        <w:rPr>
          <w:rFonts w:ascii="Times New Roman" w:hAnsi="Times New Roman" w:cs="Times New Roman"/>
          <w:b/>
          <w:iCs/>
          <w:kern w:val="22"/>
          <w:sz w:val="24"/>
          <w:szCs w:val="24"/>
          <w:lang w:val="fr-CA"/>
        </w:rPr>
        <w:t>ssources végétales pour appuyer</w:t>
      </w:r>
      <w:r w:rsidRPr="00880DE7">
        <w:rPr>
          <w:rFonts w:ascii="Times New Roman" w:hAnsi="Times New Roman" w:cs="Times New Roman"/>
          <w:b/>
          <w:iCs/>
          <w:kern w:val="22"/>
          <w:sz w:val="24"/>
          <w:szCs w:val="24"/>
          <w:lang w:val="fr-CA"/>
        </w:rPr>
        <w:t xml:space="preserve"> l’utilisation coutumière, les moyens d’existence durables, la sécurité alimentaire locale et la santé</w:t>
      </w:r>
    </w:p>
    <w:p w14:paraId="2EEF4A2A" w14:textId="77777777" w:rsidR="00880DE7" w:rsidRPr="00676F5A" w:rsidRDefault="00880DE7" w:rsidP="00254C9C">
      <w:pPr>
        <w:spacing w:after="0" w:line="240" w:lineRule="auto"/>
        <w:jc w:val="both"/>
        <w:rPr>
          <w:rFonts w:ascii="Times New Roman" w:hAnsi="Times New Roman" w:cs="Times New Roman"/>
          <w:b/>
          <w:iCs/>
          <w:kern w:val="22"/>
          <w:sz w:val="24"/>
          <w:szCs w:val="24"/>
          <w:lang w:val="fr-CA"/>
        </w:rPr>
      </w:pPr>
    </w:p>
    <w:p w14:paraId="2CFCF9B0" w14:textId="4139E1D0" w:rsidR="008D0014" w:rsidRPr="00B80EA1" w:rsidRDefault="00676F5A" w:rsidP="00254C9C">
      <w:pPr>
        <w:pStyle w:val="Commentaire"/>
        <w:spacing w:after="0"/>
        <w:jc w:val="both"/>
        <w:rPr>
          <w:rFonts w:ascii="Times New Roman" w:hAnsi="Times New Roman" w:cs="Times New Roman"/>
          <w:iCs/>
          <w:sz w:val="24"/>
          <w:szCs w:val="24"/>
        </w:rPr>
      </w:pPr>
      <w:r w:rsidRPr="00676F5A">
        <w:rPr>
          <w:rFonts w:ascii="Times New Roman" w:eastAsia="Calibri" w:hAnsi="Times New Roman" w:cs="Times New Roman"/>
          <w:sz w:val="24"/>
          <w:szCs w:val="24"/>
        </w:rPr>
        <w:t xml:space="preserve">La prise en compte de </w:t>
      </w:r>
      <w:r w:rsidRPr="00676F5A">
        <w:rPr>
          <w:rFonts w:ascii="Times New Roman" w:hAnsi="Times New Roman" w:cs="Times New Roman"/>
          <w:sz w:val="24"/>
          <w:szCs w:val="24"/>
        </w:rPr>
        <w:t xml:space="preserve">la </w:t>
      </w:r>
      <w:r w:rsidRPr="00676F5A">
        <w:rPr>
          <w:rFonts w:ascii="Times New Roman" w:eastAsia="Calibri" w:hAnsi="Times New Roman" w:cs="Times New Roman"/>
          <w:sz w:val="24"/>
          <w:szCs w:val="24"/>
        </w:rPr>
        <w:t>gestion locale</w:t>
      </w:r>
      <w:r w:rsidR="004A4B62">
        <w:rPr>
          <w:rFonts w:ascii="Times New Roman" w:eastAsia="Calibri" w:hAnsi="Times New Roman" w:cs="Times New Roman"/>
          <w:sz w:val="24"/>
          <w:szCs w:val="24"/>
        </w:rPr>
        <w:t xml:space="preserve"> </w:t>
      </w:r>
      <w:r w:rsidRPr="00676F5A">
        <w:rPr>
          <w:rFonts w:ascii="Times New Roman" w:eastAsia="Calibri" w:hAnsi="Times New Roman" w:cs="Times New Roman"/>
          <w:sz w:val="24"/>
          <w:szCs w:val="24"/>
        </w:rPr>
        <w:t>de la diversité biologique (forêts sacrées, forêts communautaires, gestion de la fertilité des sols, gestion de l’agrobiodiversité) constituent un moyen d’implication et de coopération avec les communautés locales pour faciliter le transfert des connaissances traditionnelles en matière de gestion de la biodiversité.</w:t>
      </w:r>
      <w:r w:rsidR="00B74DEB">
        <w:rPr>
          <w:rFonts w:ascii="Times New Roman" w:eastAsia="Calibri" w:hAnsi="Times New Roman" w:cs="Times New Roman"/>
          <w:sz w:val="24"/>
          <w:szCs w:val="24"/>
        </w:rPr>
        <w:t xml:space="preserve"> </w:t>
      </w:r>
      <w:r>
        <w:rPr>
          <w:rFonts w:ascii="Times New Roman" w:hAnsi="Times New Roman" w:cs="Times New Roman"/>
          <w:iCs/>
          <w:sz w:val="24"/>
          <w:szCs w:val="24"/>
        </w:rPr>
        <w:t>Ainsi</w:t>
      </w:r>
      <w:r w:rsidR="0081313C">
        <w:rPr>
          <w:rFonts w:ascii="Times New Roman" w:hAnsi="Times New Roman" w:cs="Times New Roman"/>
          <w:iCs/>
          <w:sz w:val="24"/>
          <w:szCs w:val="24"/>
        </w:rPr>
        <w:t>,</w:t>
      </w:r>
      <w:r>
        <w:rPr>
          <w:rFonts w:ascii="Times New Roman" w:hAnsi="Times New Roman" w:cs="Times New Roman"/>
          <w:iCs/>
          <w:sz w:val="24"/>
          <w:szCs w:val="24"/>
        </w:rPr>
        <w:t xml:space="preserve"> l</w:t>
      </w:r>
      <w:r w:rsidR="00880DE7" w:rsidRPr="00880DE7">
        <w:rPr>
          <w:rFonts w:ascii="Times New Roman" w:hAnsi="Times New Roman" w:cs="Times New Roman"/>
          <w:iCs/>
          <w:sz w:val="24"/>
          <w:szCs w:val="24"/>
        </w:rPr>
        <w:t>a loi n°2008-009 du 19 juin 2008</w:t>
      </w:r>
      <w:r w:rsidR="00B74DEB">
        <w:rPr>
          <w:rFonts w:ascii="Times New Roman" w:hAnsi="Times New Roman" w:cs="Times New Roman"/>
          <w:iCs/>
          <w:sz w:val="24"/>
          <w:szCs w:val="24"/>
        </w:rPr>
        <w:t xml:space="preserve"> portant code forestier</w:t>
      </w:r>
      <w:r w:rsidR="00880DE7" w:rsidRPr="00880DE7">
        <w:rPr>
          <w:rFonts w:ascii="Times New Roman" w:hAnsi="Times New Roman" w:cs="Times New Roman"/>
          <w:iCs/>
          <w:sz w:val="24"/>
          <w:szCs w:val="24"/>
        </w:rPr>
        <w:t>, qui prévoit des dispositions relatives au régime des forêts, témoigne de la volonté de l’Etat d’impliquer à toutes les étapes, les populations locales dans le processus de mise en place et de gestion durable des ressources forestières.</w:t>
      </w:r>
      <w:r w:rsidR="00B74DEB">
        <w:rPr>
          <w:rFonts w:ascii="Times New Roman" w:hAnsi="Times New Roman" w:cs="Times New Roman"/>
          <w:iCs/>
          <w:sz w:val="24"/>
          <w:szCs w:val="24"/>
        </w:rPr>
        <w:t xml:space="preserve"> </w:t>
      </w:r>
      <w:r w:rsidR="00B80EA1">
        <w:rPr>
          <w:rFonts w:ascii="Times New Roman" w:hAnsi="Times New Roman" w:cs="Times New Roman"/>
          <w:color w:val="000000"/>
          <w:sz w:val="24"/>
          <w:szCs w:val="24"/>
        </w:rPr>
        <w:t>E</w:t>
      </w:r>
      <w:r w:rsidR="008D0014" w:rsidRPr="009E0514">
        <w:rPr>
          <w:rFonts w:ascii="Times New Roman" w:hAnsi="Times New Roman" w:cs="Times New Roman"/>
          <w:color w:val="000000"/>
          <w:sz w:val="24"/>
          <w:szCs w:val="24"/>
        </w:rPr>
        <w:t xml:space="preserve">n 2015, l’Etat a adopté un </w:t>
      </w:r>
      <w:r w:rsidR="008D0014" w:rsidRPr="009E0514">
        <w:rPr>
          <w:rFonts w:ascii="Times New Roman" w:hAnsi="Times New Roman" w:cs="Times New Roman"/>
          <w:bCs/>
          <w:color w:val="000000"/>
          <w:sz w:val="24"/>
          <w:szCs w:val="24"/>
        </w:rPr>
        <w:t>manuel de procédures de création, d’attribution et des normes de gestion des</w:t>
      </w:r>
      <w:r w:rsidR="005F14FE">
        <w:rPr>
          <w:rFonts w:ascii="Times New Roman" w:hAnsi="Times New Roman" w:cs="Times New Roman"/>
          <w:bCs/>
          <w:color w:val="000000"/>
          <w:sz w:val="24"/>
          <w:szCs w:val="24"/>
        </w:rPr>
        <w:t xml:space="preserve"> forê</w:t>
      </w:r>
      <w:r w:rsidR="008D0014" w:rsidRPr="009E0514">
        <w:rPr>
          <w:rFonts w:ascii="Times New Roman" w:hAnsi="Times New Roman" w:cs="Times New Roman"/>
          <w:bCs/>
          <w:color w:val="000000"/>
          <w:sz w:val="24"/>
          <w:szCs w:val="24"/>
        </w:rPr>
        <w:t>ts communautaires au Togo, assorti de plusieurs arrêtés :</w:t>
      </w:r>
    </w:p>
    <w:p w14:paraId="000392E8" w14:textId="5113B5DC" w:rsidR="008D0014" w:rsidRPr="009E0514" w:rsidRDefault="0081313C" w:rsidP="00E50666">
      <w:pPr>
        <w:pStyle w:val="Paragraphedeliste"/>
        <w:numPr>
          <w:ilvl w:val="0"/>
          <w:numId w:val="5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8D0014" w:rsidRPr="009E0514">
        <w:rPr>
          <w:rFonts w:ascii="Times New Roman" w:hAnsi="Times New Roman" w:cs="Times New Roman"/>
          <w:sz w:val="24"/>
          <w:szCs w:val="24"/>
        </w:rPr>
        <w:t>rrêté définissant la procédure de création, attribution et de gestion des forêts communautaires au Togo (FCT) ;</w:t>
      </w:r>
    </w:p>
    <w:p w14:paraId="24278A13" w14:textId="18B3BE3A" w:rsidR="009E0514" w:rsidRPr="009E0514" w:rsidRDefault="0081313C" w:rsidP="00E50666">
      <w:pPr>
        <w:pStyle w:val="Paragraphedeliste"/>
        <w:numPr>
          <w:ilvl w:val="0"/>
          <w:numId w:val="5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9E0514" w:rsidRPr="009E0514">
        <w:rPr>
          <w:rFonts w:ascii="Times New Roman" w:hAnsi="Times New Roman" w:cs="Times New Roman"/>
          <w:sz w:val="24"/>
          <w:szCs w:val="24"/>
        </w:rPr>
        <w:t>rrêté</w:t>
      </w:r>
      <w:r>
        <w:rPr>
          <w:rFonts w:ascii="Times New Roman" w:hAnsi="Times New Roman" w:cs="Times New Roman"/>
          <w:sz w:val="24"/>
          <w:szCs w:val="24"/>
        </w:rPr>
        <w:t xml:space="preserve"> fixant</w:t>
      </w:r>
      <w:r w:rsidR="009E0514" w:rsidRPr="009E0514">
        <w:rPr>
          <w:rFonts w:ascii="Times New Roman" w:hAnsi="Times New Roman" w:cs="Times New Roman"/>
          <w:sz w:val="24"/>
          <w:szCs w:val="24"/>
        </w:rPr>
        <w:t xml:space="preserve"> le canevas/modèle de convention de gestion provisoire et définitive des forêts communautaires au Togo (FCT)</w:t>
      </w:r>
      <w:r>
        <w:rPr>
          <w:rFonts w:ascii="Times New Roman" w:hAnsi="Times New Roman" w:cs="Times New Roman"/>
          <w:sz w:val="24"/>
          <w:szCs w:val="24"/>
        </w:rPr>
        <w:t> ;</w:t>
      </w:r>
    </w:p>
    <w:p w14:paraId="1BE8D2CC" w14:textId="7878D64A" w:rsidR="008D0014" w:rsidRPr="009E0514" w:rsidRDefault="0081313C" w:rsidP="00E50666">
      <w:pPr>
        <w:pStyle w:val="Paragraphedeliste"/>
        <w:numPr>
          <w:ilvl w:val="0"/>
          <w:numId w:val="5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8D0014" w:rsidRPr="009E0514">
        <w:rPr>
          <w:rFonts w:ascii="Times New Roman" w:hAnsi="Times New Roman" w:cs="Times New Roman"/>
          <w:sz w:val="24"/>
          <w:szCs w:val="24"/>
        </w:rPr>
        <w:t>rrêté fixant le canevas/modèle de charte de gestion provisoire et définitive des forêts communautaires au Togo (FCT)</w:t>
      </w:r>
      <w:r w:rsidR="009E0514" w:rsidRPr="009E0514">
        <w:rPr>
          <w:rFonts w:ascii="Times New Roman" w:hAnsi="Times New Roman" w:cs="Times New Roman"/>
          <w:sz w:val="24"/>
          <w:szCs w:val="24"/>
        </w:rPr>
        <w:t> ;</w:t>
      </w:r>
    </w:p>
    <w:p w14:paraId="4DEB9FE2" w14:textId="79D6E43E" w:rsidR="009E0514" w:rsidRPr="009E0514" w:rsidRDefault="0081313C" w:rsidP="00E50666">
      <w:pPr>
        <w:pStyle w:val="Paragraphedeliste"/>
        <w:numPr>
          <w:ilvl w:val="0"/>
          <w:numId w:val="5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8D0014" w:rsidRPr="009E0514">
        <w:rPr>
          <w:rFonts w:ascii="Times New Roman" w:hAnsi="Times New Roman" w:cs="Times New Roman"/>
          <w:sz w:val="24"/>
          <w:szCs w:val="24"/>
        </w:rPr>
        <w:t>rrêté définissant le canevas/modèle de Plan Simple de Gestion des forêts communautaires au Togo (PSG/FCT) ;</w:t>
      </w:r>
    </w:p>
    <w:p w14:paraId="63617309" w14:textId="282776DB" w:rsidR="009E0514" w:rsidRPr="00F00E5A" w:rsidRDefault="0081313C" w:rsidP="00E50666">
      <w:pPr>
        <w:pStyle w:val="Paragraphedeliste"/>
        <w:numPr>
          <w:ilvl w:val="0"/>
          <w:numId w:val="53"/>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a</w:t>
      </w:r>
      <w:r w:rsidR="009E0514" w:rsidRPr="009E0514">
        <w:rPr>
          <w:rFonts w:ascii="Times New Roman" w:hAnsi="Times New Roman" w:cs="Times New Roman"/>
          <w:sz w:val="24"/>
          <w:szCs w:val="24"/>
        </w:rPr>
        <w:t>rrêté</w:t>
      </w:r>
      <w:r>
        <w:rPr>
          <w:rFonts w:ascii="Times New Roman" w:hAnsi="Times New Roman" w:cs="Times New Roman"/>
          <w:sz w:val="24"/>
          <w:szCs w:val="24"/>
        </w:rPr>
        <w:t xml:space="preserve"> </w:t>
      </w:r>
      <w:r w:rsidR="009E0514" w:rsidRPr="009E0514">
        <w:rPr>
          <w:rFonts w:ascii="Times New Roman" w:hAnsi="Times New Roman" w:cs="Times New Roman"/>
          <w:sz w:val="24"/>
          <w:szCs w:val="24"/>
        </w:rPr>
        <w:t xml:space="preserve">portant règlementation de l’exploitation, le transport et la commercialisation </w:t>
      </w:r>
      <w:r w:rsidR="009E0514" w:rsidRPr="00F00E5A">
        <w:rPr>
          <w:rFonts w:ascii="Times New Roman" w:hAnsi="Times New Roman" w:cs="Times New Roman"/>
          <w:sz w:val="24"/>
          <w:szCs w:val="24"/>
        </w:rPr>
        <w:t>des produits issus des forêts communautaires  au Togo (FCT).</w:t>
      </w:r>
    </w:p>
    <w:p w14:paraId="2C86FED5" w14:textId="77777777" w:rsidR="009E0514" w:rsidRPr="00F00E5A" w:rsidRDefault="009E0514" w:rsidP="00254C9C">
      <w:pPr>
        <w:pStyle w:val="Commentaire"/>
        <w:spacing w:after="0"/>
        <w:jc w:val="both"/>
        <w:rPr>
          <w:rFonts w:ascii="Times New Roman" w:hAnsi="Times New Roman" w:cs="Times New Roman"/>
          <w:iCs/>
          <w:sz w:val="24"/>
          <w:szCs w:val="24"/>
        </w:rPr>
      </w:pPr>
    </w:p>
    <w:p w14:paraId="51EAEDB2" w14:textId="1FAEB6B6" w:rsidR="00B80EA1" w:rsidRPr="00DE618E" w:rsidRDefault="00B80EA1" w:rsidP="00254C9C">
      <w:pPr>
        <w:pStyle w:val="Commentaire"/>
        <w:spacing w:after="0"/>
        <w:jc w:val="both"/>
        <w:rPr>
          <w:rFonts w:ascii="Times New Roman" w:hAnsi="Times New Roman" w:cs="Times New Roman"/>
          <w:bCs/>
          <w:sz w:val="24"/>
          <w:szCs w:val="24"/>
        </w:rPr>
      </w:pPr>
      <w:r w:rsidRPr="00DE618E">
        <w:rPr>
          <w:rFonts w:ascii="Times New Roman" w:hAnsi="Times New Roman" w:cs="Times New Roman"/>
          <w:iCs/>
          <w:sz w:val="24"/>
          <w:szCs w:val="24"/>
        </w:rPr>
        <w:t xml:space="preserve">De la même manière, les forêts sacrées ont connu plus d’intérêt. </w:t>
      </w:r>
      <w:r w:rsidRPr="00DE618E">
        <w:rPr>
          <w:rFonts w:ascii="Times New Roman" w:hAnsi="Times New Roman" w:cs="Times New Roman"/>
          <w:bCs/>
          <w:sz w:val="24"/>
          <w:szCs w:val="24"/>
        </w:rPr>
        <w:t>Des plans d’aménagement ont été réalisé</w:t>
      </w:r>
      <w:r w:rsidR="00B74DEB">
        <w:rPr>
          <w:rFonts w:ascii="Times New Roman" w:hAnsi="Times New Roman" w:cs="Times New Roman"/>
          <w:bCs/>
          <w:sz w:val="24"/>
          <w:szCs w:val="24"/>
        </w:rPr>
        <w:t>s</w:t>
      </w:r>
      <w:r w:rsidRPr="00DE618E">
        <w:rPr>
          <w:rFonts w:ascii="Times New Roman" w:hAnsi="Times New Roman" w:cs="Times New Roman"/>
          <w:bCs/>
          <w:sz w:val="24"/>
          <w:szCs w:val="24"/>
        </w:rPr>
        <w:t xml:space="preserve"> pour certaines afin d’asseoir de façon consensuelle avec les communautés locales, les règles d’une gestion durable des ressources naturelles tout en améliorant la diversité biologique et la productivité</w:t>
      </w:r>
      <w:r w:rsidR="00F00E5A" w:rsidRPr="00DE618E">
        <w:rPr>
          <w:rFonts w:ascii="Times New Roman" w:hAnsi="Times New Roman" w:cs="Times New Roman"/>
          <w:bCs/>
          <w:sz w:val="24"/>
          <w:szCs w:val="24"/>
        </w:rPr>
        <w:t xml:space="preserve"> (Godjin, Akissa, dans le sud-est du Togo).</w:t>
      </w:r>
    </w:p>
    <w:p w14:paraId="3CADA7F8" w14:textId="77777777" w:rsidR="00F00E5A" w:rsidRPr="00DE618E" w:rsidRDefault="00F00E5A" w:rsidP="00254C9C">
      <w:pPr>
        <w:pStyle w:val="Commentaire"/>
        <w:spacing w:after="0"/>
        <w:jc w:val="both"/>
        <w:rPr>
          <w:rFonts w:ascii="Times New Roman" w:hAnsi="Times New Roman" w:cs="Times New Roman"/>
          <w:iCs/>
          <w:sz w:val="24"/>
          <w:szCs w:val="24"/>
        </w:rPr>
      </w:pPr>
    </w:p>
    <w:p w14:paraId="6D11BAEB" w14:textId="0D076EE0" w:rsidR="00DE618E" w:rsidRPr="00DE618E" w:rsidRDefault="00DE618E" w:rsidP="00254C9C">
      <w:pPr>
        <w:spacing w:after="0" w:line="240" w:lineRule="auto"/>
        <w:jc w:val="both"/>
        <w:rPr>
          <w:rFonts w:ascii="Times New Roman" w:hAnsi="Times New Roman" w:cs="Times New Roman"/>
          <w:sz w:val="24"/>
          <w:szCs w:val="24"/>
        </w:rPr>
      </w:pPr>
      <w:r w:rsidRPr="00DE618E">
        <w:rPr>
          <w:rFonts w:ascii="Times New Roman" w:hAnsi="Times New Roman" w:cs="Times New Roman"/>
          <w:sz w:val="24"/>
          <w:szCs w:val="24"/>
        </w:rPr>
        <w:t xml:space="preserve">En ce qui concerne l’utilisation des noms vernaculaires, il reste des efforts à faire. Les collections disponibles indiquent que les noms vernaculaires des plantes émanent de 26 ethnies. Les ethnies majoritairement citées sont Ewé (24%), Moba (24%) </w:t>
      </w:r>
      <w:r w:rsidR="0081313C">
        <w:rPr>
          <w:rFonts w:ascii="Times New Roman" w:hAnsi="Times New Roman" w:cs="Times New Roman"/>
          <w:sz w:val="24"/>
          <w:szCs w:val="24"/>
        </w:rPr>
        <w:t xml:space="preserve">et </w:t>
      </w:r>
      <w:r w:rsidRPr="00DE618E">
        <w:rPr>
          <w:rFonts w:ascii="Times New Roman" w:hAnsi="Times New Roman" w:cs="Times New Roman"/>
          <w:sz w:val="24"/>
          <w:szCs w:val="24"/>
        </w:rPr>
        <w:t>Nawdem (9%).</w:t>
      </w:r>
    </w:p>
    <w:p w14:paraId="5C3CC3CD" w14:textId="77777777" w:rsidR="00DE618E" w:rsidRPr="00AF76C5" w:rsidRDefault="00DE618E" w:rsidP="00254C9C">
      <w:pPr>
        <w:pStyle w:val="Commentaire"/>
        <w:spacing w:after="0"/>
        <w:jc w:val="both"/>
        <w:rPr>
          <w:rFonts w:ascii="Times New Roman" w:hAnsi="Times New Roman" w:cs="Times New Roman"/>
          <w:iCs/>
          <w:sz w:val="24"/>
          <w:szCs w:val="24"/>
        </w:rPr>
      </w:pPr>
    </w:p>
    <w:p w14:paraId="2230882F" w14:textId="7235B2E3" w:rsidR="00EE306F" w:rsidRPr="00BF65B1" w:rsidRDefault="00EE306F"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BF65B1">
        <w:rPr>
          <w:rFonts w:ascii="Times New Roman" w:hAnsi="Times New Roman" w:cs="Times New Roman"/>
          <w:b/>
          <w:iCs/>
          <w:kern w:val="22"/>
          <w:sz w:val="24"/>
          <w:szCs w:val="24"/>
          <w:lang w:val="fr-CA"/>
        </w:rPr>
        <w:t>Objectif 14 de la Stratégie mondiale pour</w:t>
      </w:r>
      <w:r w:rsidR="0081313C">
        <w:rPr>
          <w:rFonts w:ascii="Times New Roman" w:hAnsi="Times New Roman" w:cs="Times New Roman"/>
          <w:b/>
          <w:iCs/>
          <w:kern w:val="22"/>
          <w:sz w:val="24"/>
          <w:szCs w:val="24"/>
          <w:lang w:val="fr-CA"/>
        </w:rPr>
        <w:t xml:space="preserve"> la conservation des plantes : i</w:t>
      </w:r>
      <w:r w:rsidRPr="00BF65B1">
        <w:rPr>
          <w:rFonts w:ascii="Times New Roman" w:hAnsi="Times New Roman" w:cs="Times New Roman"/>
          <w:b/>
          <w:iCs/>
          <w:kern w:val="22"/>
          <w:sz w:val="24"/>
          <w:szCs w:val="24"/>
          <w:lang w:val="fr-CA"/>
        </w:rPr>
        <w:t>ncorporation de l’importance de la diversité des plantes et de la nécessité de sa conservation dans les programmes de communication, d’éducation et de sensibilisation du public</w:t>
      </w:r>
    </w:p>
    <w:p w14:paraId="3AE53E74" w14:textId="77777777" w:rsidR="00EE306F" w:rsidRPr="00BF65B1" w:rsidRDefault="00EE306F"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799B7A5" w14:textId="0CA41460" w:rsidR="00883799" w:rsidRPr="00BF65B1" w:rsidRDefault="00581CBA" w:rsidP="00254C9C">
      <w:pPr>
        <w:tabs>
          <w:tab w:val="left" w:pos="426"/>
        </w:tabs>
        <w:spacing w:after="0" w:line="240" w:lineRule="auto"/>
        <w:jc w:val="both"/>
        <w:rPr>
          <w:rFonts w:ascii="Times New Roman" w:eastAsia="Times New Roman" w:hAnsi="Times New Roman" w:cs="Times New Roman"/>
          <w:b/>
          <w:sz w:val="24"/>
          <w:szCs w:val="24"/>
        </w:rPr>
      </w:pPr>
      <w:r w:rsidRPr="00BF65B1">
        <w:rPr>
          <w:rFonts w:ascii="Times New Roman" w:eastAsia="Times New Roman" w:hAnsi="Times New Roman" w:cs="Times New Roman"/>
          <w:sz w:val="24"/>
          <w:szCs w:val="24"/>
        </w:rPr>
        <w:t xml:space="preserve">En 2011, le MERF a élaboré une </w:t>
      </w:r>
      <w:r w:rsidR="00883799" w:rsidRPr="00BF65B1">
        <w:rPr>
          <w:rFonts w:ascii="Times New Roman" w:eastAsia="Times New Roman" w:hAnsi="Times New Roman" w:cs="Times New Roman"/>
          <w:sz w:val="24"/>
          <w:szCs w:val="24"/>
        </w:rPr>
        <w:t xml:space="preserve">stratégie nationale d’IEC </w:t>
      </w:r>
      <w:r w:rsidRPr="00BF65B1">
        <w:rPr>
          <w:rFonts w:ascii="Times New Roman" w:eastAsia="Times New Roman" w:hAnsi="Times New Roman" w:cs="Times New Roman"/>
          <w:sz w:val="24"/>
          <w:szCs w:val="24"/>
        </w:rPr>
        <w:t xml:space="preserve">qui </w:t>
      </w:r>
      <w:r w:rsidR="00883799" w:rsidRPr="00BF65B1">
        <w:rPr>
          <w:rFonts w:ascii="Times New Roman" w:eastAsia="Times New Roman" w:hAnsi="Times New Roman" w:cs="Times New Roman"/>
          <w:sz w:val="24"/>
          <w:szCs w:val="24"/>
        </w:rPr>
        <w:t xml:space="preserve">vise à </w:t>
      </w:r>
      <w:r w:rsidRPr="00BF65B1">
        <w:rPr>
          <w:rFonts w:ascii="Times New Roman" w:eastAsia="Times New Roman" w:hAnsi="Times New Roman" w:cs="Times New Roman"/>
          <w:sz w:val="24"/>
          <w:szCs w:val="24"/>
        </w:rPr>
        <w:t>in</w:t>
      </w:r>
      <w:r w:rsidR="00883799" w:rsidRPr="00BF65B1">
        <w:rPr>
          <w:rFonts w:ascii="Times New Roman" w:eastAsia="Times New Roman" w:hAnsi="Times New Roman" w:cs="Times New Roman"/>
          <w:sz w:val="24"/>
          <w:szCs w:val="24"/>
        </w:rPr>
        <w:t>form</w:t>
      </w:r>
      <w:r w:rsidRPr="00BF65B1">
        <w:rPr>
          <w:rFonts w:ascii="Times New Roman" w:eastAsia="Times New Roman" w:hAnsi="Times New Roman" w:cs="Times New Roman"/>
          <w:sz w:val="24"/>
          <w:szCs w:val="24"/>
        </w:rPr>
        <w:t>er</w:t>
      </w:r>
      <w:r w:rsidR="00883799" w:rsidRPr="00BF65B1">
        <w:rPr>
          <w:rFonts w:ascii="Times New Roman" w:hAnsi="Times New Roman" w:cs="Times New Roman"/>
          <w:sz w:val="24"/>
          <w:szCs w:val="24"/>
        </w:rPr>
        <w:t xml:space="preserve"> et </w:t>
      </w:r>
      <w:r w:rsidRPr="00BF65B1">
        <w:rPr>
          <w:rFonts w:ascii="Times New Roman" w:hAnsi="Times New Roman" w:cs="Times New Roman"/>
          <w:sz w:val="24"/>
          <w:szCs w:val="24"/>
        </w:rPr>
        <w:t>à</w:t>
      </w:r>
      <w:r w:rsidR="00B74DEB">
        <w:rPr>
          <w:rFonts w:ascii="Times New Roman" w:hAnsi="Times New Roman" w:cs="Times New Roman"/>
          <w:sz w:val="24"/>
          <w:szCs w:val="24"/>
        </w:rPr>
        <w:t xml:space="preserve"> </w:t>
      </w:r>
      <w:r w:rsidR="00883799" w:rsidRPr="00BF65B1">
        <w:rPr>
          <w:rFonts w:ascii="Times New Roman" w:eastAsia="Times New Roman" w:hAnsi="Times New Roman" w:cs="Times New Roman"/>
          <w:sz w:val="24"/>
          <w:szCs w:val="24"/>
        </w:rPr>
        <w:t>sensibilis</w:t>
      </w:r>
      <w:r w:rsidRPr="00BF65B1">
        <w:rPr>
          <w:rFonts w:ascii="Times New Roman" w:eastAsia="Times New Roman" w:hAnsi="Times New Roman" w:cs="Times New Roman"/>
          <w:sz w:val="24"/>
          <w:szCs w:val="24"/>
        </w:rPr>
        <w:t xml:space="preserve">er les communautés locales sur </w:t>
      </w:r>
      <w:r w:rsidRPr="00BF65B1">
        <w:rPr>
          <w:rFonts w:ascii="Times New Roman" w:hAnsi="Times New Roman" w:cs="Times New Roman"/>
          <w:sz w:val="24"/>
          <w:szCs w:val="24"/>
        </w:rPr>
        <w:t xml:space="preserve">l’environnement et </w:t>
      </w:r>
      <w:r w:rsidR="00883799" w:rsidRPr="00BF65B1">
        <w:rPr>
          <w:rFonts w:ascii="Times New Roman" w:hAnsi="Times New Roman" w:cs="Times New Roman"/>
          <w:sz w:val="24"/>
          <w:szCs w:val="24"/>
        </w:rPr>
        <w:t xml:space="preserve">l’importance qu’il y a </w:t>
      </w:r>
      <w:r w:rsidRPr="00BF65B1">
        <w:rPr>
          <w:rFonts w:ascii="Times New Roman" w:hAnsi="Times New Roman" w:cs="Times New Roman"/>
          <w:sz w:val="24"/>
          <w:szCs w:val="24"/>
        </w:rPr>
        <w:t xml:space="preserve">de </w:t>
      </w:r>
      <w:r w:rsidR="00883799" w:rsidRPr="00BF65B1">
        <w:rPr>
          <w:rFonts w:ascii="Times New Roman" w:hAnsi="Times New Roman" w:cs="Times New Roman"/>
          <w:sz w:val="24"/>
          <w:szCs w:val="24"/>
        </w:rPr>
        <w:t>le protéger, ainsi que des conséquences des menaces environnementales sur l’humanité</w:t>
      </w:r>
      <w:r w:rsidRPr="00BF65B1">
        <w:rPr>
          <w:rFonts w:ascii="Times New Roman" w:hAnsi="Times New Roman" w:cs="Times New Roman"/>
          <w:sz w:val="24"/>
          <w:szCs w:val="24"/>
        </w:rPr>
        <w:t xml:space="preserve">. </w:t>
      </w:r>
      <w:r w:rsidR="00883799" w:rsidRPr="00BF65B1">
        <w:rPr>
          <w:rFonts w:ascii="Times New Roman" w:eastAsia="Times New Roman" w:hAnsi="Times New Roman" w:cs="Times New Roman"/>
          <w:sz w:val="24"/>
          <w:szCs w:val="24"/>
        </w:rPr>
        <w:t>Dans cette optique</w:t>
      </w:r>
      <w:r w:rsidR="00883799" w:rsidRPr="00BF65B1">
        <w:rPr>
          <w:rFonts w:ascii="Times New Roman" w:eastAsia="Times New Roman" w:hAnsi="Times New Roman" w:cs="Times New Roman"/>
          <w:b/>
          <w:sz w:val="24"/>
          <w:szCs w:val="24"/>
        </w:rPr>
        <w:t xml:space="preserve">, trois (3) catégories de cibles clés ont été identifiées : </w:t>
      </w:r>
    </w:p>
    <w:p w14:paraId="2F26DDB4" w14:textId="7EF10139" w:rsidR="00883799" w:rsidRPr="00BF65B1" w:rsidRDefault="0081313C" w:rsidP="00E50666">
      <w:pPr>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c</w:t>
      </w:r>
      <w:r w:rsidR="00883799" w:rsidRPr="00BF65B1">
        <w:rPr>
          <w:rFonts w:ascii="Times New Roman" w:hAnsi="Times New Roman" w:cs="Times New Roman"/>
          <w:b/>
          <w:sz w:val="24"/>
          <w:szCs w:val="24"/>
        </w:rPr>
        <w:t xml:space="preserve">ibles impliquées dans la déforestation, le déboisement, </w:t>
      </w:r>
      <w:r w:rsidR="00B74DEB">
        <w:rPr>
          <w:rFonts w:ascii="Times New Roman" w:hAnsi="Times New Roman" w:cs="Times New Roman"/>
          <w:b/>
          <w:sz w:val="24"/>
          <w:szCs w:val="24"/>
        </w:rPr>
        <w:t xml:space="preserve">la </w:t>
      </w:r>
      <w:r w:rsidR="00883799" w:rsidRPr="00BF65B1">
        <w:rPr>
          <w:rFonts w:ascii="Times New Roman" w:hAnsi="Times New Roman" w:cs="Times New Roman"/>
          <w:b/>
          <w:sz w:val="24"/>
          <w:szCs w:val="24"/>
        </w:rPr>
        <w:t xml:space="preserve">dégradation des sols et la pollution : </w:t>
      </w:r>
      <w:r w:rsidR="00883799" w:rsidRPr="00BF65B1">
        <w:rPr>
          <w:rFonts w:ascii="Times New Roman" w:hAnsi="Times New Roman" w:cs="Times New Roman"/>
          <w:sz w:val="24"/>
          <w:szCs w:val="24"/>
        </w:rPr>
        <w:t>exploitants et commerçants des produits forestiers, exploitants minie</w:t>
      </w:r>
      <w:r>
        <w:rPr>
          <w:rFonts w:ascii="Times New Roman" w:hAnsi="Times New Roman" w:cs="Times New Roman"/>
          <w:sz w:val="24"/>
          <w:szCs w:val="24"/>
        </w:rPr>
        <w:t>rs, agriculteurs, consommateurs ;</w:t>
      </w:r>
    </w:p>
    <w:p w14:paraId="0114150A" w14:textId="27DD609A" w:rsidR="00883799" w:rsidRPr="00BF65B1" w:rsidRDefault="0081313C" w:rsidP="00E50666">
      <w:pPr>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c</w:t>
      </w:r>
      <w:r w:rsidR="00883799" w:rsidRPr="00BF65B1">
        <w:rPr>
          <w:rFonts w:ascii="Times New Roman" w:hAnsi="Times New Roman" w:cs="Times New Roman"/>
          <w:b/>
          <w:sz w:val="24"/>
          <w:szCs w:val="24"/>
        </w:rPr>
        <w:t xml:space="preserve">ibles impliquées dans la protection de l’environnement et des ressources naturelles et acteurs associés : </w:t>
      </w:r>
      <w:r w:rsidR="00883799" w:rsidRPr="00BF65B1">
        <w:rPr>
          <w:rFonts w:ascii="Times New Roman" w:hAnsi="Times New Roman" w:cs="Times New Roman"/>
          <w:sz w:val="24"/>
          <w:szCs w:val="24"/>
        </w:rPr>
        <w:t>décideurs politiques, décideurs économiques, chercheurs, cadres de l’Administration Publique, coordinateurs et membres des comités de pilotage des Programmes et Projets à caractère environnemental, membres des Comités Nationaux de différentes thématiques du PRCGE, leaders de la Société civile et des Associations (Syndicats, ONG et associations, organisations paysannes, orga</w:t>
      </w:r>
      <w:r>
        <w:rPr>
          <w:rFonts w:ascii="Times New Roman" w:hAnsi="Times New Roman" w:cs="Times New Roman"/>
          <w:sz w:val="24"/>
          <w:szCs w:val="24"/>
        </w:rPr>
        <w:t>nisations à base communautaire) ;</w:t>
      </w:r>
    </w:p>
    <w:p w14:paraId="7A77E184" w14:textId="7EC8E582" w:rsidR="00883799" w:rsidRPr="00BF65B1" w:rsidRDefault="0081313C" w:rsidP="00E50666">
      <w:pPr>
        <w:numPr>
          <w:ilvl w:val="0"/>
          <w:numId w:val="4"/>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w:t>
      </w:r>
      <w:r w:rsidR="00883799" w:rsidRPr="00BF65B1">
        <w:rPr>
          <w:rFonts w:ascii="Times New Roman" w:hAnsi="Times New Roman" w:cs="Times New Roman"/>
          <w:b/>
          <w:sz w:val="24"/>
          <w:szCs w:val="24"/>
        </w:rPr>
        <w:t xml:space="preserve">utres cibles : </w:t>
      </w:r>
      <w:r w:rsidR="00883799" w:rsidRPr="00BF65B1">
        <w:rPr>
          <w:rFonts w:ascii="Times New Roman" w:hAnsi="Times New Roman" w:cs="Times New Roman"/>
          <w:sz w:val="24"/>
          <w:szCs w:val="24"/>
        </w:rPr>
        <w:t>médias</w:t>
      </w:r>
      <w:r w:rsidR="00883799" w:rsidRPr="00BF65B1">
        <w:rPr>
          <w:rFonts w:ascii="Times New Roman" w:hAnsi="Times New Roman" w:cs="Times New Roman"/>
          <w:b/>
          <w:sz w:val="24"/>
          <w:szCs w:val="24"/>
        </w:rPr>
        <w:t xml:space="preserve">, </w:t>
      </w:r>
      <w:r w:rsidR="00883799" w:rsidRPr="00BF65B1">
        <w:rPr>
          <w:rFonts w:ascii="Times New Roman" w:hAnsi="Times New Roman" w:cs="Times New Roman"/>
          <w:sz w:val="24"/>
          <w:szCs w:val="24"/>
        </w:rPr>
        <w:t>chargés de communication à la Présidence de la République, chargés de communication à la Primature, chargés de communication des Ministères, chargé</w:t>
      </w:r>
      <w:r>
        <w:rPr>
          <w:rFonts w:ascii="Times New Roman" w:hAnsi="Times New Roman" w:cs="Times New Roman"/>
          <w:sz w:val="24"/>
          <w:szCs w:val="24"/>
        </w:rPr>
        <w:t>s</w:t>
      </w:r>
      <w:r w:rsidR="00883799" w:rsidRPr="00BF65B1">
        <w:rPr>
          <w:rFonts w:ascii="Times New Roman" w:hAnsi="Times New Roman" w:cs="Times New Roman"/>
          <w:sz w:val="24"/>
          <w:szCs w:val="24"/>
        </w:rPr>
        <w:t xml:space="preserve"> de communication des PTF, points focaux des AME.</w:t>
      </w:r>
    </w:p>
    <w:p w14:paraId="641390B2" w14:textId="77777777" w:rsidR="00A05444" w:rsidRDefault="00A05444" w:rsidP="00254C9C">
      <w:pPr>
        <w:autoSpaceDE w:val="0"/>
        <w:autoSpaceDN w:val="0"/>
        <w:adjustRightInd w:val="0"/>
        <w:spacing w:after="0" w:line="240" w:lineRule="auto"/>
        <w:jc w:val="both"/>
        <w:rPr>
          <w:rFonts w:ascii="Times New Roman" w:hAnsi="Times New Roman" w:cs="Times New Roman"/>
          <w:sz w:val="24"/>
          <w:szCs w:val="24"/>
        </w:rPr>
      </w:pPr>
    </w:p>
    <w:p w14:paraId="5DA2D8E6" w14:textId="1843045C" w:rsidR="00AF76C5" w:rsidRPr="00BF65B1" w:rsidRDefault="00AF76C5" w:rsidP="00254C9C">
      <w:pPr>
        <w:autoSpaceDE w:val="0"/>
        <w:autoSpaceDN w:val="0"/>
        <w:adjustRightInd w:val="0"/>
        <w:spacing w:after="0" w:line="240" w:lineRule="auto"/>
        <w:jc w:val="both"/>
        <w:rPr>
          <w:rFonts w:ascii="Times New Roman" w:hAnsi="Times New Roman" w:cs="Times New Roman"/>
          <w:sz w:val="24"/>
          <w:szCs w:val="24"/>
        </w:rPr>
      </w:pPr>
      <w:r w:rsidRPr="00BF65B1">
        <w:rPr>
          <w:rFonts w:ascii="Times New Roman" w:hAnsi="Times New Roman" w:cs="Times New Roman"/>
          <w:sz w:val="24"/>
          <w:szCs w:val="24"/>
        </w:rPr>
        <w:t>En 2011</w:t>
      </w:r>
      <w:r w:rsidR="00B74DEB">
        <w:rPr>
          <w:rFonts w:ascii="Times New Roman" w:hAnsi="Times New Roman" w:cs="Times New Roman"/>
          <w:sz w:val="24"/>
          <w:szCs w:val="24"/>
        </w:rPr>
        <w:t>,</w:t>
      </w:r>
      <w:r w:rsidRPr="00BF65B1">
        <w:rPr>
          <w:rFonts w:ascii="Times New Roman" w:hAnsi="Times New Roman" w:cs="Times New Roman"/>
          <w:sz w:val="24"/>
          <w:szCs w:val="24"/>
        </w:rPr>
        <w:t xml:space="preserve"> lors de l’élaboration de la Politique Forestière du Togo et de son Programme d’Action Forestier National, une stratégie de communication a été adoptée pour accompagner le processus d’activités de sensibilisation, de mobilisation et de formation visant la promotion d’une gestion participative, rationnelle et durable des ressources forestières du pays.</w:t>
      </w:r>
    </w:p>
    <w:p w14:paraId="4B67E065" w14:textId="77777777" w:rsidR="00064B59" w:rsidRPr="005247CF" w:rsidRDefault="00064B59" w:rsidP="00254C9C">
      <w:pPr>
        <w:pStyle w:val="Commentaire"/>
        <w:spacing w:after="0"/>
        <w:jc w:val="both"/>
        <w:rPr>
          <w:rFonts w:ascii="Times New Roman" w:hAnsi="Times New Roman" w:cs="Times New Roman"/>
          <w:i/>
          <w:iCs/>
          <w:sz w:val="24"/>
          <w:szCs w:val="24"/>
          <w:lang w:val="fr-CA"/>
        </w:rPr>
      </w:pPr>
    </w:p>
    <w:p w14:paraId="6B1871A8" w14:textId="7C19AB87" w:rsidR="00D80CC7" w:rsidRPr="005247CF" w:rsidRDefault="00D80CC7" w:rsidP="00254C9C">
      <w:pPr>
        <w:autoSpaceDE w:val="0"/>
        <w:autoSpaceDN w:val="0"/>
        <w:adjustRightInd w:val="0"/>
        <w:spacing w:after="0" w:line="240" w:lineRule="auto"/>
        <w:jc w:val="both"/>
        <w:rPr>
          <w:rFonts w:ascii="Times New Roman" w:hAnsi="Times New Roman" w:cs="Times New Roman"/>
          <w:color w:val="000000"/>
          <w:sz w:val="24"/>
          <w:szCs w:val="24"/>
        </w:rPr>
      </w:pPr>
      <w:r w:rsidRPr="005247CF">
        <w:rPr>
          <w:rFonts w:ascii="Times New Roman" w:hAnsi="Times New Roman" w:cs="Times New Roman"/>
          <w:bCs/>
          <w:color w:val="000000"/>
          <w:sz w:val="24"/>
          <w:szCs w:val="24"/>
        </w:rPr>
        <w:t>En 2016, l</w:t>
      </w:r>
      <w:r w:rsidRPr="00D80CC7">
        <w:rPr>
          <w:rFonts w:ascii="Times New Roman" w:hAnsi="Times New Roman" w:cs="Times New Roman"/>
          <w:bCs/>
          <w:color w:val="000000"/>
          <w:sz w:val="24"/>
          <w:szCs w:val="24"/>
        </w:rPr>
        <w:t xml:space="preserve">a </w:t>
      </w:r>
      <w:r w:rsidR="005247CF" w:rsidRPr="005247CF">
        <w:rPr>
          <w:rFonts w:ascii="Times New Roman" w:hAnsi="Times New Roman" w:cs="Times New Roman"/>
          <w:bCs/>
          <w:color w:val="000000"/>
          <w:sz w:val="24"/>
          <w:szCs w:val="24"/>
        </w:rPr>
        <w:t xml:space="preserve">coordination </w:t>
      </w:r>
      <w:r w:rsidRPr="005247CF">
        <w:rPr>
          <w:rFonts w:ascii="Times New Roman" w:hAnsi="Times New Roman" w:cs="Times New Roman"/>
          <w:color w:val="000000"/>
          <w:sz w:val="24"/>
          <w:szCs w:val="24"/>
        </w:rPr>
        <w:t>REDD+</w:t>
      </w:r>
      <w:r w:rsidR="005247CF" w:rsidRPr="005247CF">
        <w:rPr>
          <w:rFonts w:ascii="Times New Roman" w:hAnsi="Times New Roman" w:cs="Times New Roman"/>
          <w:color w:val="000000"/>
          <w:sz w:val="24"/>
          <w:szCs w:val="24"/>
        </w:rPr>
        <w:t xml:space="preserve"> (réduction des émissions due à la déforestation et à la dégradation des forêts et le rôle de la conservation, de la gestion durable des forêts et de l’accroissement des stocks de carbone forestiers dans les pays en développement, a élaboré sa stratégie de communication afin d’</w:t>
      </w:r>
      <w:r w:rsidRPr="005247CF">
        <w:rPr>
          <w:rFonts w:ascii="Times New Roman" w:hAnsi="Times New Roman" w:cs="Times New Roman"/>
          <w:color w:val="000000"/>
          <w:sz w:val="24"/>
          <w:szCs w:val="24"/>
        </w:rPr>
        <w:t xml:space="preserve">influencer les connaissances, habitudes et comportement des populations pour construire de nouvelles opinions et attitudes sur les liens entre déforestation, dégradation des forêts et changements climatiques. </w:t>
      </w:r>
      <w:r w:rsidR="005247CF" w:rsidRPr="005247CF">
        <w:rPr>
          <w:rFonts w:ascii="Times New Roman" w:hAnsi="Times New Roman" w:cs="Times New Roman"/>
          <w:color w:val="000000"/>
          <w:sz w:val="24"/>
          <w:szCs w:val="24"/>
        </w:rPr>
        <w:t>Cette stratégie permet</w:t>
      </w:r>
      <w:r w:rsidRPr="005247CF">
        <w:rPr>
          <w:rFonts w:ascii="Times New Roman" w:hAnsi="Times New Roman" w:cs="Times New Roman"/>
          <w:color w:val="000000"/>
          <w:sz w:val="24"/>
          <w:szCs w:val="24"/>
        </w:rPr>
        <w:t xml:space="preserve"> aussi de changer la perception du public cible sur d’autres thématiques tels que la gestion des forêts et des arbres hors forêts, les pratiques agricoles qui préservent la forêt, l’usage des ressources énergétiques propres</w:t>
      </w:r>
      <w:r w:rsidR="0081313C">
        <w:rPr>
          <w:rFonts w:ascii="Times New Roman" w:hAnsi="Times New Roman" w:cs="Times New Roman"/>
          <w:color w:val="000000"/>
          <w:sz w:val="24"/>
          <w:szCs w:val="24"/>
        </w:rPr>
        <w:t>,</w:t>
      </w:r>
      <w:r w:rsidRPr="005247CF">
        <w:rPr>
          <w:rFonts w:ascii="Times New Roman" w:hAnsi="Times New Roman" w:cs="Times New Roman"/>
          <w:color w:val="000000"/>
          <w:sz w:val="24"/>
          <w:szCs w:val="24"/>
        </w:rPr>
        <w:t xml:space="preserve"> etc.</w:t>
      </w:r>
    </w:p>
    <w:p w14:paraId="23CD3A9C" w14:textId="77777777" w:rsidR="00D80CC7" w:rsidRPr="005247CF" w:rsidRDefault="00D80CC7" w:rsidP="00254C9C">
      <w:pPr>
        <w:pStyle w:val="Commentaire"/>
        <w:spacing w:after="0"/>
        <w:jc w:val="both"/>
        <w:rPr>
          <w:rFonts w:ascii="Times New Roman" w:hAnsi="Times New Roman" w:cs="Times New Roman"/>
          <w:i/>
          <w:iCs/>
          <w:sz w:val="24"/>
          <w:szCs w:val="24"/>
          <w:lang w:val="fr-CA"/>
        </w:rPr>
      </w:pPr>
    </w:p>
    <w:p w14:paraId="134E40D3" w14:textId="2574ECBC" w:rsidR="00064B59" w:rsidRPr="00BF65B1" w:rsidRDefault="00883799" w:rsidP="00254C9C">
      <w:pPr>
        <w:pStyle w:val="Paragraphedeliste"/>
        <w:spacing w:after="0" w:line="240" w:lineRule="auto"/>
        <w:ind w:left="0"/>
        <w:jc w:val="both"/>
        <w:rPr>
          <w:rFonts w:ascii="Times New Roman" w:hAnsi="Times New Roman" w:cs="Times New Roman"/>
          <w:iCs/>
          <w:sz w:val="24"/>
          <w:szCs w:val="24"/>
          <w:lang w:val="fr-CA"/>
        </w:rPr>
      </w:pPr>
      <w:r w:rsidRPr="00BF65B1">
        <w:rPr>
          <w:rFonts w:ascii="Times New Roman" w:hAnsi="Times New Roman" w:cs="Times New Roman"/>
          <w:sz w:val="24"/>
          <w:szCs w:val="24"/>
        </w:rPr>
        <w:t>En outre</w:t>
      </w:r>
      <w:r w:rsidR="00B74DEB">
        <w:rPr>
          <w:rFonts w:ascii="Times New Roman" w:hAnsi="Times New Roman" w:cs="Times New Roman"/>
          <w:sz w:val="24"/>
          <w:szCs w:val="24"/>
        </w:rPr>
        <w:t>,</w:t>
      </w:r>
      <w:r w:rsidRPr="00BF65B1">
        <w:rPr>
          <w:rFonts w:ascii="Times New Roman" w:hAnsi="Times New Roman" w:cs="Times New Roman"/>
          <w:sz w:val="24"/>
          <w:szCs w:val="24"/>
        </w:rPr>
        <w:t xml:space="preserve"> d</w:t>
      </w:r>
      <w:r w:rsidR="00064B59" w:rsidRPr="00BF65B1">
        <w:rPr>
          <w:rFonts w:ascii="Times New Roman" w:hAnsi="Times New Roman" w:cs="Times New Roman"/>
          <w:sz w:val="24"/>
          <w:szCs w:val="24"/>
        </w:rPr>
        <w:t xml:space="preserve">es </w:t>
      </w:r>
      <w:r w:rsidR="00064B59" w:rsidRPr="00BF65B1">
        <w:rPr>
          <w:rFonts w:ascii="Times New Roman" w:hAnsi="Times New Roman" w:cs="Times New Roman"/>
          <w:iCs/>
          <w:sz w:val="24"/>
          <w:szCs w:val="24"/>
          <w:lang w:val="fr-CA"/>
        </w:rPr>
        <w:t xml:space="preserve">programmes scientifiques citoyens </w:t>
      </w:r>
      <w:r w:rsidRPr="00BF65B1">
        <w:rPr>
          <w:rFonts w:ascii="Times New Roman" w:hAnsi="Times New Roman" w:cs="Times New Roman"/>
          <w:iCs/>
          <w:sz w:val="24"/>
          <w:szCs w:val="24"/>
          <w:lang w:val="fr-CA"/>
        </w:rPr>
        <w:t>existent et</w:t>
      </w:r>
      <w:r w:rsidR="00064B59" w:rsidRPr="00BF65B1">
        <w:rPr>
          <w:rFonts w:ascii="Times New Roman" w:hAnsi="Times New Roman" w:cs="Times New Roman"/>
          <w:iCs/>
          <w:sz w:val="24"/>
          <w:szCs w:val="24"/>
          <w:lang w:val="fr-CA"/>
        </w:rPr>
        <w:t xml:space="preserve"> comprennent la collecte de donné</w:t>
      </w:r>
      <w:r w:rsidRPr="00BF65B1">
        <w:rPr>
          <w:rFonts w:ascii="Times New Roman" w:hAnsi="Times New Roman" w:cs="Times New Roman"/>
          <w:iCs/>
          <w:sz w:val="24"/>
          <w:szCs w:val="24"/>
          <w:lang w:val="fr-CA"/>
        </w:rPr>
        <w:t>es sur les plantes au Togo. Ils concernent</w:t>
      </w:r>
      <w:r w:rsidR="00B74DEB">
        <w:rPr>
          <w:rFonts w:ascii="Times New Roman" w:hAnsi="Times New Roman" w:cs="Times New Roman"/>
          <w:iCs/>
          <w:sz w:val="24"/>
          <w:szCs w:val="24"/>
          <w:lang w:val="fr-CA"/>
        </w:rPr>
        <w:t xml:space="preserve"> </w:t>
      </w:r>
      <w:r w:rsidR="00064B59" w:rsidRPr="00BF65B1">
        <w:rPr>
          <w:rFonts w:ascii="Times New Roman" w:hAnsi="Times New Roman" w:cs="Times New Roman"/>
          <w:iCs/>
          <w:sz w:val="24"/>
          <w:szCs w:val="24"/>
          <w:lang w:val="fr-CA"/>
        </w:rPr>
        <w:t>:</w:t>
      </w:r>
    </w:p>
    <w:p w14:paraId="3C19A370" w14:textId="0F5FD983" w:rsidR="00064B59" w:rsidRPr="00BF65B1" w:rsidRDefault="0081313C" w:rsidP="00E50666">
      <w:pPr>
        <w:pStyle w:val="Paragraphedeliste"/>
        <w:numPr>
          <w:ilvl w:val="0"/>
          <w:numId w:val="54"/>
        </w:numPr>
        <w:spacing w:after="0" w:line="240" w:lineRule="auto"/>
        <w:jc w:val="both"/>
        <w:rPr>
          <w:rFonts w:ascii="Times New Roman" w:hAnsi="Times New Roman" w:cs="Times New Roman"/>
          <w:sz w:val="24"/>
          <w:szCs w:val="24"/>
        </w:rPr>
      </w:pPr>
      <w:r>
        <w:rPr>
          <w:rFonts w:ascii="Times New Roman" w:hAnsi="Times New Roman" w:cs="Times New Roman"/>
          <w:b/>
          <w:sz w:val="24"/>
          <w:szCs w:val="24"/>
          <w:lang w:val="fr-CA"/>
        </w:rPr>
        <w:t>p</w:t>
      </w:r>
      <w:r w:rsidR="00064B59" w:rsidRPr="00BF65B1">
        <w:rPr>
          <w:rFonts w:ascii="Times New Roman" w:hAnsi="Times New Roman" w:cs="Times New Roman"/>
          <w:b/>
          <w:sz w:val="24"/>
          <w:szCs w:val="24"/>
        </w:rPr>
        <w:t>réparation des prochains travaux d’inventaire</w:t>
      </w:r>
      <w:r w:rsidR="00767C27" w:rsidRPr="00BF65B1">
        <w:rPr>
          <w:rFonts w:ascii="Times New Roman" w:hAnsi="Times New Roman" w:cs="Times New Roman"/>
          <w:b/>
          <w:sz w:val="24"/>
          <w:szCs w:val="24"/>
        </w:rPr>
        <w:t xml:space="preserve"> : </w:t>
      </w:r>
      <w:r w:rsidR="00064B59" w:rsidRPr="00BF65B1">
        <w:rPr>
          <w:rFonts w:ascii="Times New Roman" w:hAnsi="Times New Roman" w:cs="Times New Roman"/>
          <w:sz w:val="24"/>
          <w:szCs w:val="24"/>
        </w:rPr>
        <w:t xml:space="preserve">il est prévu des collectes d’échantillons pour la confirmation à l’herbier national. </w:t>
      </w:r>
      <w:r w:rsidR="00767C27" w:rsidRPr="00BF65B1">
        <w:rPr>
          <w:rFonts w:ascii="Times New Roman" w:hAnsi="Times New Roman" w:cs="Times New Roman"/>
          <w:sz w:val="24"/>
          <w:szCs w:val="24"/>
        </w:rPr>
        <w:t>L</w:t>
      </w:r>
      <w:r w:rsidR="00064B59" w:rsidRPr="00BF65B1">
        <w:rPr>
          <w:rFonts w:ascii="Times New Roman" w:hAnsi="Times New Roman" w:cs="Times New Roman"/>
          <w:sz w:val="24"/>
          <w:szCs w:val="24"/>
        </w:rPr>
        <w:t xml:space="preserve">ors de cet inventaire, les régions les moins explorées jusqu’à présent par les chercheurs </w:t>
      </w:r>
      <w:r w:rsidR="00767C27" w:rsidRPr="00BF65B1">
        <w:rPr>
          <w:rFonts w:ascii="Times New Roman" w:hAnsi="Times New Roman" w:cs="Times New Roman"/>
          <w:sz w:val="24"/>
          <w:szCs w:val="24"/>
        </w:rPr>
        <w:t>feront</w:t>
      </w:r>
      <w:r w:rsidR="00064B59" w:rsidRPr="00BF65B1">
        <w:rPr>
          <w:rFonts w:ascii="Times New Roman" w:hAnsi="Times New Roman" w:cs="Times New Roman"/>
          <w:sz w:val="24"/>
          <w:szCs w:val="24"/>
        </w:rPr>
        <w:t xml:space="preserve"> l’objet de récoltes systématiques. Les </w:t>
      </w:r>
      <w:r w:rsidR="00064B59" w:rsidRPr="008E7470">
        <w:rPr>
          <w:rFonts w:ascii="Times New Roman" w:hAnsi="Times New Roman" w:cs="Times New Roman"/>
          <w:sz w:val="24"/>
          <w:szCs w:val="24"/>
        </w:rPr>
        <w:t xml:space="preserve">zones en question sont mises en relief sur la carte du Togo disponibles sur GBIF (Figure </w:t>
      </w:r>
      <w:r w:rsidR="008E7470" w:rsidRPr="008E7470">
        <w:rPr>
          <w:rFonts w:ascii="Times New Roman" w:hAnsi="Times New Roman" w:cs="Times New Roman"/>
          <w:sz w:val="24"/>
          <w:szCs w:val="24"/>
        </w:rPr>
        <w:t>14</w:t>
      </w:r>
      <w:r>
        <w:rPr>
          <w:rFonts w:ascii="Times New Roman" w:hAnsi="Times New Roman" w:cs="Times New Roman"/>
          <w:sz w:val="24"/>
          <w:szCs w:val="24"/>
        </w:rPr>
        <w:t>) ;</w:t>
      </w:r>
    </w:p>
    <w:p w14:paraId="7B6905CC" w14:textId="2783EDFB" w:rsidR="00B74DEB" w:rsidRPr="00B74DEB" w:rsidRDefault="0081313C" w:rsidP="00E50666">
      <w:pPr>
        <w:pStyle w:val="Paragraphedeliste"/>
        <w:numPr>
          <w:ilvl w:val="0"/>
          <w:numId w:val="54"/>
        </w:num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sz w:val="24"/>
          <w:szCs w:val="24"/>
        </w:rPr>
        <w:t>s</w:t>
      </w:r>
      <w:r w:rsidR="00064B59" w:rsidRPr="00B74DEB">
        <w:rPr>
          <w:rFonts w:ascii="Times New Roman" w:hAnsi="Times New Roman" w:cs="Times New Roman"/>
          <w:b/>
          <w:sz w:val="24"/>
          <w:szCs w:val="24"/>
        </w:rPr>
        <w:t>uivi des espèces et élaboration d’une liste rouge nationale</w:t>
      </w:r>
      <w:r w:rsidR="00767C27" w:rsidRPr="00B74DEB">
        <w:rPr>
          <w:rFonts w:ascii="Times New Roman" w:hAnsi="Times New Roman" w:cs="Times New Roman"/>
          <w:b/>
          <w:sz w:val="24"/>
          <w:szCs w:val="24"/>
        </w:rPr>
        <w:t xml:space="preserve"> : </w:t>
      </w:r>
      <w:r w:rsidR="00767C27" w:rsidRPr="00B74DEB">
        <w:rPr>
          <w:rFonts w:ascii="Times New Roman" w:hAnsi="Times New Roman" w:cs="Times New Roman"/>
          <w:sz w:val="24"/>
          <w:szCs w:val="24"/>
        </w:rPr>
        <w:t xml:space="preserve">Le Togo compte </w:t>
      </w:r>
      <w:r w:rsidR="00064B59" w:rsidRPr="00B74DEB">
        <w:rPr>
          <w:rFonts w:ascii="Times New Roman" w:hAnsi="Times New Roman" w:cs="Times New Roman"/>
          <w:sz w:val="24"/>
          <w:szCs w:val="24"/>
        </w:rPr>
        <w:t xml:space="preserve">2,4% </w:t>
      </w:r>
      <w:r w:rsidR="00767C27" w:rsidRPr="00B74DEB">
        <w:rPr>
          <w:rFonts w:ascii="Times New Roman" w:hAnsi="Times New Roman" w:cs="Times New Roman"/>
          <w:sz w:val="24"/>
          <w:szCs w:val="24"/>
        </w:rPr>
        <w:t>d’</w:t>
      </w:r>
      <w:r w:rsidR="00064B59" w:rsidRPr="00B74DEB">
        <w:rPr>
          <w:rFonts w:ascii="Times New Roman" w:hAnsi="Times New Roman" w:cs="Times New Roman"/>
          <w:sz w:val="24"/>
          <w:szCs w:val="24"/>
        </w:rPr>
        <w:t>espèces</w:t>
      </w:r>
      <w:r w:rsidR="00767C27" w:rsidRPr="00B74DEB">
        <w:rPr>
          <w:rFonts w:ascii="Times New Roman" w:hAnsi="Times New Roman" w:cs="Times New Roman"/>
          <w:sz w:val="24"/>
          <w:szCs w:val="24"/>
        </w:rPr>
        <w:t xml:space="preserve"> pour lesquelles</w:t>
      </w:r>
      <w:r w:rsidR="00064B59" w:rsidRPr="00B74DEB">
        <w:rPr>
          <w:rFonts w:ascii="Times New Roman" w:hAnsi="Times New Roman" w:cs="Times New Roman"/>
          <w:sz w:val="24"/>
          <w:szCs w:val="24"/>
        </w:rPr>
        <w:t xml:space="preserve"> les informations existantes à l’échelle locale (c’est-à-dire au niveau des herbiers nationaux) ne figurent pas dans les bases de données internationales utilisées classiquement pour déterminer les espèces. Particulièrement pour ces espèces, le site «Encyclopedia of Life» précise qu’aucun chercheur n’a jamais contribué à mieux les connaître et recommandent que des informations les concernant soient collectées. </w:t>
      </w:r>
      <w:r w:rsidR="00767C27" w:rsidRPr="00B74DEB">
        <w:rPr>
          <w:rFonts w:ascii="Times New Roman" w:hAnsi="Times New Roman" w:cs="Times New Roman"/>
          <w:sz w:val="24"/>
          <w:szCs w:val="24"/>
        </w:rPr>
        <w:t>Les</w:t>
      </w:r>
      <w:r w:rsidR="00B74DEB">
        <w:rPr>
          <w:rFonts w:ascii="Times New Roman" w:hAnsi="Times New Roman" w:cs="Times New Roman"/>
          <w:sz w:val="24"/>
          <w:szCs w:val="24"/>
        </w:rPr>
        <w:t xml:space="preserve"> </w:t>
      </w:r>
      <w:r w:rsidR="00767C27" w:rsidRPr="00B74DEB">
        <w:rPr>
          <w:rFonts w:ascii="Times New Roman" w:hAnsi="Times New Roman" w:cs="Times New Roman"/>
          <w:sz w:val="24"/>
          <w:szCs w:val="24"/>
        </w:rPr>
        <w:t>recherches sur</w:t>
      </w:r>
      <w:r w:rsidR="00064B59" w:rsidRPr="00B74DEB">
        <w:rPr>
          <w:rFonts w:ascii="Times New Roman" w:hAnsi="Times New Roman" w:cs="Times New Roman"/>
          <w:sz w:val="24"/>
          <w:szCs w:val="24"/>
        </w:rPr>
        <w:t xml:space="preserve"> ces espèces </w:t>
      </w:r>
      <w:r w:rsidR="00767C27" w:rsidRPr="00B74DEB">
        <w:rPr>
          <w:rFonts w:ascii="Times New Roman" w:hAnsi="Times New Roman" w:cs="Times New Roman"/>
          <w:sz w:val="24"/>
          <w:szCs w:val="24"/>
        </w:rPr>
        <w:t>permettent de les intégrer</w:t>
      </w:r>
      <w:r w:rsidR="00064B59" w:rsidRPr="00B74DEB">
        <w:rPr>
          <w:rFonts w:ascii="Times New Roman" w:hAnsi="Times New Roman" w:cs="Times New Roman"/>
          <w:sz w:val="24"/>
          <w:szCs w:val="24"/>
        </w:rPr>
        <w:t xml:space="preserve"> dans les bases de données internationa</w:t>
      </w:r>
      <w:r w:rsidR="00B74DEB">
        <w:rPr>
          <w:rFonts w:ascii="Times New Roman" w:hAnsi="Times New Roman" w:cs="Times New Roman"/>
          <w:sz w:val="24"/>
          <w:szCs w:val="24"/>
        </w:rPr>
        <w:t>les (KEY, Catalogue of Life, etc.</w:t>
      </w:r>
      <w:r w:rsidR="00064B59" w:rsidRPr="00B74DEB">
        <w:rPr>
          <w:rFonts w:ascii="Times New Roman" w:hAnsi="Times New Roman" w:cs="Times New Roman"/>
          <w:sz w:val="24"/>
          <w:szCs w:val="24"/>
        </w:rPr>
        <w:t>).</w:t>
      </w:r>
      <w:r w:rsidR="00B74DEB">
        <w:rPr>
          <w:rFonts w:ascii="Times New Roman" w:hAnsi="Times New Roman" w:cs="Times New Roman"/>
          <w:sz w:val="24"/>
          <w:szCs w:val="24"/>
        </w:rPr>
        <w:t xml:space="preserve"> </w:t>
      </w:r>
      <w:r w:rsidR="00064B59" w:rsidRPr="00B74DEB">
        <w:rPr>
          <w:rFonts w:ascii="Times New Roman" w:hAnsi="Times New Roman" w:cs="Times New Roman"/>
          <w:sz w:val="24"/>
          <w:szCs w:val="24"/>
        </w:rPr>
        <w:t xml:space="preserve">En outre, le statut d’un certain nombre d’espèces doit être clarifié à l’échelle nationale. </w:t>
      </w:r>
      <w:r w:rsidR="00767C27" w:rsidRPr="00B74DEB">
        <w:rPr>
          <w:rFonts w:ascii="Times New Roman" w:hAnsi="Times New Roman" w:cs="Times New Roman"/>
          <w:sz w:val="24"/>
          <w:szCs w:val="24"/>
        </w:rPr>
        <w:t>Les re</w:t>
      </w:r>
      <w:r w:rsidR="00B74DEB" w:rsidRPr="00B74DEB">
        <w:rPr>
          <w:rFonts w:ascii="Times New Roman" w:hAnsi="Times New Roman" w:cs="Times New Roman"/>
          <w:sz w:val="24"/>
          <w:szCs w:val="24"/>
        </w:rPr>
        <w:t>cherches en cours permettent d’</w:t>
      </w:r>
      <w:r w:rsidR="00064B59" w:rsidRPr="00B74DEB">
        <w:rPr>
          <w:rFonts w:ascii="Times New Roman" w:hAnsi="Times New Roman" w:cs="Times New Roman"/>
          <w:sz w:val="24"/>
          <w:szCs w:val="24"/>
        </w:rPr>
        <w:t xml:space="preserve">élaborer les critères d'évaluation de ces </w:t>
      </w:r>
      <w:r w:rsidR="00B74DEB" w:rsidRPr="00B74DEB">
        <w:rPr>
          <w:rFonts w:ascii="Times New Roman" w:hAnsi="Times New Roman" w:cs="Times New Roman"/>
          <w:sz w:val="24"/>
          <w:szCs w:val="24"/>
        </w:rPr>
        <w:t xml:space="preserve">espèces et des types de menaces et </w:t>
      </w:r>
      <w:r w:rsidR="00064B59" w:rsidRPr="00B74DEB">
        <w:rPr>
          <w:rFonts w:ascii="Times New Roman" w:hAnsi="Times New Roman" w:cs="Times New Roman"/>
          <w:sz w:val="24"/>
          <w:szCs w:val="24"/>
        </w:rPr>
        <w:t>appliquer les critères élaborés et validés pour mettre en place la liste rouge nationale des espèces menacées du Togo</w:t>
      </w:r>
      <w:r>
        <w:rPr>
          <w:rFonts w:ascii="Times New Roman" w:hAnsi="Times New Roman" w:cs="Times New Roman"/>
          <w:sz w:val="24"/>
          <w:szCs w:val="24"/>
        </w:rPr>
        <w:t> ;</w:t>
      </w:r>
      <w:r w:rsidR="00E77CF3" w:rsidRPr="00B74DEB">
        <w:rPr>
          <w:rFonts w:ascii="Times New Roman" w:hAnsi="Times New Roman" w:cs="Times New Roman"/>
          <w:sz w:val="24"/>
          <w:szCs w:val="24"/>
        </w:rPr>
        <w:t xml:space="preserve"> </w:t>
      </w:r>
    </w:p>
    <w:p w14:paraId="17F140E4" w14:textId="708125E0" w:rsidR="00064B59" w:rsidRPr="00B74DEB" w:rsidRDefault="0081313C" w:rsidP="00E50666">
      <w:pPr>
        <w:pStyle w:val="Paragraphedeliste"/>
        <w:numPr>
          <w:ilvl w:val="0"/>
          <w:numId w:val="55"/>
        </w:numPr>
        <w:suppressAutoHyphen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r</w:t>
      </w:r>
      <w:r w:rsidR="00064B59" w:rsidRPr="00B74DEB">
        <w:rPr>
          <w:rFonts w:ascii="Times New Roman" w:hAnsi="Times New Roman" w:cs="Times New Roman"/>
          <w:b/>
          <w:sz w:val="24"/>
          <w:szCs w:val="24"/>
        </w:rPr>
        <w:t>évision de la nomenclature des taxons</w:t>
      </w:r>
      <w:r w:rsidR="00E77CF3" w:rsidRPr="00B74DEB">
        <w:rPr>
          <w:rFonts w:ascii="Times New Roman" w:hAnsi="Times New Roman" w:cs="Times New Roman"/>
          <w:b/>
          <w:sz w:val="24"/>
          <w:szCs w:val="24"/>
        </w:rPr>
        <w:t xml:space="preserve"> : </w:t>
      </w:r>
      <w:r>
        <w:rPr>
          <w:rFonts w:ascii="Times New Roman" w:hAnsi="Times New Roman" w:cs="Times New Roman"/>
          <w:sz w:val="24"/>
          <w:szCs w:val="24"/>
        </w:rPr>
        <w:t>s</w:t>
      </w:r>
      <w:r w:rsidR="00064B59" w:rsidRPr="00B74DEB">
        <w:rPr>
          <w:rFonts w:ascii="Times New Roman" w:hAnsi="Times New Roman" w:cs="Times New Roman"/>
          <w:sz w:val="24"/>
          <w:szCs w:val="24"/>
        </w:rPr>
        <w:t xml:space="preserve">i quelques noms ont été actualisés dans la base floristique, la nomenclature essentiellement utilisée est celle de la Flora of West Tropical Africa (FWTA) et de la FTA (Flora of Tropical Africa) de Hutchinson &amp; Dalziel (1954-1972). Or, depuis lors, la nomenclature botanique a énormément évolué. </w:t>
      </w:r>
      <w:r w:rsidR="00E77CF3" w:rsidRPr="00B74DEB">
        <w:rPr>
          <w:rFonts w:ascii="Times New Roman" w:hAnsi="Times New Roman" w:cs="Times New Roman"/>
          <w:sz w:val="24"/>
          <w:szCs w:val="24"/>
        </w:rPr>
        <w:t>Des travaux sont en cours</w:t>
      </w:r>
      <w:r w:rsidR="00B74DEB">
        <w:rPr>
          <w:rFonts w:ascii="Times New Roman" w:hAnsi="Times New Roman" w:cs="Times New Roman"/>
          <w:sz w:val="24"/>
          <w:szCs w:val="24"/>
        </w:rPr>
        <w:t xml:space="preserve"> </w:t>
      </w:r>
      <w:r w:rsidR="00E77CF3" w:rsidRPr="00B74DEB">
        <w:rPr>
          <w:rFonts w:ascii="Times New Roman" w:hAnsi="Times New Roman" w:cs="Times New Roman"/>
          <w:sz w:val="24"/>
          <w:szCs w:val="24"/>
        </w:rPr>
        <w:t>pour</w:t>
      </w:r>
      <w:r w:rsidR="00064B59" w:rsidRPr="00B74DEB">
        <w:rPr>
          <w:rFonts w:ascii="Times New Roman" w:hAnsi="Times New Roman" w:cs="Times New Roman"/>
          <w:sz w:val="24"/>
          <w:szCs w:val="24"/>
        </w:rPr>
        <w:t xml:space="preserve"> revoir la nomenclature de la base floristique du Togo et en </w:t>
      </w:r>
      <w:r>
        <w:rPr>
          <w:rFonts w:ascii="Times New Roman" w:hAnsi="Times New Roman" w:cs="Times New Roman"/>
          <w:sz w:val="24"/>
          <w:szCs w:val="24"/>
        </w:rPr>
        <w:t>établir un référentiel pour la f</w:t>
      </w:r>
      <w:r w:rsidR="00064B59" w:rsidRPr="00B74DEB">
        <w:rPr>
          <w:rFonts w:ascii="Times New Roman" w:hAnsi="Times New Roman" w:cs="Times New Roman"/>
          <w:sz w:val="24"/>
          <w:szCs w:val="24"/>
        </w:rPr>
        <w:t>lore</w:t>
      </w:r>
      <w:r>
        <w:rPr>
          <w:rFonts w:ascii="Times New Roman" w:hAnsi="Times New Roman" w:cs="Times New Roman"/>
          <w:sz w:val="24"/>
          <w:szCs w:val="24"/>
        </w:rPr>
        <w:t> ;</w:t>
      </w:r>
    </w:p>
    <w:p w14:paraId="1D533622" w14:textId="293C4DB3" w:rsidR="00064B59" w:rsidRPr="00B74DEB" w:rsidRDefault="0081313C" w:rsidP="00E50666">
      <w:pPr>
        <w:pStyle w:val="Paragraphedeliste"/>
        <w:numPr>
          <w:ilvl w:val="0"/>
          <w:numId w:val="55"/>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r</w:t>
      </w:r>
      <w:r w:rsidR="00E77CF3" w:rsidRPr="00B74DEB">
        <w:rPr>
          <w:rFonts w:ascii="Times New Roman" w:hAnsi="Times New Roman" w:cs="Times New Roman"/>
          <w:b/>
          <w:sz w:val="24"/>
          <w:szCs w:val="24"/>
        </w:rPr>
        <w:t>éédition</w:t>
      </w:r>
      <w:r w:rsidR="00B74DEB">
        <w:rPr>
          <w:rFonts w:ascii="Times New Roman" w:hAnsi="Times New Roman" w:cs="Times New Roman"/>
          <w:b/>
          <w:sz w:val="24"/>
          <w:szCs w:val="24"/>
        </w:rPr>
        <w:t xml:space="preserve"> de</w:t>
      </w:r>
      <w:r w:rsidR="00064B59" w:rsidRPr="00B74DEB">
        <w:rPr>
          <w:rFonts w:ascii="Times New Roman" w:hAnsi="Times New Roman" w:cs="Times New Roman"/>
          <w:b/>
          <w:sz w:val="24"/>
          <w:szCs w:val="24"/>
        </w:rPr>
        <w:t xml:space="preserve"> la flore du Togo</w:t>
      </w:r>
      <w:r w:rsidR="00E77CF3" w:rsidRPr="00B74DEB">
        <w:rPr>
          <w:rFonts w:ascii="Times New Roman" w:hAnsi="Times New Roman" w:cs="Times New Roman"/>
          <w:b/>
          <w:sz w:val="24"/>
          <w:szCs w:val="24"/>
        </w:rPr>
        <w:t xml:space="preserve"> : </w:t>
      </w:r>
      <w:r>
        <w:rPr>
          <w:rFonts w:ascii="Times New Roman" w:hAnsi="Times New Roman" w:cs="Times New Roman"/>
          <w:sz w:val="24"/>
          <w:szCs w:val="24"/>
        </w:rPr>
        <w:t>d</w:t>
      </w:r>
      <w:r w:rsidR="00E77CF3" w:rsidRPr="00B74DEB">
        <w:rPr>
          <w:rFonts w:ascii="Times New Roman" w:hAnsi="Times New Roman" w:cs="Times New Roman"/>
          <w:sz w:val="24"/>
          <w:szCs w:val="24"/>
        </w:rPr>
        <w:t>es travaux sont en cours pour c</w:t>
      </w:r>
      <w:r w:rsidR="00064B59" w:rsidRPr="00B74DEB">
        <w:rPr>
          <w:rFonts w:ascii="Times New Roman" w:hAnsi="Times New Roman" w:cs="Times New Roman"/>
          <w:sz w:val="24"/>
          <w:szCs w:val="24"/>
        </w:rPr>
        <w:t>ompléter les données par de nouvelles parts d’herbier</w:t>
      </w:r>
      <w:r w:rsidR="00E77CF3" w:rsidRPr="00B74DEB">
        <w:rPr>
          <w:rFonts w:ascii="Times New Roman" w:hAnsi="Times New Roman" w:cs="Times New Roman"/>
          <w:sz w:val="24"/>
          <w:szCs w:val="24"/>
        </w:rPr>
        <w:t>,</w:t>
      </w:r>
      <w:r w:rsidR="00064B59" w:rsidRPr="00B74DEB">
        <w:rPr>
          <w:rFonts w:ascii="Times New Roman" w:hAnsi="Times New Roman" w:cs="Times New Roman"/>
          <w:sz w:val="24"/>
          <w:szCs w:val="24"/>
        </w:rPr>
        <w:t xml:space="preserve"> permet</w:t>
      </w:r>
      <w:r w:rsidR="00E77CF3" w:rsidRPr="00B74DEB">
        <w:rPr>
          <w:rFonts w:ascii="Times New Roman" w:hAnsi="Times New Roman" w:cs="Times New Roman"/>
          <w:sz w:val="24"/>
          <w:szCs w:val="24"/>
        </w:rPr>
        <w:t>tant</w:t>
      </w:r>
      <w:r w:rsidR="00064B59" w:rsidRPr="00B74DEB">
        <w:rPr>
          <w:rFonts w:ascii="Times New Roman" w:hAnsi="Times New Roman" w:cs="Times New Roman"/>
          <w:sz w:val="24"/>
          <w:szCs w:val="24"/>
        </w:rPr>
        <w:t xml:space="preserve"> de disposer d’éléments indispensables pour amorcer la rédaction d’une nouvelle flore du Togo sachant que la première date de 1984. Cette révision nécessite </w:t>
      </w:r>
      <w:r w:rsidR="00E77CF3" w:rsidRPr="00B74DEB">
        <w:rPr>
          <w:rFonts w:ascii="Times New Roman" w:hAnsi="Times New Roman" w:cs="Times New Roman"/>
          <w:sz w:val="24"/>
          <w:szCs w:val="24"/>
        </w:rPr>
        <w:t xml:space="preserve">un travail actuellement en cours mais timidement sur </w:t>
      </w:r>
      <w:r w:rsidR="00064B59" w:rsidRPr="00B74DEB">
        <w:rPr>
          <w:rFonts w:ascii="Times New Roman" w:hAnsi="Times New Roman" w:cs="Times New Roman"/>
          <w:sz w:val="24"/>
          <w:szCs w:val="24"/>
        </w:rPr>
        <w:t xml:space="preserve">la mobilisation de toute la bibliographie concernant chacune des familles botaniques </w:t>
      </w:r>
      <w:r w:rsidR="00E77CF3" w:rsidRPr="00B74DEB">
        <w:rPr>
          <w:rFonts w:ascii="Times New Roman" w:hAnsi="Times New Roman" w:cs="Times New Roman"/>
          <w:sz w:val="24"/>
          <w:szCs w:val="24"/>
        </w:rPr>
        <w:t>du Togo</w:t>
      </w:r>
      <w:r>
        <w:rPr>
          <w:rFonts w:ascii="Times New Roman" w:hAnsi="Times New Roman" w:cs="Times New Roman"/>
          <w:sz w:val="24"/>
          <w:szCs w:val="24"/>
        </w:rPr>
        <w:t> ;</w:t>
      </w:r>
    </w:p>
    <w:p w14:paraId="1C507EE2" w14:textId="01DE1B19" w:rsidR="00064B59" w:rsidRPr="00B74DEB" w:rsidRDefault="0081313C" w:rsidP="00E50666">
      <w:pPr>
        <w:pStyle w:val="Paragraphedeliste"/>
        <w:numPr>
          <w:ilvl w:val="0"/>
          <w:numId w:val="55"/>
        </w:numPr>
        <w:spacing w:after="0" w:line="240" w:lineRule="auto"/>
        <w:jc w:val="both"/>
        <w:rPr>
          <w:rFonts w:ascii="Times New Roman" w:hAnsi="Times New Roman" w:cs="Times New Roman"/>
          <w:b/>
          <w:sz w:val="24"/>
          <w:szCs w:val="24"/>
        </w:rPr>
      </w:pPr>
      <w:bookmarkStart w:id="84" w:name="_Toc300304844"/>
      <w:bookmarkStart w:id="85" w:name="_Toc300305259"/>
      <w:bookmarkStart w:id="86" w:name="_Toc304194915"/>
      <w:bookmarkStart w:id="87" w:name="_Toc304196213"/>
      <w:r>
        <w:rPr>
          <w:rFonts w:ascii="Times New Roman" w:hAnsi="Times New Roman" w:cs="Times New Roman"/>
          <w:b/>
          <w:sz w:val="24"/>
          <w:szCs w:val="24"/>
        </w:rPr>
        <w:t xml:space="preserve">recherche et </w:t>
      </w:r>
      <w:r w:rsidR="00064B59" w:rsidRPr="00B74DEB">
        <w:rPr>
          <w:rFonts w:ascii="Times New Roman" w:hAnsi="Times New Roman" w:cs="Times New Roman"/>
          <w:b/>
          <w:sz w:val="24"/>
          <w:szCs w:val="24"/>
        </w:rPr>
        <w:t>développement</w:t>
      </w:r>
      <w:bookmarkEnd w:id="84"/>
      <w:bookmarkEnd w:id="85"/>
      <w:bookmarkEnd w:id="86"/>
      <w:bookmarkEnd w:id="87"/>
      <w:r w:rsidR="00E77CF3" w:rsidRPr="00B74DEB">
        <w:rPr>
          <w:rFonts w:ascii="Times New Roman" w:hAnsi="Times New Roman" w:cs="Times New Roman"/>
          <w:b/>
          <w:sz w:val="24"/>
          <w:szCs w:val="24"/>
        </w:rPr>
        <w:t xml:space="preserve"> sur la flore du Togo : </w:t>
      </w:r>
      <w:r>
        <w:rPr>
          <w:rFonts w:ascii="Times New Roman" w:hAnsi="Times New Roman" w:cs="Times New Roman"/>
          <w:sz w:val="24"/>
          <w:szCs w:val="24"/>
        </w:rPr>
        <w:t>p</w:t>
      </w:r>
      <w:r w:rsidR="00064B59" w:rsidRPr="00B74DEB">
        <w:rPr>
          <w:rFonts w:ascii="Times New Roman" w:hAnsi="Times New Roman" w:cs="Times New Roman"/>
          <w:sz w:val="24"/>
          <w:szCs w:val="24"/>
        </w:rPr>
        <w:t>lusieurs travaux de recherches, pour la plupart réalisés à la Faculté des Sciences de l’Université de Lomé, donnent des connaissances assez précises sur la dynamique des écosystèmes, sur les espèces et sur les systèmes de production. Il s’agit entre autres de :</w:t>
      </w:r>
    </w:p>
    <w:p w14:paraId="57207759" w14:textId="77777777" w:rsidR="00064B59" w:rsidRPr="005B7093" w:rsidRDefault="00064B59" w:rsidP="00E50666">
      <w:pPr>
        <w:numPr>
          <w:ilvl w:val="0"/>
          <w:numId w:val="55"/>
        </w:numPr>
        <w:suppressAutoHyphens/>
        <w:autoSpaceDE w:val="0"/>
        <w:autoSpaceDN w:val="0"/>
        <w:adjustRightInd w:val="0"/>
        <w:spacing w:after="0" w:line="240" w:lineRule="auto"/>
        <w:jc w:val="both"/>
        <w:rPr>
          <w:rFonts w:ascii="Times New Roman" w:hAnsi="Times New Roman" w:cs="Times New Roman"/>
          <w:iCs/>
          <w:sz w:val="24"/>
          <w:szCs w:val="24"/>
        </w:rPr>
      </w:pPr>
      <w:r w:rsidRPr="005B7093">
        <w:rPr>
          <w:rFonts w:ascii="Times New Roman" w:hAnsi="Times New Roman" w:cs="Times New Roman"/>
          <w:iCs/>
          <w:sz w:val="24"/>
          <w:szCs w:val="24"/>
        </w:rPr>
        <w:t xml:space="preserve">recherches sur les forêts semi-décidues, les forêts sacrées, les forêts denses sèches, les forêts claires à </w:t>
      </w:r>
      <w:r w:rsidRPr="005B7093">
        <w:rPr>
          <w:rFonts w:ascii="Times New Roman" w:hAnsi="Times New Roman" w:cs="Times New Roman"/>
          <w:i/>
          <w:iCs/>
          <w:sz w:val="24"/>
          <w:szCs w:val="24"/>
        </w:rPr>
        <w:t>Isoberlinia</w:t>
      </w:r>
      <w:r w:rsidRPr="005B7093">
        <w:rPr>
          <w:rFonts w:ascii="Times New Roman" w:hAnsi="Times New Roman" w:cs="Times New Roman"/>
          <w:iCs/>
          <w:sz w:val="24"/>
          <w:szCs w:val="24"/>
        </w:rPr>
        <w:t xml:space="preserve">, les forêts claires à </w:t>
      </w:r>
      <w:r w:rsidRPr="005B7093">
        <w:rPr>
          <w:rFonts w:ascii="Times New Roman" w:hAnsi="Times New Roman" w:cs="Times New Roman"/>
          <w:i/>
          <w:iCs/>
          <w:sz w:val="24"/>
          <w:szCs w:val="24"/>
        </w:rPr>
        <w:t>Anogeissus</w:t>
      </w:r>
      <w:r w:rsidRPr="005B7093">
        <w:rPr>
          <w:rFonts w:ascii="Times New Roman" w:hAnsi="Times New Roman" w:cs="Times New Roman"/>
          <w:iCs/>
          <w:sz w:val="24"/>
          <w:szCs w:val="24"/>
        </w:rPr>
        <w:t>, les aires protégées ;</w:t>
      </w:r>
    </w:p>
    <w:p w14:paraId="138F639B" w14:textId="5B9FB88D" w:rsidR="00064B59" w:rsidRPr="005B7093" w:rsidRDefault="00B74DEB" w:rsidP="00E50666">
      <w:pPr>
        <w:numPr>
          <w:ilvl w:val="0"/>
          <w:numId w:val="55"/>
        </w:numPr>
        <w:suppressAutoHyphens/>
        <w:autoSpaceDE w:val="0"/>
        <w:autoSpaceDN w:val="0"/>
        <w:adjustRightInd w:val="0"/>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recherches </w:t>
      </w:r>
      <w:r w:rsidR="00064B59" w:rsidRPr="005B7093">
        <w:rPr>
          <w:rFonts w:ascii="Times New Roman" w:hAnsi="Times New Roman" w:cs="Times New Roman"/>
          <w:iCs/>
          <w:sz w:val="24"/>
          <w:szCs w:val="24"/>
        </w:rPr>
        <w:t>sur</w:t>
      </w:r>
      <w:r w:rsidR="00064B59" w:rsidRPr="005B7093">
        <w:rPr>
          <w:rFonts w:ascii="Times New Roman" w:hAnsi="Times New Roman" w:cs="Times New Roman"/>
          <w:i/>
          <w:iCs/>
          <w:sz w:val="24"/>
          <w:szCs w:val="24"/>
        </w:rPr>
        <w:t xml:space="preserve"> </w:t>
      </w:r>
      <w:r>
        <w:rPr>
          <w:rFonts w:ascii="Times New Roman" w:hAnsi="Times New Roman" w:cs="Times New Roman"/>
          <w:i/>
          <w:iCs/>
          <w:sz w:val="24"/>
          <w:szCs w:val="24"/>
        </w:rPr>
        <w:t xml:space="preserve">le </w:t>
      </w:r>
      <w:r w:rsidR="00064B59" w:rsidRPr="005B7093">
        <w:rPr>
          <w:rFonts w:ascii="Times New Roman" w:hAnsi="Times New Roman" w:cs="Times New Roman"/>
          <w:i/>
          <w:iCs/>
          <w:sz w:val="24"/>
          <w:szCs w:val="24"/>
        </w:rPr>
        <w:t xml:space="preserve">Pterocarpus erinaceus, </w:t>
      </w:r>
      <w:r>
        <w:rPr>
          <w:rFonts w:ascii="Times New Roman" w:hAnsi="Times New Roman" w:cs="Times New Roman"/>
          <w:iCs/>
          <w:sz w:val="24"/>
          <w:szCs w:val="24"/>
        </w:rPr>
        <w:t>actuellement surexploité</w:t>
      </w:r>
      <w:r w:rsidR="00064B59" w:rsidRPr="005B7093">
        <w:rPr>
          <w:rFonts w:ascii="Times New Roman" w:hAnsi="Times New Roman" w:cs="Times New Roman"/>
          <w:iCs/>
          <w:sz w:val="24"/>
          <w:szCs w:val="24"/>
        </w:rPr>
        <w:t xml:space="preserve"> dans les écosystèmes naturels</w:t>
      </w:r>
      <w:r>
        <w:rPr>
          <w:rFonts w:ascii="Times New Roman" w:hAnsi="Times New Roman" w:cs="Times New Roman"/>
          <w:iCs/>
          <w:sz w:val="24"/>
          <w:szCs w:val="24"/>
        </w:rPr>
        <w:t xml:space="preserve"> : </w:t>
      </w:r>
      <w:r w:rsidR="00064B59" w:rsidRPr="005B7093">
        <w:rPr>
          <w:rFonts w:ascii="Times New Roman" w:hAnsi="Times New Roman" w:cs="Times New Roman"/>
          <w:iCs/>
          <w:sz w:val="24"/>
          <w:szCs w:val="24"/>
        </w:rPr>
        <w:t xml:space="preserve">structures, </w:t>
      </w:r>
      <w:r w:rsidR="00064B59" w:rsidRPr="005B7093">
        <w:rPr>
          <w:rFonts w:ascii="Times New Roman" w:hAnsi="Times New Roman" w:cs="Times New Roman"/>
          <w:sz w:val="24"/>
          <w:szCs w:val="24"/>
        </w:rPr>
        <w:t xml:space="preserve">dynamique des peuplements, </w:t>
      </w:r>
      <w:r>
        <w:rPr>
          <w:rFonts w:ascii="Times New Roman" w:hAnsi="Times New Roman" w:cs="Times New Roman"/>
          <w:sz w:val="24"/>
          <w:szCs w:val="24"/>
        </w:rPr>
        <w:t xml:space="preserve">élaboration du diamètre minimal </w:t>
      </w:r>
      <w:r w:rsidR="00064B59" w:rsidRPr="005B7093">
        <w:rPr>
          <w:rFonts w:ascii="Times New Roman" w:hAnsi="Times New Roman" w:cs="Times New Roman"/>
          <w:sz w:val="24"/>
          <w:szCs w:val="24"/>
        </w:rPr>
        <w:t xml:space="preserve">d’exploitabilité, qualité du bois, essais de germination, </w:t>
      </w:r>
      <w:r w:rsidR="0030645D" w:rsidRPr="005B7093">
        <w:rPr>
          <w:rFonts w:ascii="Times New Roman" w:hAnsi="Times New Roman" w:cs="Times New Roman"/>
          <w:sz w:val="24"/>
          <w:szCs w:val="24"/>
        </w:rPr>
        <w:t xml:space="preserve">stratégie de domestication, </w:t>
      </w:r>
      <w:r w:rsidR="00064B59" w:rsidRPr="005B7093">
        <w:rPr>
          <w:rFonts w:ascii="Times New Roman" w:hAnsi="Times New Roman" w:cs="Times New Roman"/>
          <w:sz w:val="24"/>
          <w:szCs w:val="24"/>
        </w:rPr>
        <w:t>etc. </w:t>
      </w:r>
      <w:r w:rsidR="00064B59" w:rsidRPr="005B7093">
        <w:rPr>
          <w:rFonts w:ascii="Times New Roman" w:hAnsi="Times New Roman" w:cs="Times New Roman"/>
          <w:iCs/>
          <w:sz w:val="24"/>
          <w:szCs w:val="24"/>
        </w:rPr>
        <w:t>;</w:t>
      </w:r>
    </w:p>
    <w:p w14:paraId="7EECF5B7" w14:textId="77777777" w:rsidR="00064B59" w:rsidRPr="005B7093" w:rsidRDefault="00064B59" w:rsidP="00E50666">
      <w:pPr>
        <w:numPr>
          <w:ilvl w:val="0"/>
          <w:numId w:val="3"/>
        </w:numPr>
        <w:suppressAutoHyphens/>
        <w:autoSpaceDE w:val="0"/>
        <w:autoSpaceDN w:val="0"/>
        <w:adjustRightInd w:val="0"/>
        <w:spacing w:after="0" w:line="240" w:lineRule="auto"/>
        <w:jc w:val="both"/>
        <w:rPr>
          <w:rFonts w:ascii="Times New Roman" w:hAnsi="Times New Roman" w:cs="Times New Roman"/>
          <w:iCs/>
          <w:sz w:val="24"/>
          <w:szCs w:val="24"/>
        </w:rPr>
      </w:pPr>
      <w:r w:rsidRPr="005B7093">
        <w:rPr>
          <w:rFonts w:ascii="Times New Roman" w:hAnsi="Times New Roman" w:cs="Times New Roman"/>
          <w:iCs/>
          <w:sz w:val="24"/>
          <w:szCs w:val="24"/>
        </w:rPr>
        <w:t>é</w:t>
      </w:r>
      <w:r w:rsidRPr="005B7093">
        <w:rPr>
          <w:rFonts w:ascii="Times New Roman" w:hAnsi="Times New Roman" w:cs="Times New Roman"/>
          <w:sz w:val="24"/>
          <w:szCs w:val="24"/>
        </w:rPr>
        <w:t>tudes de l’impact de l’exploitation artisanale de bois d’œuvre sur la biodiversité ;</w:t>
      </w:r>
    </w:p>
    <w:p w14:paraId="639B6776" w14:textId="77777777" w:rsidR="00064B59" w:rsidRPr="005B7093" w:rsidRDefault="0030645D" w:rsidP="00E50666">
      <w:pPr>
        <w:numPr>
          <w:ilvl w:val="0"/>
          <w:numId w:val="3"/>
        </w:numPr>
        <w:suppressAutoHyphens/>
        <w:autoSpaceDE w:val="0"/>
        <w:autoSpaceDN w:val="0"/>
        <w:adjustRightInd w:val="0"/>
        <w:spacing w:after="0" w:line="240" w:lineRule="auto"/>
        <w:jc w:val="both"/>
        <w:rPr>
          <w:rFonts w:ascii="Times New Roman" w:hAnsi="Times New Roman" w:cs="Times New Roman"/>
          <w:iCs/>
          <w:sz w:val="24"/>
          <w:szCs w:val="24"/>
        </w:rPr>
      </w:pPr>
      <w:r w:rsidRPr="005B7093">
        <w:rPr>
          <w:rFonts w:ascii="Times New Roman" w:hAnsi="Times New Roman" w:cs="Times New Roman"/>
          <w:iCs/>
          <w:sz w:val="24"/>
          <w:szCs w:val="24"/>
        </w:rPr>
        <w:t xml:space="preserve">domestication </w:t>
      </w:r>
      <w:r w:rsidR="00064B59" w:rsidRPr="005B7093">
        <w:rPr>
          <w:rFonts w:ascii="Times New Roman" w:hAnsi="Times New Roman" w:cs="Times New Roman"/>
          <w:sz w:val="24"/>
          <w:szCs w:val="24"/>
        </w:rPr>
        <w:t xml:space="preserve">de </w:t>
      </w:r>
      <w:r w:rsidR="00064B59" w:rsidRPr="005B7093">
        <w:rPr>
          <w:rFonts w:ascii="Times New Roman" w:hAnsi="Times New Roman" w:cs="Times New Roman"/>
          <w:i/>
          <w:iCs/>
          <w:sz w:val="24"/>
          <w:szCs w:val="24"/>
        </w:rPr>
        <w:t xml:space="preserve">Nauclea diderrichii </w:t>
      </w:r>
      <w:r w:rsidRPr="005B7093">
        <w:rPr>
          <w:rFonts w:ascii="Times New Roman" w:hAnsi="Times New Roman" w:cs="Times New Roman"/>
          <w:iCs/>
          <w:sz w:val="24"/>
          <w:szCs w:val="24"/>
        </w:rPr>
        <w:t>et de</w:t>
      </w:r>
      <w:r w:rsidRPr="005B7093">
        <w:rPr>
          <w:rFonts w:ascii="Times New Roman" w:hAnsi="Times New Roman" w:cs="Times New Roman"/>
          <w:i/>
          <w:iCs/>
          <w:sz w:val="24"/>
          <w:szCs w:val="24"/>
        </w:rPr>
        <w:t xml:space="preserve"> Mansonia altissima ;</w:t>
      </w:r>
    </w:p>
    <w:p w14:paraId="5BDD0EFB" w14:textId="77777777" w:rsidR="00064B59" w:rsidRPr="005B7093" w:rsidRDefault="00064B59" w:rsidP="00E50666">
      <w:pPr>
        <w:numPr>
          <w:ilvl w:val="0"/>
          <w:numId w:val="3"/>
        </w:numPr>
        <w:suppressAutoHyphens/>
        <w:autoSpaceDE w:val="0"/>
        <w:autoSpaceDN w:val="0"/>
        <w:adjustRightInd w:val="0"/>
        <w:spacing w:after="0" w:line="240" w:lineRule="auto"/>
        <w:jc w:val="both"/>
        <w:rPr>
          <w:rFonts w:ascii="Times New Roman" w:hAnsi="Times New Roman" w:cs="Times New Roman"/>
          <w:iCs/>
          <w:sz w:val="24"/>
          <w:szCs w:val="24"/>
        </w:rPr>
      </w:pPr>
      <w:r w:rsidRPr="005B7093">
        <w:rPr>
          <w:rFonts w:ascii="Times New Roman" w:hAnsi="Times New Roman" w:cs="Times New Roman"/>
          <w:sz w:val="24"/>
          <w:szCs w:val="24"/>
        </w:rPr>
        <w:t xml:space="preserve">rôle socio-économique et durabilité écologique de </w:t>
      </w:r>
      <w:r w:rsidRPr="005B7093">
        <w:rPr>
          <w:rFonts w:ascii="Times New Roman" w:hAnsi="Times New Roman" w:cs="Times New Roman"/>
          <w:i/>
          <w:sz w:val="24"/>
          <w:szCs w:val="24"/>
        </w:rPr>
        <w:t>Detarium sen</w:t>
      </w:r>
      <w:r w:rsidRPr="005B7093">
        <w:rPr>
          <w:rFonts w:ascii="Times New Roman" w:hAnsi="Times New Roman" w:cs="Times New Roman"/>
          <w:sz w:val="24"/>
          <w:szCs w:val="24"/>
        </w:rPr>
        <w:t>egalense, etc.</w:t>
      </w:r>
    </w:p>
    <w:p w14:paraId="4A94895A" w14:textId="77777777" w:rsidR="0030645D" w:rsidRPr="005B7093" w:rsidRDefault="0030645D" w:rsidP="00254C9C">
      <w:pPr>
        <w:pStyle w:val="Commentaire"/>
        <w:spacing w:after="0"/>
        <w:jc w:val="both"/>
        <w:rPr>
          <w:rFonts w:ascii="Times New Roman" w:hAnsi="Times New Roman" w:cs="Times New Roman"/>
          <w:iCs/>
          <w:sz w:val="24"/>
          <w:szCs w:val="24"/>
          <w:lang w:val="fr-CA"/>
        </w:rPr>
      </w:pPr>
    </w:p>
    <w:p w14:paraId="3F661730" w14:textId="75BBEF3E" w:rsidR="00773023" w:rsidRPr="00F432CB" w:rsidRDefault="00773023" w:rsidP="00254C9C">
      <w:pPr>
        <w:pStyle w:val="Commentaire"/>
        <w:spacing w:after="0"/>
        <w:jc w:val="both"/>
        <w:rPr>
          <w:rFonts w:ascii="Times New Roman" w:hAnsi="Times New Roman" w:cs="Times New Roman"/>
          <w:sz w:val="24"/>
          <w:szCs w:val="24"/>
        </w:rPr>
      </w:pPr>
      <w:r w:rsidRPr="00D80CC7">
        <w:rPr>
          <w:rFonts w:ascii="Times New Roman" w:hAnsi="Times New Roman" w:cs="Times New Roman"/>
          <w:iCs/>
          <w:sz w:val="24"/>
          <w:szCs w:val="24"/>
          <w:lang w:val="fr-CA"/>
        </w:rPr>
        <w:t xml:space="preserve">En matière </w:t>
      </w:r>
      <w:r w:rsidR="00B74DEB">
        <w:rPr>
          <w:rFonts w:ascii="Times New Roman" w:hAnsi="Times New Roman" w:cs="Times New Roman"/>
          <w:iCs/>
          <w:sz w:val="24"/>
          <w:szCs w:val="24"/>
          <w:lang w:val="fr-CA"/>
        </w:rPr>
        <w:t xml:space="preserve">de </w:t>
      </w:r>
      <w:r w:rsidR="00EE306F" w:rsidRPr="00D80CC7">
        <w:rPr>
          <w:rFonts w:ascii="Times New Roman" w:hAnsi="Times New Roman" w:cs="Times New Roman"/>
          <w:iCs/>
          <w:sz w:val="24"/>
          <w:szCs w:val="24"/>
          <w:lang w:val="fr-CA"/>
        </w:rPr>
        <w:t xml:space="preserve">jardins botaniques </w:t>
      </w:r>
      <w:r w:rsidRPr="00D80CC7">
        <w:rPr>
          <w:rFonts w:ascii="Times New Roman" w:hAnsi="Times New Roman" w:cs="Times New Roman"/>
          <w:iCs/>
          <w:sz w:val="24"/>
          <w:szCs w:val="24"/>
          <w:lang w:val="fr-CA"/>
        </w:rPr>
        <w:t xml:space="preserve">qui </w:t>
      </w:r>
      <w:r w:rsidR="00EE306F" w:rsidRPr="00D80CC7">
        <w:rPr>
          <w:rFonts w:ascii="Times New Roman" w:hAnsi="Times New Roman" w:cs="Times New Roman"/>
          <w:iCs/>
          <w:sz w:val="24"/>
          <w:szCs w:val="24"/>
          <w:lang w:val="fr-CA"/>
        </w:rPr>
        <w:t>offrent</w:t>
      </w:r>
      <w:r w:rsidRPr="00D80CC7">
        <w:rPr>
          <w:rFonts w:ascii="Times New Roman" w:hAnsi="Times New Roman" w:cs="Times New Roman"/>
          <w:iCs/>
          <w:sz w:val="24"/>
          <w:szCs w:val="24"/>
          <w:lang w:val="fr-CA"/>
        </w:rPr>
        <w:t xml:space="preserve"> des programmes éducatifs, le Togo a pris du retard. Mais depuis 2015, un espace </w:t>
      </w:r>
      <w:r w:rsidRPr="00D80CC7">
        <w:rPr>
          <w:rFonts w:ascii="Times New Roman" w:hAnsi="Times New Roman" w:cs="Times New Roman"/>
          <w:sz w:val="24"/>
          <w:szCs w:val="24"/>
        </w:rPr>
        <w:t>de 10 hectares est en cours d’aménagement selon les règles</w:t>
      </w:r>
      <w:r w:rsidRPr="005B7093">
        <w:rPr>
          <w:rFonts w:ascii="Times New Roman" w:hAnsi="Times New Roman" w:cs="Times New Roman"/>
          <w:sz w:val="24"/>
          <w:szCs w:val="24"/>
        </w:rPr>
        <w:t xml:space="preserve"> internationales de conservation au palais de Lomé. Ce jardin sera ouvert à au public comme un lieu d’excellence, d’échanges, de culture et de loisirs. </w:t>
      </w:r>
      <w:r w:rsidR="005B7093" w:rsidRPr="005B7093">
        <w:rPr>
          <w:rFonts w:ascii="Times New Roman" w:hAnsi="Times New Roman" w:cs="Times New Roman"/>
          <w:sz w:val="24"/>
          <w:szCs w:val="24"/>
        </w:rPr>
        <w:t>Le parc offrira</w:t>
      </w:r>
      <w:r w:rsidRPr="005B7093">
        <w:rPr>
          <w:rFonts w:ascii="Times New Roman" w:hAnsi="Times New Roman" w:cs="Times New Roman"/>
          <w:sz w:val="24"/>
          <w:szCs w:val="24"/>
        </w:rPr>
        <w:t xml:space="preserve"> des tracés historiques et de très belles ambiances paysagères grâce aux arbres tropicaux </w:t>
      </w:r>
      <w:r w:rsidR="005B7093" w:rsidRPr="005B7093">
        <w:rPr>
          <w:rFonts w:ascii="Times New Roman" w:hAnsi="Times New Roman" w:cs="Times New Roman"/>
          <w:sz w:val="24"/>
          <w:szCs w:val="24"/>
        </w:rPr>
        <w:t xml:space="preserve">et la végétation qui y sera installée. </w:t>
      </w:r>
      <w:r w:rsidRPr="005B7093">
        <w:rPr>
          <w:rFonts w:ascii="Times New Roman" w:hAnsi="Times New Roman" w:cs="Times New Roman"/>
          <w:sz w:val="24"/>
          <w:szCs w:val="24"/>
        </w:rPr>
        <w:t xml:space="preserve">Le public du parc aura ainsi accès à un ensemble très diversifié d’ambiances et de points de vue permettant de répondre aux usages de promenades du grand public, son </w:t>
      </w:r>
      <w:r w:rsidRPr="00F432CB">
        <w:rPr>
          <w:rFonts w:ascii="Times New Roman" w:hAnsi="Times New Roman" w:cs="Times New Roman"/>
          <w:sz w:val="24"/>
          <w:szCs w:val="24"/>
        </w:rPr>
        <w:t>ambition étant de devenir le grand parc qui manque à Lomé.</w:t>
      </w:r>
      <w:r w:rsidR="00B74DEB">
        <w:rPr>
          <w:rFonts w:ascii="Times New Roman" w:hAnsi="Times New Roman" w:cs="Times New Roman"/>
          <w:sz w:val="24"/>
          <w:szCs w:val="24"/>
        </w:rPr>
        <w:t xml:space="preserve"> </w:t>
      </w:r>
      <w:r w:rsidRPr="00F432CB">
        <w:rPr>
          <w:rFonts w:ascii="Times New Roman" w:hAnsi="Times New Roman" w:cs="Times New Roman"/>
          <w:sz w:val="24"/>
          <w:szCs w:val="24"/>
        </w:rPr>
        <w:t>Mais</w:t>
      </w:r>
      <w:r w:rsidR="0081313C">
        <w:rPr>
          <w:rFonts w:ascii="Times New Roman" w:hAnsi="Times New Roman" w:cs="Times New Roman"/>
          <w:sz w:val="24"/>
          <w:szCs w:val="24"/>
        </w:rPr>
        <w:t>,</w:t>
      </w:r>
      <w:r w:rsidRPr="00F432CB">
        <w:rPr>
          <w:rFonts w:ascii="Times New Roman" w:hAnsi="Times New Roman" w:cs="Times New Roman"/>
          <w:sz w:val="24"/>
          <w:szCs w:val="24"/>
        </w:rPr>
        <w:t xml:space="preserve"> le parc permettra aussi de répondre à des demandes et ou de créer des activités plus spécifiques grâce à ses collections botaniques qui serviront de support à des activités pédagogiques, tant pour des actions de sensibilisation auprès du jeune public, que pour des publics plus pointus (décou</w:t>
      </w:r>
      <w:r w:rsidR="00B74DEB">
        <w:rPr>
          <w:rFonts w:ascii="Times New Roman" w:hAnsi="Times New Roman" w:cs="Times New Roman"/>
          <w:sz w:val="24"/>
          <w:szCs w:val="24"/>
        </w:rPr>
        <w:t>verte botanique, ornithologique, etc.</w:t>
      </w:r>
      <w:r w:rsidRPr="00F432CB">
        <w:rPr>
          <w:rFonts w:ascii="Times New Roman" w:hAnsi="Times New Roman" w:cs="Times New Roman"/>
          <w:sz w:val="24"/>
          <w:szCs w:val="24"/>
        </w:rPr>
        <w:t xml:space="preserve">). </w:t>
      </w:r>
    </w:p>
    <w:p w14:paraId="4A946FF1" w14:textId="77777777" w:rsidR="005B7093" w:rsidRPr="00F432CB" w:rsidRDefault="005B7093" w:rsidP="00254C9C">
      <w:pPr>
        <w:spacing w:after="0" w:line="240" w:lineRule="auto"/>
        <w:rPr>
          <w:rFonts w:ascii="Times New Roman" w:hAnsi="Times New Roman" w:cs="Times New Roman"/>
          <w:kern w:val="22"/>
          <w:lang w:val="fr-CA"/>
        </w:rPr>
      </w:pPr>
    </w:p>
    <w:p w14:paraId="3B9752C8" w14:textId="0CA434BF" w:rsidR="00EE306F" w:rsidRDefault="00EE306F"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D47411">
        <w:rPr>
          <w:rFonts w:ascii="Times New Roman" w:hAnsi="Times New Roman" w:cs="Times New Roman"/>
          <w:b/>
          <w:iCs/>
          <w:kern w:val="22"/>
          <w:sz w:val="24"/>
          <w:szCs w:val="24"/>
          <w:lang w:val="fr-CA"/>
        </w:rPr>
        <w:t>Objectif 15 de la Stratégie mondiale pour</w:t>
      </w:r>
      <w:r w:rsidR="0081313C">
        <w:rPr>
          <w:rFonts w:ascii="Times New Roman" w:hAnsi="Times New Roman" w:cs="Times New Roman"/>
          <w:b/>
          <w:iCs/>
          <w:kern w:val="22"/>
          <w:sz w:val="24"/>
          <w:szCs w:val="24"/>
          <w:lang w:val="fr-CA"/>
        </w:rPr>
        <w:t xml:space="preserve"> la conservation des plantes : l</w:t>
      </w:r>
      <w:r w:rsidRPr="00D47411">
        <w:rPr>
          <w:rFonts w:ascii="Times New Roman" w:hAnsi="Times New Roman" w:cs="Times New Roman"/>
          <w:b/>
          <w:iCs/>
          <w:kern w:val="22"/>
          <w:sz w:val="24"/>
          <w:szCs w:val="24"/>
          <w:lang w:val="fr-CA"/>
        </w:rPr>
        <w:t>e nombre de personnes formées, travaillant avec les moyens appropriés, suffit pour répondre aux besoins nationaux pour atteindre les objectifs de la stratégie</w:t>
      </w:r>
    </w:p>
    <w:p w14:paraId="374FA184" w14:textId="77777777" w:rsidR="008E463B" w:rsidRPr="00D47411" w:rsidRDefault="008E463B"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4F41D26" w14:textId="77777777" w:rsidR="000E4961" w:rsidRPr="00D47411" w:rsidRDefault="000E4961" w:rsidP="00254C9C">
      <w:pPr>
        <w:spacing w:after="0" w:line="240" w:lineRule="auto"/>
        <w:jc w:val="both"/>
        <w:rPr>
          <w:rFonts w:ascii="Times New Roman" w:hAnsi="Times New Roman" w:cs="Times New Roman"/>
          <w:sz w:val="24"/>
          <w:szCs w:val="24"/>
        </w:rPr>
      </w:pPr>
      <w:smartTag w:uri="urn:schemas-microsoft-com:office:smarttags" w:element="PersonName">
        <w:smartTagPr>
          <w:attr w:name="ProductID" w:val="la Facult￩"/>
        </w:smartTagPr>
        <w:r w:rsidRPr="00D47411">
          <w:rPr>
            <w:rFonts w:ascii="Times New Roman" w:hAnsi="Times New Roman" w:cs="Times New Roman"/>
            <w:sz w:val="24"/>
            <w:szCs w:val="24"/>
          </w:rPr>
          <w:t>La Faculté</w:t>
        </w:r>
      </w:smartTag>
      <w:r w:rsidRPr="00D47411">
        <w:rPr>
          <w:rFonts w:ascii="Times New Roman" w:hAnsi="Times New Roman" w:cs="Times New Roman"/>
          <w:sz w:val="24"/>
          <w:szCs w:val="24"/>
        </w:rPr>
        <w:t xml:space="preserve"> des Sciences de l’Université de Lomé, à travers le Département de Botanique forme depuis plusieurs années des Licenciés, DEA/Masters et Docteurs dans le domaine de la gestion des ressources naturelles. Les champs disciplinaires qui soutiennent les différentes thématiques de recherche sont la floristique, la systématique, l’évolution et la structure des formations végétales, le suivi et la prévision de l’évolution des écosystèmes végétaux, la modélisation, la caractérisation de l’anatomie et des propriétés du bois, etc.</w:t>
      </w:r>
    </w:p>
    <w:p w14:paraId="240EE644" w14:textId="77777777" w:rsidR="000E4961" w:rsidRPr="00D47411" w:rsidRDefault="000E4961" w:rsidP="00254C9C">
      <w:pPr>
        <w:pStyle w:val="NormalWeb"/>
        <w:spacing w:before="0" w:beforeAutospacing="0" w:after="0" w:afterAutospacing="0"/>
        <w:jc w:val="both"/>
      </w:pPr>
    </w:p>
    <w:p w14:paraId="6AA47FAA" w14:textId="77777777" w:rsidR="000E4961" w:rsidRPr="00D47411" w:rsidRDefault="00D47411" w:rsidP="00254C9C">
      <w:pPr>
        <w:pStyle w:val="NormalWeb"/>
        <w:spacing w:before="0" w:beforeAutospacing="0" w:after="0" w:afterAutospacing="0"/>
        <w:jc w:val="both"/>
      </w:pPr>
      <w:r>
        <w:t>Par ailleurs, l</w:t>
      </w:r>
      <w:r w:rsidR="000E4961" w:rsidRPr="00D47411">
        <w:t>’Institut National de Formation Agricole (INFA) offre sur place une option forestière à des cadres forestiers moyens (Techniciens supérieurs des Eaux et forêts).</w:t>
      </w:r>
    </w:p>
    <w:p w14:paraId="43C2891B" w14:textId="77777777" w:rsidR="000E4961" w:rsidRPr="00D47411" w:rsidRDefault="000E4961" w:rsidP="00254C9C">
      <w:pPr>
        <w:spacing w:after="0" w:line="240" w:lineRule="auto"/>
        <w:jc w:val="both"/>
        <w:rPr>
          <w:rFonts w:ascii="Times New Roman" w:hAnsi="Times New Roman" w:cs="Times New Roman"/>
          <w:sz w:val="24"/>
          <w:szCs w:val="24"/>
        </w:rPr>
      </w:pPr>
    </w:p>
    <w:p w14:paraId="19129D50" w14:textId="646BA67C" w:rsidR="00EE306F" w:rsidRPr="005112A4" w:rsidRDefault="00EE306F" w:rsidP="00254C9C">
      <w:pPr>
        <w:autoSpaceDE w:val="0"/>
        <w:autoSpaceDN w:val="0"/>
        <w:adjustRightInd w:val="0"/>
        <w:spacing w:after="0" w:line="240" w:lineRule="auto"/>
        <w:jc w:val="both"/>
        <w:rPr>
          <w:rFonts w:ascii="Times New Roman" w:hAnsi="Times New Roman" w:cs="Times New Roman"/>
          <w:b/>
          <w:iCs/>
          <w:kern w:val="22"/>
          <w:sz w:val="24"/>
          <w:szCs w:val="24"/>
          <w:lang w:val="fr-CA"/>
        </w:rPr>
      </w:pPr>
      <w:r w:rsidRPr="005112A4">
        <w:rPr>
          <w:rFonts w:ascii="Times New Roman" w:hAnsi="Times New Roman" w:cs="Times New Roman"/>
          <w:b/>
          <w:iCs/>
          <w:kern w:val="22"/>
          <w:sz w:val="24"/>
          <w:szCs w:val="24"/>
          <w:lang w:val="fr-CA"/>
        </w:rPr>
        <w:t>Objectif 16 de la Stratégie mondiale pour</w:t>
      </w:r>
      <w:r w:rsidR="0081313C">
        <w:rPr>
          <w:rFonts w:ascii="Times New Roman" w:hAnsi="Times New Roman" w:cs="Times New Roman"/>
          <w:b/>
          <w:iCs/>
          <w:kern w:val="22"/>
          <w:sz w:val="24"/>
          <w:szCs w:val="24"/>
          <w:lang w:val="fr-CA"/>
        </w:rPr>
        <w:t xml:space="preserve"> la conservation des plantes : é</w:t>
      </w:r>
      <w:r w:rsidRPr="005112A4">
        <w:rPr>
          <w:rFonts w:ascii="Times New Roman" w:hAnsi="Times New Roman" w:cs="Times New Roman"/>
          <w:b/>
          <w:iCs/>
          <w:kern w:val="22"/>
          <w:sz w:val="24"/>
          <w:szCs w:val="24"/>
          <w:lang w:val="fr-CA"/>
        </w:rPr>
        <w:t>tablissement ou renforcement aux niveaux national, régional et international des institutions, réseaux et partenariats pour la conservation des plantes, afin d’atteindre les objectifs de la stratégie</w:t>
      </w:r>
    </w:p>
    <w:p w14:paraId="7A29CAFE" w14:textId="77777777" w:rsidR="00D47411" w:rsidRPr="005112A4" w:rsidRDefault="00D47411" w:rsidP="00254C9C">
      <w:pPr>
        <w:pStyle w:val="Commentaire"/>
        <w:spacing w:after="0"/>
        <w:jc w:val="both"/>
        <w:rPr>
          <w:rFonts w:ascii="Times New Roman" w:hAnsi="Times New Roman" w:cs="Times New Roman"/>
          <w:iCs/>
          <w:sz w:val="24"/>
          <w:szCs w:val="24"/>
          <w:lang w:val="fr-CA"/>
        </w:rPr>
      </w:pPr>
    </w:p>
    <w:p w14:paraId="305D76AC" w14:textId="77777777" w:rsidR="00EE306F" w:rsidRDefault="005112A4" w:rsidP="00254C9C">
      <w:pPr>
        <w:pStyle w:val="Commentaire"/>
        <w:spacing w:after="0"/>
        <w:jc w:val="both"/>
        <w:rPr>
          <w:rFonts w:ascii="Times New Roman" w:hAnsi="Times New Roman" w:cs="Times New Roman"/>
          <w:iCs/>
          <w:sz w:val="24"/>
          <w:szCs w:val="24"/>
          <w:lang w:val="fr-CA"/>
        </w:rPr>
      </w:pPr>
      <w:r w:rsidRPr="005112A4">
        <w:rPr>
          <w:rFonts w:ascii="Times New Roman" w:hAnsi="Times New Roman" w:cs="Times New Roman"/>
          <w:iCs/>
          <w:sz w:val="24"/>
          <w:szCs w:val="24"/>
          <w:lang w:val="fr-CA"/>
        </w:rPr>
        <w:t xml:space="preserve">Il n’existe pas un </w:t>
      </w:r>
      <w:r w:rsidR="00EE306F" w:rsidRPr="005112A4">
        <w:rPr>
          <w:rFonts w:ascii="Times New Roman" w:hAnsi="Times New Roman" w:cs="Times New Roman"/>
          <w:iCs/>
          <w:sz w:val="24"/>
          <w:szCs w:val="24"/>
          <w:lang w:val="fr-CA"/>
        </w:rPr>
        <w:t xml:space="preserve">réseau national de jardins botaniques </w:t>
      </w:r>
      <w:r w:rsidRPr="005112A4">
        <w:rPr>
          <w:rFonts w:ascii="Times New Roman" w:hAnsi="Times New Roman" w:cs="Times New Roman"/>
          <w:iCs/>
          <w:sz w:val="24"/>
          <w:szCs w:val="24"/>
          <w:lang w:val="fr-CA"/>
        </w:rPr>
        <w:t xml:space="preserve">ni </w:t>
      </w:r>
      <w:r w:rsidR="00EE306F" w:rsidRPr="005112A4">
        <w:rPr>
          <w:rFonts w:ascii="Times New Roman" w:hAnsi="Times New Roman" w:cs="Times New Roman"/>
          <w:iCs/>
          <w:sz w:val="24"/>
          <w:szCs w:val="24"/>
          <w:lang w:val="fr-CA"/>
        </w:rPr>
        <w:t>un réseau national pour la conservation des plantes ou une société botanique nationale qui se consacre activement à réaliser les objectifs de la SMCP</w:t>
      </w:r>
      <w:r w:rsidRPr="005112A4">
        <w:rPr>
          <w:rFonts w:ascii="Times New Roman" w:hAnsi="Times New Roman" w:cs="Times New Roman"/>
          <w:iCs/>
          <w:sz w:val="24"/>
          <w:szCs w:val="24"/>
          <w:lang w:val="fr-CA"/>
        </w:rPr>
        <w:t>. Toutefois, les travaux du Département de Botanique de l’Université de Lomé et GBIF-Togo s’</w:t>
      </w:r>
      <w:r>
        <w:rPr>
          <w:rFonts w:ascii="Times New Roman" w:hAnsi="Times New Roman" w:cs="Times New Roman"/>
          <w:iCs/>
          <w:sz w:val="24"/>
          <w:szCs w:val="24"/>
          <w:lang w:val="fr-CA"/>
        </w:rPr>
        <w:t>inscrivent dans ce sens.</w:t>
      </w:r>
    </w:p>
    <w:p w14:paraId="0C9E7CD4" w14:textId="77777777" w:rsidR="007C0AD7" w:rsidRDefault="007C0AD7">
      <w:pPr>
        <w:rPr>
          <w:rFonts w:ascii="Times New Roman" w:hAnsi="Times New Roman" w:cs="Times New Roman"/>
          <w:iCs/>
          <w:sz w:val="24"/>
          <w:szCs w:val="24"/>
          <w:lang w:val="fr-CA"/>
        </w:rPr>
      </w:pPr>
      <w:r>
        <w:rPr>
          <w:rFonts w:ascii="Times New Roman" w:hAnsi="Times New Roman" w:cs="Times New Roman"/>
          <w:iCs/>
          <w:sz w:val="24"/>
          <w:szCs w:val="24"/>
          <w:lang w:val="fr-CA"/>
        </w:rPr>
        <w:br w:type="page"/>
      </w:r>
    </w:p>
    <w:p w14:paraId="37278A69" w14:textId="77777777" w:rsidR="00893992" w:rsidRPr="00AD6D69" w:rsidRDefault="00893992" w:rsidP="00AD6D69">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88" w:name="_Toc533413769"/>
      <w:r w:rsidRPr="00AD6D69">
        <w:rPr>
          <w:rFonts w:ascii="Times New Roman Gras" w:eastAsiaTheme="majorEastAsia" w:hAnsi="Times New Roman Gras" w:cs="Times New Roman"/>
          <w:b/>
          <w:bCs/>
          <w:caps/>
          <w:color w:val="2E74B5" w:themeColor="accent1" w:themeShade="BF"/>
          <w:sz w:val="28"/>
          <w:szCs w:val="28"/>
        </w:rPr>
        <w:t>VI. Contribution des communautés locales</w:t>
      </w:r>
      <w:bookmarkEnd w:id="88"/>
    </w:p>
    <w:p w14:paraId="02F5BD3C" w14:textId="77777777" w:rsidR="00CD0979" w:rsidRDefault="00CD0979" w:rsidP="008D3966">
      <w:pPr>
        <w:autoSpaceDE w:val="0"/>
        <w:autoSpaceDN w:val="0"/>
        <w:adjustRightInd w:val="0"/>
        <w:spacing w:after="0" w:line="240" w:lineRule="auto"/>
        <w:jc w:val="both"/>
        <w:rPr>
          <w:rFonts w:ascii="Times New Roman" w:hAnsi="Times New Roman" w:cs="Times New Roman"/>
          <w:b/>
          <w:color w:val="000000"/>
          <w:sz w:val="24"/>
          <w:szCs w:val="24"/>
        </w:rPr>
      </w:pPr>
    </w:p>
    <w:p w14:paraId="2869472B" w14:textId="540C52D7" w:rsidR="008D3966" w:rsidRDefault="00ED2E7E" w:rsidP="00A05444">
      <w:pPr>
        <w:autoSpaceDE w:val="0"/>
        <w:autoSpaceDN w:val="0"/>
        <w:adjustRightInd w:val="0"/>
        <w:spacing w:after="0" w:line="240" w:lineRule="auto"/>
        <w:outlineLvl w:val="1"/>
        <w:rPr>
          <w:rFonts w:ascii="Times New Roman" w:hAnsi="Times New Roman" w:cs="Times New Roman"/>
          <w:b/>
          <w:color w:val="000000"/>
          <w:sz w:val="24"/>
          <w:szCs w:val="24"/>
        </w:rPr>
      </w:pPr>
      <w:bookmarkStart w:id="89" w:name="_Toc533413770"/>
      <w:r>
        <w:rPr>
          <w:rFonts w:ascii="Times New Roman" w:hAnsi="Times New Roman" w:cs="Times New Roman"/>
          <w:b/>
          <w:color w:val="000000"/>
          <w:sz w:val="24"/>
          <w:szCs w:val="24"/>
        </w:rPr>
        <w:t>6</w:t>
      </w:r>
      <w:r w:rsidR="00D624C0">
        <w:rPr>
          <w:rFonts w:ascii="Times New Roman" w:hAnsi="Times New Roman" w:cs="Times New Roman"/>
          <w:b/>
          <w:color w:val="000000"/>
          <w:sz w:val="24"/>
          <w:szCs w:val="24"/>
        </w:rPr>
        <w:t xml:space="preserve">.1. </w:t>
      </w:r>
      <w:r w:rsidR="00144E83">
        <w:rPr>
          <w:rFonts w:ascii="Times New Roman" w:hAnsi="Times New Roman" w:cs="Times New Roman"/>
          <w:b/>
          <w:color w:val="000000"/>
          <w:sz w:val="24"/>
          <w:szCs w:val="24"/>
        </w:rPr>
        <w:t xml:space="preserve">Apport </w:t>
      </w:r>
      <w:r>
        <w:rPr>
          <w:rFonts w:ascii="Times New Roman" w:hAnsi="Times New Roman" w:cs="Times New Roman"/>
          <w:b/>
          <w:color w:val="000000"/>
          <w:sz w:val="24"/>
          <w:szCs w:val="24"/>
        </w:rPr>
        <w:t>d</w:t>
      </w:r>
      <w:r w:rsidR="00144E83">
        <w:rPr>
          <w:rFonts w:ascii="Times New Roman" w:hAnsi="Times New Roman" w:cs="Times New Roman"/>
          <w:b/>
          <w:color w:val="000000"/>
          <w:sz w:val="24"/>
          <w:szCs w:val="24"/>
        </w:rPr>
        <w:t>es communautés local</w:t>
      </w:r>
      <w:r>
        <w:rPr>
          <w:rFonts w:ascii="Times New Roman" w:hAnsi="Times New Roman" w:cs="Times New Roman"/>
          <w:b/>
          <w:color w:val="000000"/>
          <w:sz w:val="24"/>
          <w:szCs w:val="24"/>
        </w:rPr>
        <w:t>e</w:t>
      </w:r>
      <w:r w:rsidR="00144E83">
        <w:rPr>
          <w:rFonts w:ascii="Times New Roman" w:hAnsi="Times New Roman" w:cs="Times New Roman"/>
          <w:b/>
          <w:color w:val="000000"/>
          <w:sz w:val="24"/>
          <w:szCs w:val="24"/>
        </w:rPr>
        <w:t>s à l’atteinte des objectifs nationaux</w:t>
      </w:r>
      <w:bookmarkEnd w:id="89"/>
    </w:p>
    <w:p w14:paraId="69DC0214" w14:textId="77777777" w:rsidR="00D624C0" w:rsidRPr="008D3966" w:rsidRDefault="00D624C0" w:rsidP="008D3966">
      <w:pPr>
        <w:autoSpaceDE w:val="0"/>
        <w:autoSpaceDN w:val="0"/>
        <w:adjustRightInd w:val="0"/>
        <w:spacing w:after="0" w:line="240" w:lineRule="auto"/>
        <w:jc w:val="both"/>
        <w:rPr>
          <w:rFonts w:ascii="Times New Roman" w:hAnsi="Times New Roman" w:cs="Times New Roman"/>
          <w:b/>
          <w:color w:val="000000"/>
          <w:sz w:val="24"/>
          <w:szCs w:val="24"/>
        </w:rPr>
      </w:pPr>
    </w:p>
    <w:p w14:paraId="3848B8B8" w14:textId="12EBB6B6" w:rsidR="00A05444" w:rsidRDefault="008D3966" w:rsidP="008D3966">
      <w:pPr>
        <w:autoSpaceDE w:val="0"/>
        <w:autoSpaceDN w:val="0"/>
        <w:adjustRightInd w:val="0"/>
        <w:spacing w:after="0" w:line="240" w:lineRule="auto"/>
        <w:jc w:val="both"/>
        <w:rPr>
          <w:rFonts w:ascii="Times New Roman" w:eastAsia="Calibri" w:hAnsi="Times New Roman" w:cs="Times New Roman"/>
          <w:sz w:val="24"/>
          <w:szCs w:val="24"/>
        </w:rPr>
      </w:pPr>
      <w:r w:rsidRPr="006C665B">
        <w:rPr>
          <w:rFonts w:ascii="Times New Roman" w:hAnsi="Times New Roman" w:cs="Times New Roman"/>
          <w:sz w:val="24"/>
          <w:szCs w:val="24"/>
        </w:rPr>
        <w:t xml:space="preserve">L’une des principales contributions des communautés locales </w:t>
      </w:r>
      <w:r w:rsidRPr="006C665B">
        <w:rPr>
          <w:rFonts w:ascii="Times New Roman" w:hAnsi="Times New Roman" w:cs="Times New Roman"/>
          <w:kern w:val="22"/>
          <w:sz w:val="24"/>
          <w:szCs w:val="24"/>
        </w:rPr>
        <w:t>à la réalisation des Objectifs d’Aichi pour la biodiversité</w:t>
      </w:r>
      <w:r w:rsidRPr="006C665B">
        <w:rPr>
          <w:rFonts w:ascii="Times New Roman" w:hAnsi="Times New Roman" w:cs="Times New Roman"/>
          <w:sz w:val="24"/>
          <w:szCs w:val="24"/>
        </w:rPr>
        <w:t xml:space="preserve"> est la création et la gestion des forêts communautaires. En effet,  il est enregistré ces dernières années un engouement des communautés avec l’appui des ONG et de l’Etat à constituer des forêts communautaires dont la valeur en biodiversité est importante. Ces initiatives sont soutenues par le programme de micro financement du FEM, le comité UICN France et la FAO et ont permis de mettre en place et de renforcer la gestion d’une dizaine de forêts communautaires (</w:t>
      </w:r>
      <w:r w:rsidRPr="006C665B">
        <w:rPr>
          <w:rFonts w:ascii="Times New Roman" w:hAnsi="Times New Roman" w:cs="Times New Roman"/>
          <w:i/>
          <w:iCs/>
          <w:sz w:val="24"/>
          <w:szCs w:val="24"/>
        </w:rPr>
        <w:t>A</w:t>
      </w:r>
      <w:r w:rsidR="00637E65">
        <w:rPr>
          <w:rFonts w:ascii="Times New Roman" w:hAnsi="Times New Roman" w:cs="Times New Roman"/>
          <w:i/>
          <w:iCs/>
          <w:sz w:val="24"/>
          <w:szCs w:val="24"/>
        </w:rPr>
        <w:t>ndo-Kpomey, Alibi-1, Natchabon</w:t>
      </w:r>
      <w:r w:rsidRPr="006C665B">
        <w:rPr>
          <w:rFonts w:ascii="Times New Roman" w:hAnsi="Times New Roman" w:cs="Times New Roman"/>
          <w:i/>
          <w:iCs/>
          <w:sz w:val="24"/>
          <w:szCs w:val="24"/>
        </w:rPr>
        <w:t xml:space="preserve">ga; Kemeni, Péssaré, Namab, </w:t>
      </w:r>
      <w:r w:rsidR="00785630">
        <w:rPr>
          <w:rFonts w:ascii="Times New Roman" w:hAnsi="Times New Roman" w:cs="Times New Roman"/>
          <w:i/>
          <w:iCs/>
          <w:sz w:val="24"/>
          <w:szCs w:val="24"/>
        </w:rPr>
        <w:t>Bago, e</w:t>
      </w:r>
      <w:r w:rsidRPr="006C665B">
        <w:rPr>
          <w:rFonts w:ascii="Times New Roman" w:hAnsi="Times New Roman" w:cs="Times New Roman"/>
          <w:i/>
          <w:iCs/>
          <w:sz w:val="24"/>
          <w:szCs w:val="24"/>
        </w:rPr>
        <w:t>tc.</w:t>
      </w:r>
      <w:r w:rsidRPr="006C665B">
        <w:rPr>
          <w:rFonts w:ascii="Times New Roman" w:hAnsi="Times New Roman" w:cs="Times New Roman"/>
          <w:sz w:val="24"/>
          <w:szCs w:val="24"/>
        </w:rPr>
        <w:t xml:space="preserve">) au Togo. Ces communautés sont </w:t>
      </w:r>
      <w:r w:rsidR="00637E65">
        <w:rPr>
          <w:rFonts w:ascii="Times New Roman" w:eastAsia="Calibri" w:hAnsi="Times New Roman" w:cs="Times New Roman"/>
          <w:sz w:val="24"/>
          <w:szCs w:val="24"/>
        </w:rPr>
        <w:t>en charge de la pestion p</w:t>
      </w:r>
      <w:r w:rsidRPr="006C665B">
        <w:rPr>
          <w:rFonts w:ascii="Times New Roman" w:eastAsia="Calibri" w:hAnsi="Times New Roman" w:cs="Times New Roman"/>
          <w:sz w:val="24"/>
          <w:szCs w:val="24"/>
        </w:rPr>
        <w:t xml:space="preserve">articipative </w:t>
      </w:r>
      <w:r w:rsidR="00637E65">
        <w:rPr>
          <w:rFonts w:ascii="Times New Roman" w:eastAsia="Calibri" w:hAnsi="Times New Roman" w:cs="Times New Roman"/>
          <w:sz w:val="24"/>
          <w:szCs w:val="24"/>
        </w:rPr>
        <w:t>de ces f</w:t>
      </w:r>
      <w:r w:rsidRPr="006C665B">
        <w:rPr>
          <w:rFonts w:ascii="Times New Roman" w:eastAsia="Calibri" w:hAnsi="Times New Roman" w:cs="Times New Roman"/>
          <w:sz w:val="24"/>
          <w:szCs w:val="24"/>
        </w:rPr>
        <w:t xml:space="preserve">orêts. Elles disposent et appliquent les règles de gestion des ressources ces forêts. </w:t>
      </w:r>
    </w:p>
    <w:p w14:paraId="58E3438F" w14:textId="77777777" w:rsidR="00A05444" w:rsidRDefault="00A05444" w:rsidP="008D3966">
      <w:pPr>
        <w:autoSpaceDE w:val="0"/>
        <w:autoSpaceDN w:val="0"/>
        <w:adjustRightInd w:val="0"/>
        <w:spacing w:after="0" w:line="240" w:lineRule="auto"/>
        <w:jc w:val="both"/>
        <w:rPr>
          <w:rFonts w:ascii="Times New Roman" w:eastAsia="Calibri" w:hAnsi="Times New Roman" w:cs="Times New Roman"/>
          <w:sz w:val="24"/>
          <w:szCs w:val="24"/>
        </w:rPr>
      </w:pPr>
    </w:p>
    <w:p w14:paraId="64EB2B2F" w14:textId="77777777" w:rsidR="00785630" w:rsidRDefault="008D3966" w:rsidP="008D3966">
      <w:pPr>
        <w:autoSpaceDE w:val="0"/>
        <w:autoSpaceDN w:val="0"/>
        <w:adjustRightInd w:val="0"/>
        <w:spacing w:after="0" w:line="240" w:lineRule="auto"/>
        <w:jc w:val="both"/>
        <w:rPr>
          <w:rFonts w:ascii="Times New Roman" w:eastAsia="Calibri" w:hAnsi="Times New Roman" w:cs="Times New Roman"/>
          <w:sz w:val="24"/>
          <w:szCs w:val="24"/>
        </w:rPr>
      </w:pPr>
      <w:r w:rsidRPr="006C665B">
        <w:rPr>
          <w:rFonts w:ascii="Times New Roman" w:eastAsia="Calibri" w:hAnsi="Times New Roman" w:cs="Times New Roman"/>
          <w:sz w:val="24"/>
          <w:szCs w:val="24"/>
        </w:rPr>
        <w:t xml:space="preserve">Les actions sont principalement axées sur la protection de la forêt contre les principaux facteurs de dégradation (feux de </w:t>
      </w:r>
      <w:r w:rsidR="00785630">
        <w:rPr>
          <w:rFonts w:ascii="Times New Roman" w:eastAsia="Calibri" w:hAnsi="Times New Roman" w:cs="Times New Roman"/>
          <w:sz w:val="24"/>
          <w:szCs w:val="24"/>
        </w:rPr>
        <w:t>végétation</w:t>
      </w:r>
      <w:r w:rsidRPr="006C665B">
        <w:rPr>
          <w:rFonts w:ascii="Times New Roman" w:eastAsia="Calibri" w:hAnsi="Times New Roman" w:cs="Times New Roman"/>
          <w:sz w:val="24"/>
          <w:szCs w:val="24"/>
        </w:rPr>
        <w:t xml:space="preserve">, coupes illicites, pratiques pastorales non durables, </w:t>
      </w:r>
      <w:r w:rsidR="00785630">
        <w:rPr>
          <w:rFonts w:ascii="Times New Roman" w:eastAsia="Calibri" w:hAnsi="Times New Roman" w:cs="Times New Roman"/>
          <w:sz w:val="24"/>
          <w:szCs w:val="24"/>
        </w:rPr>
        <w:t>etc.</w:t>
      </w:r>
      <w:r w:rsidRPr="006C665B">
        <w:rPr>
          <w:rFonts w:ascii="Times New Roman" w:eastAsia="Calibri" w:hAnsi="Times New Roman" w:cs="Times New Roman"/>
          <w:sz w:val="24"/>
          <w:szCs w:val="24"/>
        </w:rPr>
        <w:t xml:space="preserve">), et la </w:t>
      </w:r>
      <w:r w:rsidRPr="002603D6">
        <w:rPr>
          <w:rFonts w:ascii="Times New Roman" w:eastAsia="Calibri" w:hAnsi="Times New Roman" w:cs="Times New Roman"/>
          <w:sz w:val="24"/>
          <w:szCs w:val="24"/>
        </w:rPr>
        <w:t xml:space="preserve">restauration des zones dégradées. </w:t>
      </w:r>
      <w:r w:rsidR="00785630">
        <w:rPr>
          <w:rFonts w:ascii="Times New Roman" w:eastAsia="Calibri" w:hAnsi="Times New Roman" w:cs="Times New Roman"/>
          <w:sz w:val="24"/>
          <w:szCs w:val="24"/>
        </w:rPr>
        <w:t>Les activités menées</w:t>
      </w:r>
      <w:r w:rsidRPr="002603D6">
        <w:rPr>
          <w:rFonts w:ascii="Times New Roman" w:eastAsia="Calibri" w:hAnsi="Times New Roman" w:cs="Times New Roman"/>
          <w:sz w:val="24"/>
          <w:szCs w:val="24"/>
        </w:rPr>
        <w:t xml:space="preserve"> se présentent essentiellement comme suit : o</w:t>
      </w:r>
      <w:r w:rsidRPr="002603D6">
        <w:rPr>
          <w:rFonts w:ascii="Times New Roman" w:hAnsi="Times New Roman" w:cs="Times New Roman"/>
          <w:sz w:val="24"/>
          <w:szCs w:val="24"/>
        </w:rPr>
        <w:t>rganisation des travaux d’entretien annuel de pare-feu, surveillance de la forêt par le biais de patrouilles, p</w:t>
      </w:r>
      <w:r w:rsidRPr="002603D6">
        <w:rPr>
          <w:rFonts w:ascii="Times New Roman" w:eastAsia="Calibri" w:hAnsi="Times New Roman" w:cs="Times New Roman"/>
          <w:sz w:val="24"/>
          <w:szCs w:val="24"/>
        </w:rPr>
        <w:t xml:space="preserve">lantation </w:t>
      </w:r>
      <w:r w:rsidR="00785630">
        <w:rPr>
          <w:rFonts w:ascii="Times New Roman" w:eastAsia="Calibri" w:hAnsi="Times New Roman" w:cs="Times New Roman"/>
          <w:sz w:val="24"/>
          <w:szCs w:val="24"/>
        </w:rPr>
        <w:t>ou enrichessement des</w:t>
      </w:r>
      <w:r w:rsidRPr="002603D6">
        <w:rPr>
          <w:rFonts w:ascii="Times New Roman" w:eastAsia="Calibri" w:hAnsi="Times New Roman" w:cs="Times New Roman"/>
          <w:sz w:val="24"/>
          <w:szCs w:val="24"/>
        </w:rPr>
        <w:t xml:space="preserve"> zones dégradées, </w:t>
      </w:r>
      <w:r w:rsidR="00785630">
        <w:rPr>
          <w:rFonts w:ascii="Times New Roman" w:eastAsia="Calibri" w:hAnsi="Times New Roman" w:cs="Times New Roman"/>
          <w:sz w:val="24"/>
          <w:szCs w:val="24"/>
        </w:rPr>
        <w:t>etc.</w:t>
      </w:r>
      <w:r w:rsidRPr="002603D6">
        <w:rPr>
          <w:rFonts w:ascii="Times New Roman" w:eastAsia="Calibri" w:hAnsi="Times New Roman" w:cs="Times New Roman"/>
          <w:sz w:val="24"/>
          <w:szCs w:val="24"/>
        </w:rPr>
        <w:t xml:space="preserve"> Il faut aussi </w:t>
      </w:r>
      <w:r w:rsidR="00785630">
        <w:rPr>
          <w:rFonts w:ascii="Times New Roman" w:eastAsia="Calibri" w:hAnsi="Times New Roman" w:cs="Times New Roman"/>
          <w:sz w:val="24"/>
          <w:szCs w:val="24"/>
        </w:rPr>
        <w:t>souligner l’important rôle des c</w:t>
      </w:r>
      <w:r w:rsidRPr="002603D6">
        <w:rPr>
          <w:rFonts w:ascii="Times New Roman" w:eastAsia="Calibri" w:hAnsi="Times New Roman" w:cs="Times New Roman"/>
          <w:sz w:val="24"/>
          <w:szCs w:val="24"/>
        </w:rPr>
        <w:t>hefs de villages riverains, des comités cantonaux/villageois</w:t>
      </w:r>
      <w:r w:rsidRPr="006C665B">
        <w:rPr>
          <w:rFonts w:ascii="Times New Roman" w:eastAsia="Calibri" w:hAnsi="Times New Roman" w:cs="Times New Roman"/>
          <w:sz w:val="24"/>
          <w:szCs w:val="24"/>
        </w:rPr>
        <w:t xml:space="preserve"> de Développement, les comités de développement des quartiers et les organisations paysannes qui interviennent dans la mobilisation des populations. </w:t>
      </w:r>
    </w:p>
    <w:p w14:paraId="5AC71E94" w14:textId="77777777" w:rsidR="00785630" w:rsidRDefault="00785630" w:rsidP="008D3966">
      <w:pPr>
        <w:autoSpaceDE w:val="0"/>
        <w:autoSpaceDN w:val="0"/>
        <w:adjustRightInd w:val="0"/>
        <w:spacing w:after="0" w:line="240" w:lineRule="auto"/>
        <w:jc w:val="both"/>
        <w:rPr>
          <w:rFonts w:ascii="Times New Roman" w:eastAsia="Calibri" w:hAnsi="Times New Roman" w:cs="Times New Roman"/>
          <w:sz w:val="24"/>
          <w:szCs w:val="24"/>
        </w:rPr>
      </w:pPr>
    </w:p>
    <w:p w14:paraId="21A3A130" w14:textId="2CE4A628" w:rsidR="008D3966" w:rsidRPr="006C665B" w:rsidRDefault="008D3966" w:rsidP="008D3966">
      <w:pPr>
        <w:autoSpaceDE w:val="0"/>
        <w:autoSpaceDN w:val="0"/>
        <w:adjustRightInd w:val="0"/>
        <w:spacing w:after="0" w:line="240" w:lineRule="auto"/>
        <w:jc w:val="both"/>
        <w:rPr>
          <w:rFonts w:ascii="Times New Roman" w:eastAsia="Calibri" w:hAnsi="Times New Roman" w:cs="Times New Roman"/>
          <w:sz w:val="24"/>
          <w:szCs w:val="24"/>
        </w:rPr>
      </w:pPr>
      <w:r w:rsidRPr="006C665B">
        <w:rPr>
          <w:rFonts w:ascii="Times New Roman" w:eastAsia="Calibri" w:hAnsi="Times New Roman" w:cs="Times New Roman"/>
          <w:sz w:val="24"/>
          <w:szCs w:val="24"/>
        </w:rPr>
        <w:t xml:space="preserve">En dehors des actions de créations et de gestions des forêts communautaires, les communautés locales sont très impliquées dans différentes actions de restauration des écosystèmes comme il est décrit à la section IV. </w:t>
      </w:r>
    </w:p>
    <w:p w14:paraId="1D6B78EB" w14:textId="77777777" w:rsidR="008D3966" w:rsidRDefault="008D3966" w:rsidP="008D3966">
      <w:pPr>
        <w:autoSpaceDE w:val="0"/>
        <w:autoSpaceDN w:val="0"/>
        <w:adjustRightInd w:val="0"/>
        <w:spacing w:after="0" w:line="240" w:lineRule="auto"/>
        <w:jc w:val="both"/>
        <w:rPr>
          <w:rFonts w:ascii="Times New Roman" w:eastAsia="Calibri" w:hAnsi="Times New Roman" w:cs="Times New Roman"/>
          <w:sz w:val="24"/>
          <w:szCs w:val="24"/>
        </w:rPr>
      </w:pPr>
    </w:p>
    <w:p w14:paraId="3F0A97FA" w14:textId="337E2A16" w:rsidR="008D3966" w:rsidRDefault="008D3966" w:rsidP="008D3966">
      <w:pPr>
        <w:autoSpaceDE w:val="0"/>
        <w:autoSpaceDN w:val="0"/>
        <w:adjustRightInd w:val="0"/>
        <w:spacing w:after="0" w:line="240" w:lineRule="auto"/>
        <w:jc w:val="both"/>
        <w:rPr>
          <w:rFonts w:ascii="Times New Roman" w:hAnsi="Times New Roman" w:cs="Times New Roman"/>
          <w:iCs/>
          <w:sz w:val="24"/>
          <w:szCs w:val="24"/>
          <w:lang w:val="fr-CA"/>
        </w:rPr>
      </w:pPr>
      <w:r w:rsidRPr="006C665B">
        <w:rPr>
          <w:rFonts w:ascii="Times New Roman" w:eastAsia="Calibri" w:hAnsi="Times New Roman" w:cs="Times New Roman"/>
          <w:sz w:val="24"/>
          <w:szCs w:val="24"/>
        </w:rPr>
        <w:t xml:space="preserve">Les communautés locales interviennent aussi dans </w:t>
      </w:r>
      <w:r w:rsidRPr="006C665B">
        <w:rPr>
          <w:rFonts w:ascii="Times New Roman" w:hAnsi="Times New Roman" w:cs="Times New Roman"/>
          <w:iCs/>
          <w:sz w:val="24"/>
          <w:szCs w:val="24"/>
          <w:lang w:val="fr-CA"/>
        </w:rPr>
        <w:t>l’élaboration des plans d’aménagement</w:t>
      </w:r>
      <w:r w:rsidR="00785630">
        <w:rPr>
          <w:rFonts w:ascii="Times New Roman" w:hAnsi="Times New Roman" w:cs="Times New Roman"/>
          <w:iCs/>
          <w:sz w:val="24"/>
          <w:szCs w:val="24"/>
          <w:lang w:val="fr-CA"/>
        </w:rPr>
        <w:t xml:space="preserve"> et de gestion</w:t>
      </w:r>
      <w:r w:rsidRPr="006C665B">
        <w:rPr>
          <w:rFonts w:ascii="Times New Roman" w:hAnsi="Times New Roman" w:cs="Times New Roman"/>
          <w:iCs/>
          <w:sz w:val="24"/>
          <w:szCs w:val="24"/>
          <w:lang w:val="fr-CA"/>
        </w:rPr>
        <w:t xml:space="preserve"> et/ou des plans </w:t>
      </w:r>
      <w:r w:rsidR="00785630">
        <w:rPr>
          <w:rFonts w:ascii="Times New Roman" w:hAnsi="Times New Roman" w:cs="Times New Roman"/>
          <w:iCs/>
          <w:sz w:val="24"/>
          <w:szCs w:val="24"/>
          <w:lang w:val="fr-CA"/>
        </w:rPr>
        <w:t xml:space="preserve">simple </w:t>
      </w:r>
      <w:r w:rsidRPr="006C665B">
        <w:rPr>
          <w:rFonts w:ascii="Times New Roman" w:hAnsi="Times New Roman" w:cs="Times New Roman"/>
          <w:iCs/>
          <w:sz w:val="24"/>
          <w:szCs w:val="24"/>
          <w:lang w:val="fr-CA"/>
        </w:rPr>
        <w:t xml:space="preserve">de gestion. En effet, elles participent activement à la réalisation de la cartographie participative (réunion de prise de contact, sensibilisation et information de la population, formation des cartographes locaux en élaboration de cartes participatives, réalisation de cartes participatives au sol, puis sur papier). A titre d’exemple, on peut noter la participation des populations locales à l’élaboration des plans simples de gestion pour  la forêt d’Akissa, la forêt sacrée </w:t>
      </w:r>
      <w:r w:rsidR="00785630">
        <w:rPr>
          <w:rFonts w:ascii="Times New Roman" w:hAnsi="Times New Roman" w:cs="Times New Roman"/>
          <w:iCs/>
          <w:sz w:val="24"/>
          <w:szCs w:val="24"/>
          <w:lang w:val="fr-CA"/>
        </w:rPr>
        <w:t xml:space="preserve">de </w:t>
      </w:r>
      <w:r w:rsidRPr="006C665B">
        <w:rPr>
          <w:rFonts w:ascii="Times New Roman" w:hAnsi="Times New Roman" w:cs="Times New Roman"/>
          <w:iCs/>
          <w:sz w:val="24"/>
          <w:szCs w:val="24"/>
          <w:lang w:val="fr-CA"/>
        </w:rPr>
        <w:t>Godjé-Godjin, le chenal de Gbaga, la réserve d</w:t>
      </w:r>
      <w:r w:rsidR="00785630">
        <w:rPr>
          <w:rFonts w:ascii="Times New Roman" w:hAnsi="Times New Roman" w:cs="Times New Roman"/>
          <w:iCs/>
          <w:sz w:val="24"/>
          <w:szCs w:val="24"/>
          <w:lang w:val="fr-CA"/>
        </w:rPr>
        <w:t xml:space="preserve">e Togodo, et les mares d’Afito, pour </w:t>
      </w:r>
      <w:r w:rsidRPr="006C665B">
        <w:rPr>
          <w:rFonts w:ascii="Times New Roman" w:hAnsi="Times New Roman" w:cs="Times New Roman"/>
          <w:iCs/>
          <w:sz w:val="24"/>
          <w:szCs w:val="24"/>
          <w:lang w:val="fr-CA"/>
        </w:rPr>
        <w:t>la réserve de biosphère transfrontalière du Mono.</w:t>
      </w:r>
      <w:r>
        <w:rPr>
          <w:rFonts w:ascii="Times New Roman" w:hAnsi="Times New Roman" w:cs="Times New Roman"/>
          <w:iCs/>
          <w:sz w:val="24"/>
          <w:szCs w:val="24"/>
          <w:lang w:val="fr-CA"/>
        </w:rPr>
        <w:t xml:space="preserve">  </w:t>
      </w:r>
      <w:r w:rsidR="00785630">
        <w:rPr>
          <w:rFonts w:ascii="Times New Roman" w:hAnsi="Times New Roman" w:cs="Times New Roman"/>
          <w:iCs/>
          <w:sz w:val="24"/>
          <w:szCs w:val="24"/>
          <w:lang w:val="fr-CA"/>
        </w:rPr>
        <w:t xml:space="preserve">La </w:t>
      </w:r>
      <w:r>
        <w:rPr>
          <w:rFonts w:ascii="Times New Roman" w:hAnsi="Times New Roman" w:cs="Times New Roman"/>
          <w:iCs/>
          <w:sz w:val="24"/>
          <w:szCs w:val="24"/>
          <w:lang w:val="fr-CA"/>
        </w:rPr>
        <w:t xml:space="preserve">contribution des populations locales est </w:t>
      </w:r>
      <w:r w:rsidR="00785630">
        <w:rPr>
          <w:rFonts w:ascii="Times New Roman" w:hAnsi="Times New Roman" w:cs="Times New Roman"/>
          <w:iCs/>
          <w:sz w:val="24"/>
          <w:szCs w:val="24"/>
          <w:lang w:val="fr-CA"/>
        </w:rPr>
        <w:t xml:space="preserve">également </w:t>
      </w:r>
      <w:r>
        <w:rPr>
          <w:rFonts w:ascii="Times New Roman" w:hAnsi="Times New Roman" w:cs="Times New Roman"/>
          <w:iCs/>
          <w:sz w:val="24"/>
          <w:szCs w:val="24"/>
          <w:lang w:val="fr-CA"/>
        </w:rPr>
        <w:t xml:space="preserve">effective </w:t>
      </w:r>
      <w:r w:rsidRPr="00CD36E3">
        <w:rPr>
          <w:rFonts w:ascii="Times New Roman" w:hAnsi="Times New Roman" w:cs="Times New Roman"/>
          <w:iCs/>
          <w:sz w:val="24"/>
          <w:szCs w:val="24"/>
          <w:lang w:val="fr-CA"/>
        </w:rPr>
        <w:t>à travers la création des Associations Villageoises de Gestion Participative des Aires Protégées (AVGAP) et l’Union des Associations Villageoises de Gestion Participative des Aires Protégées (UAVGAP) qui participent activement à la gestion des aires protégées.</w:t>
      </w:r>
    </w:p>
    <w:p w14:paraId="14752C09" w14:textId="77777777" w:rsidR="008D3966" w:rsidRDefault="008D3966" w:rsidP="008D3966">
      <w:pPr>
        <w:autoSpaceDE w:val="0"/>
        <w:autoSpaceDN w:val="0"/>
        <w:adjustRightInd w:val="0"/>
        <w:spacing w:after="0" w:line="240" w:lineRule="auto"/>
        <w:jc w:val="both"/>
        <w:rPr>
          <w:rFonts w:ascii="Times New Roman" w:hAnsi="Times New Roman" w:cs="Times New Roman"/>
          <w:iCs/>
          <w:sz w:val="24"/>
          <w:szCs w:val="24"/>
          <w:lang w:val="fr-CA"/>
        </w:rPr>
      </w:pPr>
    </w:p>
    <w:p w14:paraId="6E27236B" w14:textId="77777777" w:rsidR="008D3966" w:rsidRDefault="008D3966" w:rsidP="008D3966">
      <w:pPr>
        <w:autoSpaceDE w:val="0"/>
        <w:autoSpaceDN w:val="0"/>
        <w:adjustRightInd w:val="0"/>
        <w:spacing w:after="0" w:line="240" w:lineRule="auto"/>
        <w:jc w:val="both"/>
        <w:rPr>
          <w:rFonts w:ascii="Times New Roman" w:hAnsi="Times New Roman" w:cs="Times New Roman"/>
          <w:iCs/>
          <w:sz w:val="24"/>
          <w:szCs w:val="24"/>
          <w:lang w:val="fr-CA"/>
        </w:rPr>
      </w:pPr>
      <w:r w:rsidRPr="006A3059">
        <w:rPr>
          <w:rFonts w:ascii="Times New Roman" w:hAnsi="Times New Roman" w:cs="Times New Roman"/>
          <w:iCs/>
          <w:sz w:val="24"/>
          <w:szCs w:val="24"/>
          <w:lang w:val="fr-CA"/>
        </w:rPr>
        <w:t xml:space="preserve">Par ailleurs, </w:t>
      </w:r>
      <w:r>
        <w:rPr>
          <w:rFonts w:ascii="Times New Roman" w:hAnsi="Times New Roman" w:cs="Times New Roman"/>
          <w:iCs/>
          <w:sz w:val="24"/>
          <w:szCs w:val="24"/>
          <w:lang w:val="fr-CA"/>
        </w:rPr>
        <w:t xml:space="preserve">on peut noter à titre d’exemple la contribution des communautés locales à travers </w:t>
      </w:r>
      <w:r w:rsidRPr="006A3059">
        <w:rPr>
          <w:rFonts w:ascii="Times New Roman" w:hAnsi="Times New Roman" w:cs="Times New Roman"/>
          <w:iCs/>
          <w:sz w:val="24"/>
          <w:szCs w:val="24"/>
          <w:lang w:val="fr-CA"/>
        </w:rPr>
        <w:t>le Projet OIBT PD51/ 99 Rev.2 (F), «Appui à la mobilisation des initiatives de base pour la promotion de la sylviculture dans le Yoto»</w:t>
      </w:r>
      <w:r>
        <w:rPr>
          <w:rFonts w:ascii="Times New Roman" w:hAnsi="Times New Roman" w:cs="Times New Roman"/>
          <w:iCs/>
          <w:sz w:val="24"/>
          <w:szCs w:val="24"/>
          <w:lang w:val="fr-CA"/>
        </w:rPr>
        <w:t>. Ce projet a été</w:t>
      </w:r>
      <w:r w:rsidRPr="006A3059">
        <w:rPr>
          <w:rFonts w:ascii="Times New Roman" w:hAnsi="Times New Roman" w:cs="Times New Roman"/>
          <w:iCs/>
          <w:sz w:val="24"/>
          <w:szCs w:val="24"/>
          <w:lang w:val="fr-CA"/>
        </w:rPr>
        <w:t xml:space="preserve"> mis en œuvre par l’ONG ALTERNATIVE en collaboration avec l’ODEF </w:t>
      </w:r>
      <w:r>
        <w:rPr>
          <w:rFonts w:ascii="Times New Roman" w:hAnsi="Times New Roman" w:cs="Times New Roman"/>
          <w:iCs/>
          <w:sz w:val="24"/>
          <w:szCs w:val="24"/>
          <w:lang w:val="fr-CA"/>
        </w:rPr>
        <w:t>et a</w:t>
      </w:r>
      <w:r w:rsidRPr="006A3059">
        <w:rPr>
          <w:rFonts w:ascii="Times New Roman" w:hAnsi="Times New Roman" w:cs="Times New Roman"/>
          <w:iCs/>
          <w:sz w:val="24"/>
          <w:szCs w:val="24"/>
          <w:lang w:val="fr-CA"/>
        </w:rPr>
        <w:t xml:space="preserve"> contribué à l’épanouissement socio-économique des communautés de base à travers la protection de la flore et le développement</w:t>
      </w:r>
      <w:r w:rsidR="00D624C0">
        <w:rPr>
          <w:rFonts w:ascii="Times New Roman" w:hAnsi="Times New Roman" w:cs="Times New Roman"/>
          <w:iCs/>
          <w:sz w:val="24"/>
          <w:szCs w:val="24"/>
          <w:lang w:val="fr-CA"/>
        </w:rPr>
        <w:t xml:space="preserve"> des reboisements. Il s’agit</w:t>
      </w:r>
      <w:r w:rsidRPr="006A3059">
        <w:rPr>
          <w:rFonts w:ascii="Times New Roman" w:hAnsi="Times New Roman" w:cs="Times New Roman"/>
          <w:iCs/>
          <w:sz w:val="24"/>
          <w:szCs w:val="24"/>
          <w:lang w:val="fr-CA"/>
        </w:rPr>
        <w:t xml:space="preserve"> d’une action pilote d’auto promotion réalisée sous forme de recherche-action en développement intégré durable. Les populations cibles ont été encouragées à développer des activités de reboisement privées de façon à créer des forêts communautaires dont l’exploitation future permettra d’améliorer significativement leurs revenus monétaires. Le système agroforestier appliqué et le caractère privé des plantations installées ont favorisé un entretien régulier et une lutte efficace contre les feux de végétation dévastateurs. L’expérience de la cogestion du projet a permis de tester la collaboration Etat-ONG-populations locales dans la gestion durable des ressources forestières au Togo.</w:t>
      </w:r>
    </w:p>
    <w:p w14:paraId="6E86AB04" w14:textId="77777777" w:rsidR="008D3966" w:rsidRDefault="008D3966" w:rsidP="008D3966">
      <w:pPr>
        <w:autoSpaceDE w:val="0"/>
        <w:autoSpaceDN w:val="0"/>
        <w:adjustRightInd w:val="0"/>
        <w:spacing w:after="0" w:line="240" w:lineRule="auto"/>
        <w:jc w:val="both"/>
        <w:rPr>
          <w:rFonts w:ascii="Times New Roman" w:hAnsi="Times New Roman" w:cs="Times New Roman"/>
          <w:iCs/>
          <w:sz w:val="24"/>
          <w:szCs w:val="24"/>
          <w:lang w:val="fr-CA"/>
        </w:rPr>
      </w:pPr>
    </w:p>
    <w:p w14:paraId="3F5BAF11" w14:textId="6777326E" w:rsidR="00A05444" w:rsidRDefault="008D3966" w:rsidP="008D3966">
      <w:pPr>
        <w:autoSpaceDE w:val="0"/>
        <w:autoSpaceDN w:val="0"/>
        <w:adjustRightInd w:val="0"/>
        <w:spacing w:after="0" w:line="240" w:lineRule="auto"/>
        <w:jc w:val="both"/>
        <w:rPr>
          <w:rFonts w:ascii="Times New Roman" w:hAnsi="Times New Roman" w:cs="Times New Roman"/>
          <w:kern w:val="22"/>
          <w:sz w:val="24"/>
          <w:szCs w:val="24"/>
        </w:rPr>
      </w:pPr>
      <w:r>
        <w:rPr>
          <w:rFonts w:ascii="Times New Roman" w:hAnsi="Times New Roman" w:cs="Times New Roman"/>
          <w:iCs/>
          <w:sz w:val="24"/>
          <w:szCs w:val="24"/>
          <w:lang w:val="fr-CA"/>
        </w:rPr>
        <w:t xml:space="preserve">Les populations contribuent aussi </w:t>
      </w:r>
      <w:r w:rsidRPr="006C665B">
        <w:rPr>
          <w:rFonts w:ascii="Times New Roman" w:hAnsi="Times New Roman" w:cs="Times New Roman"/>
          <w:kern w:val="22"/>
          <w:sz w:val="24"/>
          <w:szCs w:val="24"/>
        </w:rPr>
        <w:t>à la réalisation des Objectifs d’Aichi pour la biodiversité</w:t>
      </w:r>
      <w:r>
        <w:rPr>
          <w:rFonts w:ascii="Times New Roman" w:hAnsi="Times New Roman" w:cs="Times New Roman"/>
          <w:kern w:val="22"/>
          <w:sz w:val="24"/>
          <w:szCs w:val="24"/>
        </w:rPr>
        <w:t xml:space="preserve"> à travers des actions réalisées en faveur de la gestion durable des terres. En effet, </w:t>
      </w:r>
      <w:r w:rsidR="00785630">
        <w:rPr>
          <w:rFonts w:ascii="Times New Roman" w:hAnsi="Times New Roman" w:cs="Times New Roman"/>
          <w:kern w:val="22"/>
          <w:sz w:val="24"/>
          <w:szCs w:val="24"/>
        </w:rPr>
        <w:t>d</w:t>
      </w:r>
      <w:r w:rsidRPr="00C31E59">
        <w:rPr>
          <w:rFonts w:ascii="Times New Roman" w:hAnsi="Times New Roman" w:cs="Times New Roman"/>
          <w:kern w:val="22"/>
          <w:sz w:val="24"/>
          <w:szCs w:val="24"/>
        </w:rPr>
        <w:t>ans les localités au sud du Togo, notamment dans les régions Maritime et des Plateaux, les bonnes pratiques</w:t>
      </w:r>
      <w:r>
        <w:rPr>
          <w:rFonts w:ascii="Times New Roman" w:hAnsi="Times New Roman" w:cs="Times New Roman"/>
          <w:kern w:val="22"/>
          <w:sz w:val="24"/>
          <w:szCs w:val="24"/>
        </w:rPr>
        <w:t xml:space="preserve"> de gestion dur</w:t>
      </w:r>
      <w:r w:rsidR="00785630">
        <w:rPr>
          <w:rFonts w:ascii="Times New Roman" w:hAnsi="Times New Roman" w:cs="Times New Roman"/>
          <w:kern w:val="22"/>
          <w:sz w:val="24"/>
          <w:szCs w:val="24"/>
        </w:rPr>
        <w:t xml:space="preserve">able des terres mises en place par </w:t>
      </w:r>
      <w:r>
        <w:rPr>
          <w:rFonts w:ascii="Times New Roman" w:hAnsi="Times New Roman" w:cs="Times New Roman"/>
          <w:kern w:val="22"/>
          <w:sz w:val="24"/>
          <w:szCs w:val="24"/>
        </w:rPr>
        <w:t>les populations s</w:t>
      </w:r>
      <w:r w:rsidRPr="00C31E59">
        <w:rPr>
          <w:rFonts w:ascii="Times New Roman" w:hAnsi="Times New Roman" w:cs="Times New Roman"/>
          <w:kern w:val="22"/>
          <w:sz w:val="24"/>
          <w:szCs w:val="24"/>
        </w:rPr>
        <w:t>ont principalement le reboisement, les jachères, l’agroforesterie, les systèmes de billonnage/creusement de rigole, le compostage, le paillage</w:t>
      </w:r>
      <w:r>
        <w:rPr>
          <w:rFonts w:ascii="Times New Roman" w:hAnsi="Times New Roman" w:cs="Times New Roman"/>
          <w:kern w:val="22"/>
          <w:sz w:val="24"/>
          <w:szCs w:val="24"/>
        </w:rPr>
        <w:t xml:space="preserve">. </w:t>
      </w:r>
      <w:r w:rsidRPr="00C31E59">
        <w:rPr>
          <w:rFonts w:ascii="Times New Roman" w:hAnsi="Times New Roman" w:cs="Times New Roman"/>
          <w:kern w:val="22"/>
          <w:sz w:val="24"/>
          <w:szCs w:val="24"/>
        </w:rPr>
        <w:t>Dans la région Centrale, la plupart des pratiques rencontrée dans les régions Maritime et des Plateaux s'y retrouvent mais en plus, les populations utilisent l'associa</w:t>
      </w:r>
      <w:r w:rsidR="00A05444">
        <w:rPr>
          <w:rFonts w:ascii="Times New Roman" w:hAnsi="Times New Roman" w:cs="Times New Roman"/>
          <w:kern w:val="22"/>
          <w:sz w:val="24"/>
          <w:szCs w:val="24"/>
        </w:rPr>
        <w:t>tion des cultures et la fumure.</w:t>
      </w:r>
    </w:p>
    <w:p w14:paraId="3B57E755" w14:textId="77777777" w:rsidR="00A05444" w:rsidRDefault="00A05444" w:rsidP="008D3966">
      <w:pPr>
        <w:autoSpaceDE w:val="0"/>
        <w:autoSpaceDN w:val="0"/>
        <w:adjustRightInd w:val="0"/>
        <w:spacing w:after="0" w:line="240" w:lineRule="auto"/>
        <w:jc w:val="both"/>
        <w:rPr>
          <w:rFonts w:ascii="Times New Roman" w:hAnsi="Times New Roman" w:cs="Times New Roman"/>
          <w:kern w:val="22"/>
          <w:sz w:val="24"/>
          <w:szCs w:val="24"/>
        </w:rPr>
      </w:pPr>
    </w:p>
    <w:p w14:paraId="36527EA6" w14:textId="08EBE5F5" w:rsidR="008D3966" w:rsidRPr="006C665B" w:rsidRDefault="008D3966" w:rsidP="008D3966">
      <w:pPr>
        <w:autoSpaceDE w:val="0"/>
        <w:autoSpaceDN w:val="0"/>
        <w:adjustRightInd w:val="0"/>
        <w:spacing w:after="0" w:line="240" w:lineRule="auto"/>
        <w:jc w:val="both"/>
        <w:rPr>
          <w:rFonts w:ascii="Times New Roman" w:hAnsi="Times New Roman" w:cs="Times New Roman"/>
          <w:sz w:val="24"/>
          <w:szCs w:val="24"/>
        </w:rPr>
      </w:pPr>
      <w:r w:rsidRPr="00C31E59">
        <w:rPr>
          <w:rFonts w:ascii="Times New Roman" w:hAnsi="Times New Roman" w:cs="Times New Roman"/>
          <w:kern w:val="22"/>
          <w:sz w:val="24"/>
          <w:szCs w:val="24"/>
        </w:rPr>
        <w:t xml:space="preserve">La pratique du labour perpendiculairement au sens de la grande pente pour lutter contre l’érosion hydrique permet aux billons de retenir l’eau de ruissellement et constitue une technique qui est bien adaptée aux terrains dont la pente est </w:t>
      </w:r>
      <w:r w:rsidR="00785630">
        <w:rPr>
          <w:rFonts w:ascii="Times New Roman" w:hAnsi="Times New Roman" w:cs="Times New Roman"/>
          <w:kern w:val="22"/>
          <w:sz w:val="24"/>
          <w:szCs w:val="24"/>
        </w:rPr>
        <w:t>comprise entre</w:t>
      </w:r>
      <w:r w:rsidRPr="00C31E59">
        <w:rPr>
          <w:rFonts w:ascii="Times New Roman" w:hAnsi="Times New Roman" w:cs="Times New Roman"/>
          <w:kern w:val="22"/>
          <w:sz w:val="24"/>
          <w:szCs w:val="24"/>
        </w:rPr>
        <w:t xml:space="preserve"> 3 à 7%.</w:t>
      </w:r>
      <w:r w:rsidR="00785630">
        <w:rPr>
          <w:rFonts w:ascii="Times New Roman" w:hAnsi="Times New Roman" w:cs="Times New Roman"/>
          <w:kern w:val="22"/>
          <w:sz w:val="24"/>
          <w:szCs w:val="24"/>
        </w:rPr>
        <w:t xml:space="preserve"> </w:t>
      </w:r>
      <w:r w:rsidRPr="00C31E59">
        <w:rPr>
          <w:rFonts w:ascii="Times New Roman" w:hAnsi="Times New Roman" w:cs="Times New Roman"/>
          <w:kern w:val="22"/>
          <w:sz w:val="24"/>
          <w:szCs w:val="24"/>
        </w:rPr>
        <w:t>Dans la région de la Kara, on retrouve des pratiques similaires essentiellement les agroforêts (à Parkia) et la jachère, mais d'autres technologies de conservation des terres ont été identifiées. Il s’agit des billons cloisonnés ou non, du reboisement et des terrasses.</w:t>
      </w:r>
      <w:r w:rsidR="00785630">
        <w:rPr>
          <w:rFonts w:ascii="Times New Roman" w:hAnsi="Times New Roman" w:cs="Times New Roman"/>
          <w:kern w:val="22"/>
          <w:sz w:val="24"/>
          <w:szCs w:val="24"/>
        </w:rPr>
        <w:t xml:space="preserve"> </w:t>
      </w:r>
      <w:r w:rsidRPr="00C31E59">
        <w:rPr>
          <w:rFonts w:ascii="Times New Roman" w:hAnsi="Times New Roman" w:cs="Times New Roman"/>
          <w:kern w:val="22"/>
          <w:sz w:val="24"/>
          <w:szCs w:val="24"/>
        </w:rPr>
        <w:t xml:space="preserve">Dans la région des Savanes, on rencontre les mêmes technologies que dans la région de la Kara sauf les terrasses. Mais à cela, il faut ajouter la mise en défens et les cordons pierreux. Dans </w:t>
      </w:r>
      <w:r w:rsidR="00785630">
        <w:rPr>
          <w:rFonts w:ascii="Times New Roman" w:hAnsi="Times New Roman" w:cs="Times New Roman"/>
          <w:kern w:val="22"/>
          <w:sz w:val="24"/>
          <w:szCs w:val="24"/>
        </w:rPr>
        <w:t>cette région, se développe aussi</w:t>
      </w:r>
      <w:r w:rsidRPr="00C31E59">
        <w:rPr>
          <w:rFonts w:ascii="Times New Roman" w:hAnsi="Times New Roman" w:cs="Times New Roman"/>
          <w:kern w:val="22"/>
          <w:sz w:val="24"/>
          <w:szCs w:val="24"/>
        </w:rPr>
        <w:t xml:space="preserve"> l’agroforesterie, essentiellement à </w:t>
      </w:r>
      <w:r w:rsidRPr="00C31E59">
        <w:rPr>
          <w:rFonts w:ascii="Times New Roman" w:hAnsi="Times New Roman" w:cs="Times New Roman"/>
          <w:i/>
          <w:kern w:val="22"/>
          <w:sz w:val="24"/>
          <w:szCs w:val="24"/>
        </w:rPr>
        <w:t>Parkia</w:t>
      </w:r>
      <w:r w:rsidRPr="00C31E59">
        <w:rPr>
          <w:rFonts w:ascii="Times New Roman" w:hAnsi="Times New Roman" w:cs="Times New Roman"/>
          <w:kern w:val="22"/>
          <w:sz w:val="24"/>
          <w:szCs w:val="24"/>
        </w:rPr>
        <w:t xml:space="preserve">, à </w:t>
      </w:r>
      <w:r w:rsidRPr="00C31E59">
        <w:rPr>
          <w:rFonts w:ascii="Times New Roman" w:hAnsi="Times New Roman" w:cs="Times New Roman"/>
          <w:i/>
          <w:kern w:val="22"/>
          <w:sz w:val="24"/>
          <w:szCs w:val="24"/>
        </w:rPr>
        <w:t xml:space="preserve">Vitellaria </w:t>
      </w:r>
      <w:r w:rsidRPr="00C31E59">
        <w:rPr>
          <w:rFonts w:ascii="Times New Roman" w:hAnsi="Times New Roman" w:cs="Times New Roman"/>
          <w:kern w:val="22"/>
          <w:sz w:val="24"/>
          <w:szCs w:val="24"/>
        </w:rPr>
        <w:t xml:space="preserve">et à </w:t>
      </w:r>
      <w:r w:rsidRPr="00C31E59">
        <w:rPr>
          <w:rFonts w:ascii="Times New Roman" w:hAnsi="Times New Roman" w:cs="Times New Roman"/>
          <w:i/>
          <w:kern w:val="22"/>
          <w:sz w:val="24"/>
          <w:szCs w:val="24"/>
        </w:rPr>
        <w:t>Borassus</w:t>
      </w:r>
      <w:r>
        <w:rPr>
          <w:rFonts w:ascii="Times New Roman" w:hAnsi="Times New Roman" w:cs="Times New Roman"/>
          <w:kern w:val="22"/>
          <w:sz w:val="24"/>
          <w:szCs w:val="24"/>
        </w:rPr>
        <w:t>.</w:t>
      </w:r>
    </w:p>
    <w:p w14:paraId="15D166D2" w14:textId="77777777" w:rsidR="008D3966" w:rsidRPr="000E66C9" w:rsidRDefault="008D3966" w:rsidP="000E66C9">
      <w:pPr>
        <w:numPr>
          <w:ilvl w:val="12"/>
          <w:numId w:val="0"/>
        </w:numPr>
        <w:spacing w:after="0" w:line="240" w:lineRule="auto"/>
        <w:jc w:val="both"/>
        <w:rPr>
          <w:rFonts w:ascii="Times New Roman" w:hAnsi="Times New Roman" w:cs="Times New Roman"/>
          <w:b/>
          <w:sz w:val="24"/>
          <w:szCs w:val="24"/>
        </w:rPr>
      </w:pPr>
    </w:p>
    <w:p w14:paraId="1D6248D4" w14:textId="098201DB" w:rsidR="002C24B8" w:rsidRPr="000E66C9" w:rsidRDefault="00ED2E7E" w:rsidP="00A05444">
      <w:pPr>
        <w:numPr>
          <w:ilvl w:val="12"/>
          <w:numId w:val="0"/>
        </w:numPr>
        <w:spacing w:after="0" w:line="240" w:lineRule="auto"/>
        <w:outlineLvl w:val="1"/>
        <w:rPr>
          <w:rFonts w:ascii="Times New Roman" w:hAnsi="Times New Roman" w:cs="Times New Roman"/>
          <w:sz w:val="24"/>
          <w:szCs w:val="24"/>
        </w:rPr>
      </w:pPr>
      <w:bookmarkStart w:id="90" w:name="_Toc533413771"/>
      <w:r>
        <w:rPr>
          <w:rFonts w:ascii="Times New Roman" w:hAnsi="Times New Roman" w:cs="Times New Roman"/>
          <w:b/>
          <w:sz w:val="24"/>
          <w:szCs w:val="24"/>
        </w:rPr>
        <w:t>6</w:t>
      </w:r>
      <w:r w:rsidR="00D624C0" w:rsidRPr="003F7E61">
        <w:rPr>
          <w:rFonts w:ascii="Times New Roman" w:hAnsi="Times New Roman" w:cs="Times New Roman"/>
          <w:b/>
          <w:color w:val="000000"/>
          <w:sz w:val="24"/>
          <w:szCs w:val="24"/>
        </w:rPr>
        <w:t xml:space="preserve">.2. </w:t>
      </w:r>
      <w:r w:rsidR="002C24B8" w:rsidRPr="003F7E61">
        <w:rPr>
          <w:rFonts w:ascii="Times New Roman" w:hAnsi="Times New Roman" w:cs="Times New Roman"/>
          <w:b/>
          <w:color w:val="000000"/>
          <w:sz w:val="24"/>
          <w:szCs w:val="24"/>
        </w:rPr>
        <w:t>P</w:t>
      </w:r>
      <w:r w:rsidR="00D624C0" w:rsidRPr="003F7E61">
        <w:rPr>
          <w:rFonts w:ascii="Times New Roman" w:hAnsi="Times New Roman" w:cs="Times New Roman"/>
          <w:b/>
          <w:color w:val="000000"/>
          <w:sz w:val="24"/>
          <w:szCs w:val="24"/>
        </w:rPr>
        <w:t>ratiques endogè</w:t>
      </w:r>
      <w:r w:rsidR="002C24B8" w:rsidRPr="003F7E61">
        <w:rPr>
          <w:rFonts w:ascii="Times New Roman" w:hAnsi="Times New Roman" w:cs="Times New Roman"/>
          <w:b/>
          <w:color w:val="000000"/>
          <w:sz w:val="24"/>
          <w:szCs w:val="24"/>
        </w:rPr>
        <w:t xml:space="preserve">nes de conservation et de gestion de la biodiversite : </w:t>
      </w:r>
      <w:r w:rsidR="000E66C9" w:rsidRPr="003F7E61">
        <w:rPr>
          <w:rFonts w:ascii="Times New Roman" w:hAnsi="Times New Roman" w:cs="Times New Roman"/>
          <w:b/>
          <w:color w:val="000000"/>
          <w:sz w:val="24"/>
          <w:szCs w:val="24"/>
        </w:rPr>
        <w:t>é</w:t>
      </w:r>
      <w:r w:rsidR="002C24B8" w:rsidRPr="003F7E61">
        <w:rPr>
          <w:rFonts w:ascii="Times New Roman" w:hAnsi="Times New Roman" w:cs="Times New Roman"/>
          <w:b/>
          <w:color w:val="000000"/>
          <w:sz w:val="24"/>
          <w:szCs w:val="24"/>
        </w:rPr>
        <w:t>tude</w:t>
      </w:r>
      <w:r w:rsidR="00144E83" w:rsidRPr="003F7E61">
        <w:rPr>
          <w:rFonts w:ascii="Times New Roman" w:hAnsi="Times New Roman" w:cs="Times New Roman"/>
          <w:b/>
          <w:color w:val="000000"/>
          <w:sz w:val="24"/>
          <w:szCs w:val="24"/>
        </w:rPr>
        <w:t>s</w:t>
      </w:r>
      <w:r w:rsidR="002C24B8" w:rsidRPr="003F7E61">
        <w:rPr>
          <w:rFonts w:ascii="Times New Roman" w:hAnsi="Times New Roman" w:cs="Times New Roman"/>
          <w:b/>
          <w:color w:val="000000"/>
          <w:sz w:val="24"/>
          <w:szCs w:val="24"/>
        </w:rPr>
        <w:t xml:space="preserve"> de cas</w:t>
      </w:r>
      <w:bookmarkEnd w:id="90"/>
    </w:p>
    <w:p w14:paraId="5E90ABE1" w14:textId="77777777" w:rsidR="000E66C9" w:rsidRDefault="000E66C9" w:rsidP="000E66C9">
      <w:pPr>
        <w:numPr>
          <w:ilvl w:val="12"/>
          <w:numId w:val="0"/>
        </w:numPr>
        <w:spacing w:after="0" w:line="240" w:lineRule="auto"/>
        <w:jc w:val="both"/>
        <w:rPr>
          <w:rFonts w:ascii="Times New Roman" w:hAnsi="Times New Roman" w:cs="Times New Roman"/>
          <w:sz w:val="24"/>
          <w:szCs w:val="24"/>
        </w:rPr>
      </w:pPr>
    </w:p>
    <w:p w14:paraId="6F1EBFC9" w14:textId="4E68C91B" w:rsidR="00650F49" w:rsidRPr="00650F49" w:rsidRDefault="00ED2E7E" w:rsidP="00A05444">
      <w:pPr>
        <w:numPr>
          <w:ilvl w:val="12"/>
          <w:numId w:val="0"/>
        </w:numPr>
        <w:spacing w:after="0" w:line="240" w:lineRule="auto"/>
        <w:outlineLvl w:val="2"/>
        <w:rPr>
          <w:rFonts w:ascii="Times New Roman" w:hAnsi="Times New Roman" w:cs="Times New Roman"/>
          <w:b/>
          <w:sz w:val="24"/>
          <w:szCs w:val="24"/>
        </w:rPr>
      </w:pPr>
      <w:bookmarkStart w:id="91" w:name="_Toc533413772"/>
      <w:r>
        <w:rPr>
          <w:rFonts w:ascii="Times New Roman" w:hAnsi="Times New Roman" w:cs="Times New Roman"/>
          <w:b/>
          <w:sz w:val="24"/>
          <w:szCs w:val="24"/>
        </w:rPr>
        <w:t>6</w:t>
      </w:r>
      <w:r w:rsidR="00650F49" w:rsidRPr="00650F49">
        <w:rPr>
          <w:rFonts w:ascii="Times New Roman" w:hAnsi="Times New Roman" w:cs="Times New Roman"/>
          <w:b/>
          <w:sz w:val="24"/>
          <w:szCs w:val="24"/>
        </w:rPr>
        <w:t>.2.1. Etude de cas</w:t>
      </w:r>
      <w:bookmarkEnd w:id="91"/>
    </w:p>
    <w:p w14:paraId="09B07530" w14:textId="77777777" w:rsidR="00650F49" w:rsidRDefault="00650F49" w:rsidP="000E66C9">
      <w:pPr>
        <w:numPr>
          <w:ilvl w:val="12"/>
          <w:numId w:val="0"/>
        </w:numPr>
        <w:spacing w:after="0" w:line="240" w:lineRule="auto"/>
        <w:jc w:val="both"/>
        <w:rPr>
          <w:rFonts w:ascii="Times New Roman" w:hAnsi="Times New Roman" w:cs="Times New Roman"/>
          <w:sz w:val="24"/>
          <w:szCs w:val="24"/>
        </w:rPr>
      </w:pPr>
    </w:p>
    <w:p w14:paraId="518C6CF5" w14:textId="75EA5EA9" w:rsidR="002C24B8" w:rsidRPr="000E66C9" w:rsidRDefault="002C24B8" w:rsidP="000E66C9">
      <w:pPr>
        <w:numPr>
          <w:ilvl w:val="12"/>
          <w:numId w:val="0"/>
        </w:num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 xml:space="preserve">Les populations togolaises entretiennent d’étroites relations avec leur environnement immédiat. Une interdépendance entre les hommes et les espèces végétales et animales s’illustre à travers une représentativité de l’espace environnemental par la dimension religieuse et culturelle qui se traduit dans les pratiques quotidiennes. Chez les Kabye de la région de </w:t>
      </w:r>
      <w:r w:rsidR="00785630">
        <w:rPr>
          <w:rFonts w:ascii="Times New Roman" w:hAnsi="Times New Roman" w:cs="Times New Roman"/>
          <w:sz w:val="24"/>
          <w:szCs w:val="24"/>
        </w:rPr>
        <w:t xml:space="preserve">la </w:t>
      </w:r>
      <w:r w:rsidRPr="000E66C9">
        <w:rPr>
          <w:rFonts w:ascii="Times New Roman" w:hAnsi="Times New Roman" w:cs="Times New Roman"/>
          <w:sz w:val="24"/>
          <w:szCs w:val="24"/>
        </w:rPr>
        <w:t xml:space="preserve">Kara, les cours d'eau seraient habités par des dieux qui possèdent la faculté de faire tomber la pluie et veiller au bien-être de la population. Dans la Préfecture de la Binah, </w:t>
      </w:r>
      <w:r w:rsidRPr="000E66C9">
        <w:rPr>
          <w:rFonts w:ascii="Times New Roman" w:hAnsi="Times New Roman" w:cs="Times New Roman"/>
          <w:i/>
          <w:sz w:val="24"/>
          <w:szCs w:val="24"/>
        </w:rPr>
        <w:t>Nanzou</w:t>
      </w:r>
      <w:r w:rsidRPr="000E66C9">
        <w:rPr>
          <w:rFonts w:ascii="Times New Roman" w:hAnsi="Times New Roman" w:cs="Times New Roman"/>
          <w:sz w:val="24"/>
          <w:szCs w:val="24"/>
        </w:rPr>
        <w:t xml:space="preserve">, dieu de la rivière est protecteur de toute la communauté. Sa valeur sacrée justifie en partie l’importance qu’on lui accorde à travers des cultes et des rites périodiques pratiqués sur le flanc de la colline </w:t>
      </w:r>
      <w:r w:rsidRPr="000E66C9">
        <w:rPr>
          <w:rFonts w:ascii="Times New Roman" w:hAnsi="Times New Roman" w:cs="Times New Roman"/>
          <w:i/>
          <w:sz w:val="24"/>
          <w:szCs w:val="24"/>
        </w:rPr>
        <w:t>Nandeli</w:t>
      </w:r>
      <w:r w:rsidRPr="000E66C9">
        <w:rPr>
          <w:rFonts w:ascii="Times New Roman" w:hAnsi="Times New Roman" w:cs="Times New Roman"/>
          <w:sz w:val="24"/>
          <w:szCs w:val="24"/>
        </w:rPr>
        <w:t xml:space="preserve">. Les rivières </w:t>
      </w:r>
      <w:r w:rsidRPr="000E66C9">
        <w:rPr>
          <w:rFonts w:ascii="Times New Roman" w:hAnsi="Times New Roman" w:cs="Times New Roman"/>
          <w:i/>
          <w:sz w:val="24"/>
          <w:szCs w:val="24"/>
        </w:rPr>
        <w:t>Sara, Kpabia</w:t>
      </w:r>
      <w:r w:rsidRPr="000E66C9">
        <w:rPr>
          <w:rFonts w:ascii="Times New Roman" w:hAnsi="Times New Roman" w:cs="Times New Roman"/>
          <w:sz w:val="24"/>
          <w:szCs w:val="24"/>
        </w:rPr>
        <w:t xml:space="preserve"> et </w:t>
      </w:r>
      <w:r w:rsidRPr="000E66C9">
        <w:rPr>
          <w:rFonts w:ascii="Times New Roman" w:hAnsi="Times New Roman" w:cs="Times New Roman"/>
          <w:i/>
          <w:sz w:val="24"/>
          <w:szCs w:val="24"/>
        </w:rPr>
        <w:t>Tchon</w:t>
      </w:r>
      <w:r w:rsidRPr="000E66C9">
        <w:rPr>
          <w:rFonts w:ascii="Times New Roman" w:hAnsi="Times New Roman" w:cs="Times New Roman"/>
          <w:sz w:val="24"/>
          <w:szCs w:val="24"/>
        </w:rPr>
        <w:t xml:space="preserve"> dans la préfecture d’Assoli, </w:t>
      </w:r>
      <w:r w:rsidRPr="000E66C9">
        <w:rPr>
          <w:rFonts w:ascii="Times New Roman" w:hAnsi="Times New Roman" w:cs="Times New Roman"/>
          <w:i/>
          <w:sz w:val="24"/>
          <w:szCs w:val="24"/>
        </w:rPr>
        <w:t>Katamboulou</w:t>
      </w:r>
      <w:r w:rsidRPr="000E66C9">
        <w:rPr>
          <w:rFonts w:ascii="Times New Roman" w:hAnsi="Times New Roman" w:cs="Times New Roman"/>
          <w:sz w:val="24"/>
          <w:szCs w:val="24"/>
        </w:rPr>
        <w:t xml:space="preserve"> à Doufelgou, constituent des lieux sacrés vénérés et protégés. </w:t>
      </w:r>
    </w:p>
    <w:p w14:paraId="133CC787" w14:textId="77777777" w:rsidR="000E66C9" w:rsidRDefault="000E66C9" w:rsidP="000E66C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1DBF3553" w14:textId="6CFA0701" w:rsidR="002C24B8" w:rsidRPr="000E66C9" w:rsidRDefault="00352A6B" w:rsidP="000E66C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Le peuple </w:t>
      </w:r>
      <w:r w:rsidR="002C24B8" w:rsidRPr="000E66C9">
        <w:rPr>
          <w:rFonts w:ascii="Times New Roman" w:hAnsi="Times New Roman" w:cs="Times New Roman"/>
          <w:i/>
          <w:sz w:val="24"/>
          <w:szCs w:val="24"/>
        </w:rPr>
        <w:t>Ewé</w:t>
      </w:r>
      <w:r w:rsidR="00785630">
        <w:rPr>
          <w:rFonts w:ascii="Times New Roman" w:hAnsi="Times New Roman" w:cs="Times New Roman"/>
          <w:sz w:val="24"/>
          <w:szCs w:val="24"/>
        </w:rPr>
        <w:t xml:space="preserve"> faisait des pé</w:t>
      </w:r>
      <w:r w:rsidR="002C24B8" w:rsidRPr="000E66C9">
        <w:rPr>
          <w:rFonts w:ascii="Times New Roman" w:hAnsi="Times New Roman" w:cs="Times New Roman"/>
          <w:sz w:val="24"/>
          <w:szCs w:val="24"/>
        </w:rPr>
        <w:t xml:space="preserve">lerinages lors des fêtes annuelles de </w:t>
      </w:r>
      <w:r w:rsidR="002C24B8" w:rsidRPr="000E66C9">
        <w:rPr>
          <w:rFonts w:ascii="Times New Roman" w:hAnsi="Times New Roman" w:cs="Times New Roman"/>
          <w:i/>
          <w:sz w:val="24"/>
          <w:szCs w:val="24"/>
        </w:rPr>
        <w:t>Djawouwou</w:t>
      </w:r>
      <w:r w:rsidR="002C24B8" w:rsidRPr="000E66C9">
        <w:rPr>
          <w:rFonts w:ascii="Times New Roman" w:hAnsi="Times New Roman" w:cs="Times New Roman"/>
          <w:sz w:val="24"/>
          <w:szCs w:val="24"/>
        </w:rPr>
        <w:t xml:space="preserve"> (au cours desquelles on offre les prémisses des </w:t>
      </w:r>
      <w:r>
        <w:rPr>
          <w:rFonts w:ascii="Times New Roman" w:hAnsi="Times New Roman" w:cs="Times New Roman"/>
          <w:sz w:val="24"/>
          <w:szCs w:val="24"/>
        </w:rPr>
        <w:t>nouvelles récoltes aux dieux) dans d</w:t>
      </w:r>
      <w:r w:rsidR="002C24B8" w:rsidRPr="000E66C9">
        <w:rPr>
          <w:rFonts w:ascii="Times New Roman" w:hAnsi="Times New Roman" w:cs="Times New Roman"/>
          <w:sz w:val="24"/>
          <w:szCs w:val="24"/>
        </w:rPr>
        <w:t xml:space="preserve">es forêts </w:t>
      </w:r>
      <w:r>
        <w:rPr>
          <w:rFonts w:ascii="Times New Roman" w:hAnsi="Times New Roman" w:cs="Times New Roman"/>
          <w:sz w:val="24"/>
          <w:szCs w:val="24"/>
        </w:rPr>
        <w:t xml:space="preserve">sacrées qui </w:t>
      </w:r>
      <w:r w:rsidR="002C24B8" w:rsidRPr="000E66C9">
        <w:rPr>
          <w:rFonts w:ascii="Times New Roman" w:hAnsi="Times New Roman" w:cs="Times New Roman"/>
          <w:sz w:val="24"/>
          <w:szCs w:val="24"/>
        </w:rPr>
        <w:t>abritent le</w:t>
      </w:r>
      <w:r w:rsidR="00785630">
        <w:rPr>
          <w:rFonts w:ascii="Times New Roman" w:hAnsi="Times New Roman" w:cs="Times New Roman"/>
          <w:sz w:val="24"/>
          <w:szCs w:val="24"/>
        </w:rPr>
        <w:t xml:space="preserve"> </w:t>
      </w:r>
      <w:r w:rsidR="002C24B8" w:rsidRPr="000E66C9">
        <w:rPr>
          <w:rFonts w:ascii="Times New Roman" w:hAnsi="Times New Roman" w:cs="Times New Roman"/>
          <w:i/>
          <w:sz w:val="24"/>
          <w:szCs w:val="24"/>
        </w:rPr>
        <w:t>vaudou nyigblen</w:t>
      </w:r>
      <w:r w:rsidR="002C24B8" w:rsidRPr="000E66C9">
        <w:rPr>
          <w:rFonts w:ascii="Times New Roman" w:hAnsi="Times New Roman" w:cs="Times New Roman"/>
          <w:sz w:val="24"/>
          <w:szCs w:val="24"/>
        </w:rPr>
        <w:t xml:space="preserve">, dieu protecteur du quotidien des Ewé. </w:t>
      </w:r>
      <w:r w:rsidR="00456430">
        <w:rPr>
          <w:rFonts w:ascii="Times New Roman" w:hAnsi="Times New Roman" w:cs="Times New Roman"/>
          <w:sz w:val="24"/>
          <w:szCs w:val="24"/>
        </w:rPr>
        <w:t xml:space="preserve">Chez les peuples du centre et du nord Togo, on peut aussi citer </w:t>
      </w:r>
      <w:r w:rsidR="002C24B8" w:rsidRPr="000E66C9">
        <w:rPr>
          <w:rFonts w:ascii="Times New Roman" w:hAnsi="Times New Roman" w:cs="Times New Roman"/>
          <w:i/>
          <w:sz w:val="24"/>
          <w:szCs w:val="24"/>
        </w:rPr>
        <w:t>Malfakassa</w:t>
      </w:r>
      <w:r w:rsidR="002C24B8" w:rsidRPr="000E66C9">
        <w:rPr>
          <w:rFonts w:ascii="Times New Roman" w:hAnsi="Times New Roman" w:cs="Times New Roman"/>
          <w:sz w:val="24"/>
          <w:szCs w:val="24"/>
        </w:rPr>
        <w:t xml:space="preserve"> en pays Bassar, </w:t>
      </w:r>
      <w:r w:rsidR="002C24B8" w:rsidRPr="000E66C9">
        <w:rPr>
          <w:rFonts w:ascii="Times New Roman" w:hAnsi="Times New Roman" w:cs="Times New Roman"/>
          <w:i/>
          <w:sz w:val="24"/>
          <w:szCs w:val="24"/>
        </w:rPr>
        <w:t>Wourago, Ragou</w:t>
      </w:r>
      <w:r w:rsidR="002C24B8" w:rsidRPr="000E66C9">
        <w:rPr>
          <w:rFonts w:ascii="Times New Roman" w:hAnsi="Times New Roman" w:cs="Times New Roman"/>
          <w:sz w:val="24"/>
          <w:szCs w:val="24"/>
        </w:rPr>
        <w:t xml:space="preserve">, </w:t>
      </w:r>
      <w:r w:rsidR="002C24B8" w:rsidRPr="000E66C9">
        <w:rPr>
          <w:rFonts w:ascii="Times New Roman" w:hAnsi="Times New Roman" w:cs="Times New Roman"/>
          <w:i/>
          <w:sz w:val="24"/>
          <w:szCs w:val="24"/>
        </w:rPr>
        <w:t>Boutilago</w:t>
      </w:r>
      <w:r w:rsidR="002C24B8" w:rsidRPr="000E66C9">
        <w:rPr>
          <w:rFonts w:ascii="Times New Roman" w:hAnsi="Times New Roman" w:cs="Times New Roman"/>
          <w:sz w:val="24"/>
          <w:szCs w:val="24"/>
        </w:rPr>
        <w:t xml:space="preserve"> chez les Losso de Doufelgou, </w:t>
      </w:r>
      <w:r w:rsidR="002C24B8" w:rsidRPr="000E66C9">
        <w:rPr>
          <w:rFonts w:ascii="Times New Roman" w:hAnsi="Times New Roman" w:cs="Times New Roman"/>
          <w:i/>
          <w:sz w:val="24"/>
          <w:szCs w:val="24"/>
        </w:rPr>
        <w:t>Lao</w:t>
      </w:r>
      <w:r w:rsidR="00785630">
        <w:rPr>
          <w:rFonts w:ascii="Times New Roman" w:hAnsi="Times New Roman" w:cs="Times New Roman"/>
          <w:sz w:val="24"/>
          <w:szCs w:val="24"/>
        </w:rPr>
        <w:t xml:space="preserve"> chez les Kabyè</w:t>
      </w:r>
      <w:r w:rsidR="002C24B8" w:rsidRPr="000E66C9">
        <w:rPr>
          <w:rFonts w:ascii="Times New Roman" w:hAnsi="Times New Roman" w:cs="Times New Roman"/>
          <w:sz w:val="24"/>
          <w:szCs w:val="24"/>
        </w:rPr>
        <w:t xml:space="preserve">, etc </w:t>
      </w:r>
      <w:r w:rsidR="00456430">
        <w:rPr>
          <w:rFonts w:ascii="Times New Roman" w:hAnsi="Times New Roman" w:cs="Times New Roman"/>
          <w:sz w:val="24"/>
          <w:szCs w:val="24"/>
        </w:rPr>
        <w:t xml:space="preserve">qui </w:t>
      </w:r>
      <w:r w:rsidR="002C24B8" w:rsidRPr="000E66C9">
        <w:rPr>
          <w:rFonts w:ascii="Times New Roman" w:hAnsi="Times New Roman" w:cs="Times New Roman"/>
          <w:sz w:val="24"/>
          <w:szCs w:val="24"/>
        </w:rPr>
        <w:t xml:space="preserve">sont </w:t>
      </w:r>
      <w:r w:rsidR="00456430">
        <w:rPr>
          <w:rFonts w:ascii="Times New Roman" w:hAnsi="Times New Roman" w:cs="Times New Roman"/>
          <w:sz w:val="24"/>
          <w:szCs w:val="24"/>
        </w:rPr>
        <w:t xml:space="preserve">aussi </w:t>
      </w:r>
      <w:r w:rsidR="002C24B8" w:rsidRPr="000E66C9">
        <w:rPr>
          <w:rFonts w:ascii="Times New Roman" w:hAnsi="Times New Roman" w:cs="Times New Roman"/>
          <w:sz w:val="24"/>
          <w:szCs w:val="24"/>
        </w:rPr>
        <w:t xml:space="preserve">des forêts sacrées de renommée. Le caractère sacré de ces forêts impose aux populations riveraines certaines contraintes dont la défense absolue d’abattage d’arbres et d’allumage de feux de </w:t>
      </w:r>
      <w:r w:rsidR="00785630">
        <w:rPr>
          <w:rFonts w:ascii="Times New Roman" w:hAnsi="Times New Roman" w:cs="Times New Roman"/>
          <w:sz w:val="24"/>
          <w:szCs w:val="24"/>
        </w:rPr>
        <w:t>végétation</w:t>
      </w:r>
      <w:r w:rsidR="002C24B8" w:rsidRPr="000E66C9">
        <w:rPr>
          <w:rFonts w:ascii="Times New Roman" w:hAnsi="Times New Roman" w:cs="Times New Roman"/>
          <w:sz w:val="24"/>
          <w:szCs w:val="24"/>
        </w:rPr>
        <w:t xml:space="preserve"> au sein et aux alentours. Toute violation de ces interdits est répréhensible et punie de malheurs par les divinités offensées. </w:t>
      </w:r>
    </w:p>
    <w:p w14:paraId="4B6D7C3B" w14:textId="77777777" w:rsidR="00456430" w:rsidRDefault="00456430" w:rsidP="00456430">
      <w:pPr>
        <w:numPr>
          <w:ilvl w:val="12"/>
          <w:numId w:val="0"/>
        </w:numPr>
        <w:spacing w:after="0" w:line="240" w:lineRule="auto"/>
        <w:jc w:val="both"/>
        <w:rPr>
          <w:rFonts w:ascii="Times New Roman" w:hAnsi="Times New Roman" w:cs="Times New Roman"/>
          <w:sz w:val="24"/>
          <w:szCs w:val="24"/>
        </w:rPr>
      </w:pPr>
    </w:p>
    <w:p w14:paraId="4243BD6C" w14:textId="77777777" w:rsidR="002C24B8" w:rsidRDefault="002C24B8" w:rsidP="00456430">
      <w:pPr>
        <w:numPr>
          <w:ilvl w:val="12"/>
          <w:numId w:val="0"/>
        </w:num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Outre les forêts sacrées, il existe dans presque toutes les régions du Togo des arbres fétiches et/ou vertueux dont les feuilles, les écorces ou les racines sont utilisées à des fins thérapeutiques. Ces arbres bénéficient d’une protection particulière et ne peuvent être victimes d’abattage ordinaire</w:t>
      </w:r>
      <w:r w:rsidR="00352A6B">
        <w:rPr>
          <w:rFonts w:ascii="Times New Roman" w:hAnsi="Times New Roman" w:cs="Times New Roman"/>
          <w:sz w:val="24"/>
          <w:szCs w:val="24"/>
        </w:rPr>
        <w:t xml:space="preserve"> (Photo</w:t>
      </w:r>
      <w:r w:rsidR="004A71D5">
        <w:rPr>
          <w:rFonts w:ascii="Times New Roman" w:hAnsi="Times New Roman" w:cs="Times New Roman"/>
          <w:sz w:val="24"/>
          <w:szCs w:val="24"/>
        </w:rPr>
        <w:t xml:space="preserve"> 3</w:t>
      </w:r>
      <w:r w:rsidR="00352A6B">
        <w:rPr>
          <w:rFonts w:ascii="Times New Roman" w:hAnsi="Times New Roman" w:cs="Times New Roman"/>
          <w:sz w:val="24"/>
          <w:szCs w:val="24"/>
        </w:rPr>
        <w:t>)</w:t>
      </w:r>
      <w:r w:rsidRPr="000E66C9">
        <w:rPr>
          <w:rFonts w:ascii="Times New Roman" w:hAnsi="Times New Roman" w:cs="Times New Roman"/>
          <w:sz w:val="24"/>
          <w:szCs w:val="24"/>
        </w:rPr>
        <w:t>. Dans la préfecture de Dankpen, les feuilles de baobab (</w:t>
      </w:r>
      <w:r w:rsidRPr="000E66C9">
        <w:rPr>
          <w:rFonts w:ascii="Times New Roman" w:hAnsi="Times New Roman" w:cs="Times New Roman"/>
          <w:i/>
          <w:sz w:val="24"/>
          <w:szCs w:val="24"/>
        </w:rPr>
        <w:t>Adansonia digitata</w:t>
      </w:r>
      <w:r w:rsidRPr="000E66C9">
        <w:rPr>
          <w:rFonts w:ascii="Times New Roman" w:hAnsi="Times New Roman" w:cs="Times New Roman"/>
          <w:sz w:val="24"/>
          <w:szCs w:val="24"/>
        </w:rPr>
        <w:t>) ne sont cueillies par les Kokomba qu’en échange d’un dépôt de cauris</w:t>
      </w:r>
      <w:r w:rsidR="00456430">
        <w:rPr>
          <w:rFonts w:ascii="Times New Roman" w:hAnsi="Times New Roman" w:cs="Times New Roman"/>
          <w:sz w:val="24"/>
          <w:szCs w:val="24"/>
        </w:rPr>
        <w:t xml:space="preserve"> au pied de l’arbre</w:t>
      </w:r>
      <w:r w:rsidRPr="000E66C9">
        <w:rPr>
          <w:rFonts w:ascii="Times New Roman" w:hAnsi="Times New Roman" w:cs="Times New Roman"/>
          <w:sz w:val="24"/>
          <w:szCs w:val="24"/>
        </w:rPr>
        <w:t xml:space="preserve">. L'arbre ne peut pas être coupé sous peine d’amende et de cérémonie de purification. Dans la Kozah, </w:t>
      </w:r>
      <w:r w:rsidRPr="000E66C9">
        <w:rPr>
          <w:rFonts w:ascii="Times New Roman" w:hAnsi="Times New Roman" w:cs="Times New Roman"/>
          <w:i/>
          <w:sz w:val="24"/>
          <w:szCs w:val="24"/>
        </w:rPr>
        <w:t>Fagara zanthoxyloides</w:t>
      </w:r>
      <w:r w:rsidRPr="000E66C9">
        <w:rPr>
          <w:rFonts w:ascii="Times New Roman" w:hAnsi="Times New Roman" w:cs="Times New Roman"/>
          <w:sz w:val="24"/>
          <w:szCs w:val="24"/>
        </w:rPr>
        <w:t xml:space="preserve"> fait partie des espèces végétales à qui l’on voue un culte.</w:t>
      </w:r>
    </w:p>
    <w:p w14:paraId="3BC6B7D8" w14:textId="77777777" w:rsidR="00456430" w:rsidRDefault="00456430" w:rsidP="00456430">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5187AA9E" w14:textId="77777777" w:rsidR="00352A6B" w:rsidRDefault="00352A6B" w:rsidP="00456430">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3662E658" wp14:editId="0B2B8574">
            <wp:extent cx="5765855" cy="3104866"/>
            <wp:effectExtent l="19050" t="0" r="6295" b="0"/>
            <wp:docPr id="32" name="Image 15" descr="F:\Hitachi 2010-2013\Axus rougenovembre 2012\Album\albumphoto\albumphoto\ecologie\antiarisacré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Hitachi 2010-2013\Axus rougenovembre 2012\Album\albumphoto\albumphoto\ecologie\antiarisacré3.JPG"/>
                    <pic:cNvPicPr>
                      <a:picLocks noChangeAspect="1" noChangeArrowheads="1"/>
                    </pic:cNvPicPr>
                  </pic:nvPicPr>
                  <pic:blipFill>
                    <a:blip r:embed="rId54" cstate="email">
                      <a:extLst>
                        <a:ext uri="{28A0092B-C50C-407E-A947-70E740481C1C}">
                          <a14:useLocalDpi xmlns:a14="http://schemas.microsoft.com/office/drawing/2010/main"/>
                        </a:ext>
                      </a:extLst>
                    </a:blip>
                    <a:srcRect r="-88"/>
                    <a:stretch>
                      <a:fillRect/>
                    </a:stretch>
                  </pic:blipFill>
                  <pic:spPr bwMode="auto">
                    <a:xfrm>
                      <a:off x="0" y="0"/>
                      <a:ext cx="5765855" cy="3104866"/>
                    </a:xfrm>
                    <a:prstGeom prst="rect">
                      <a:avLst/>
                    </a:prstGeom>
                    <a:noFill/>
                    <a:ln w="9525">
                      <a:noFill/>
                      <a:miter lim="800000"/>
                      <a:headEnd/>
                      <a:tailEnd/>
                    </a:ln>
                  </pic:spPr>
                </pic:pic>
              </a:graphicData>
            </a:graphic>
          </wp:inline>
        </w:drawing>
      </w:r>
    </w:p>
    <w:p w14:paraId="5CA93E5F" w14:textId="77777777" w:rsidR="00352A6B" w:rsidRDefault="00352A6B" w:rsidP="00456430">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63CAAD95" w14:textId="5A94293F" w:rsidR="004A71D5" w:rsidRPr="004A71D5" w:rsidRDefault="004A71D5" w:rsidP="004A71D5">
      <w:pPr>
        <w:pStyle w:val="Lgende"/>
        <w:rPr>
          <w:rFonts w:ascii="Times New Roman" w:hAnsi="Times New Roman"/>
          <w:sz w:val="24"/>
          <w:szCs w:val="24"/>
        </w:rPr>
      </w:pPr>
      <w:bookmarkStart w:id="92" w:name="_Toc533413519"/>
      <w:r w:rsidRPr="004A71D5">
        <w:rPr>
          <w:rFonts w:ascii="Times New Roman" w:hAnsi="Times New Roman"/>
          <w:sz w:val="24"/>
          <w:szCs w:val="24"/>
        </w:rPr>
        <w:t xml:space="preserve">Photo </w:t>
      </w:r>
      <w:r w:rsidR="00620BEA" w:rsidRPr="004A71D5">
        <w:rPr>
          <w:rFonts w:ascii="Times New Roman" w:hAnsi="Times New Roman"/>
          <w:sz w:val="24"/>
          <w:szCs w:val="24"/>
        </w:rPr>
        <w:fldChar w:fldCharType="begin"/>
      </w:r>
      <w:r w:rsidRPr="004A71D5">
        <w:rPr>
          <w:rFonts w:ascii="Times New Roman" w:hAnsi="Times New Roman"/>
          <w:sz w:val="24"/>
          <w:szCs w:val="24"/>
        </w:rPr>
        <w:instrText xml:space="preserve"> SEQ Photo \* ARABIC </w:instrText>
      </w:r>
      <w:r w:rsidR="00620BEA" w:rsidRPr="004A71D5">
        <w:rPr>
          <w:rFonts w:ascii="Times New Roman" w:hAnsi="Times New Roman"/>
          <w:sz w:val="24"/>
          <w:szCs w:val="24"/>
        </w:rPr>
        <w:fldChar w:fldCharType="separate"/>
      </w:r>
      <w:r w:rsidR="00C47BFF">
        <w:rPr>
          <w:rFonts w:ascii="Times New Roman" w:hAnsi="Times New Roman"/>
          <w:noProof/>
          <w:sz w:val="24"/>
          <w:szCs w:val="24"/>
        </w:rPr>
        <w:t>8</w:t>
      </w:r>
      <w:r w:rsidR="00620BEA" w:rsidRPr="004A71D5">
        <w:rPr>
          <w:rFonts w:ascii="Times New Roman" w:hAnsi="Times New Roman"/>
          <w:sz w:val="24"/>
          <w:szCs w:val="24"/>
        </w:rPr>
        <w:fldChar w:fldCharType="end"/>
      </w:r>
      <w:r w:rsidRPr="004A71D5">
        <w:rPr>
          <w:rFonts w:ascii="Times New Roman" w:hAnsi="Times New Roman"/>
          <w:sz w:val="24"/>
          <w:szCs w:val="24"/>
        </w:rPr>
        <w:t>: Arbre fétiche (</w:t>
      </w:r>
      <w:r w:rsidRPr="003F7E61">
        <w:rPr>
          <w:rFonts w:ascii="Times New Roman" w:hAnsi="Times New Roman"/>
          <w:i/>
          <w:sz w:val="24"/>
          <w:szCs w:val="24"/>
        </w:rPr>
        <w:t>Antiaris africana</w:t>
      </w:r>
      <w:r w:rsidRPr="004A71D5">
        <w:rPr>
          <w:rFonts w:ascii="Times New Roman" w:hAnsi="Times New Roman"/>
          <w:sz w:val="24"/>
          <w:szCs w:val="24"/>
        </w:rPr>
        <w:t>) vénéré</w:t>
      </w:r>
      <w:bookmarkEnd w:id="92"/>
    </w:p>
    <w:p w14:paraId="71721C9F" w14:textId="77777777" w:rsidR="004A71D5" w:rsidRDefault="004A71D5" w:rsidP="00456430">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41C0E464" w14:textId="77777777" w:rsidR="002C24B8" w:rsidRPr="000E66C9" w:rsidRDefault="002C24B8" w:rsidP="00456430">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 xml:space="preserve">En ce qui concerne les animaux, il convient de faire ressortir que l’animal est mêlé à la vie humaine et au mythe chez nombre d’ethnies du Togo. A chacun des clans, correspond un animal totem ayant une histoire mythique qui va générer une éthique alimentaire entourant la consommation des animaux. Par exemple, chez les </w:t>
      </w:r>
      <w:r w:rsidRPr="000E66C9">
        <w:rPr>
          <w:rFonts w:ascii="Times New Roman" w:hAnsi="Times New Roman" w:cs="Times New Roman"/>
          <w:i/>
          <w:sz w:val="24"/>
          <w:szCs w:val="24"/>
        </w:rPr>
        <w:t>Kokomba</w:t>
      </w:r>
      <w:r w:rsidRPr="000E66C9">
        <w:rPr>
          <w:rFonts w:ascii="Times New Roman" w:hAnsi="Times New Roman" w:cs="Times New Roman"/>
          <w:sz w:val="24"/>
          <w:szCs w:val="24"/>
        </w:rPr>
        <w:t xml:space="preserve"> de Dankpen les membres du clan </w:t>
      </w:r>
      <w:r w:rsidRPr="000E66C9">
        <w:rPr>
          <w:rFonts w:ascii="Times New Roman" w:hAnsi="Times New Roman" w:cs="Times New Roman"/>
          <w:i/>
          <w:sz w:val="24"/>
          <w:szCs w:val="24"/>
        </w:rPr>
        <w:t>Bakou</w:t>
      </w:r>
      <w:r w:rsidRPr="000E66C9">
        <w:rPr>
          <w:rFonts w:ascii="Times New Roman" w:hAnsi="Times New Roman" w:cs="Times New Roman"/>
          <w:sz w:val="24"/>
          <w:szCs w:val="24"/>
        </w:rPr>
        <w:t xml:space="preserve"> s’abstiennent de tuer et de consommer le lièvre et l’écureuil tandis qu’un autre clan ne consomme pas la viande du varan. A Bassar, la panthère et le python sont interdits de même que l’escargot chez certains </w:t>
      </w:r>
      <w:r w:rsidRPr="000E66C9">
        <w:rPr>
          <w:rFonts w:ascii="Times New Roman" w:hAnsi="Times New Roman" w:cs="Times New Roman"/>
          <w:i/>
          <w:sz w:val="24"/>
          <w:szCs w:val="24"/>
        </w:rPr>
        <w:t>Losso</w:t>
      </w:r>
      <w:r w:rsidRPr="000E66C9">
        <w:rPr>
          <w:rFonts w:ascii="Times New Roman" w:hAnsi="Times New Roman" w:cs="Times New Roman"/>
          <w:sz w:val="24"/>
          <w:szCs w:val="24"/>
        </w:rPr>
        <w:t xml:space="preserve"> de Doufelgou, le sanglier chez les </w:t>
      </w:r>
      <w:r w:rsidRPr="000E66C9">
        <w:rPr>
          <w:rFonts w:ascii="Times New Roman" w:hAnsi="Times New Roman" w:cs="Times New Roman"/>
          <w:i/>
          <w:sz w:val="24"/>
          <w:szCs w:val="24"/>
        </w:rPr>
        <w:t>Assoli</w:t>
      </w:r>
      <w:r w:rsidRPr="000E66C9">
        <w:rPr>
          <w:rFonts w:ascii="Times New Roman" w:hAnsi="Times New Roman" w:cs="Times New Roman"/>
          <w:sz w:val="24"/>
          <w:szCs w:val="24"/>
        </w:rPr>
        <w:t xml:space="preserve"> (</w:t>
      </w:r>
      <w:r w:rsidRPr="000E66C9">
        <w:rPr>
          <w:rFonts w:ascii="Times New Roman" w:hAnsi="Times New Roman" w:cs="Times New Roman"/>
          <w:i/>
          <w:sz w:val="24"/>
          <w:szCs w:val="24"/>
        </w:rPr>
        <w:t>Mola</w:t>
      </w:r>
      <w:r w:rsidRPr="000E66C9">
        <w:rPr>
          <w:rFonts w:ascii="Times New Roman" w:hAnsi="Times New Roman" w:cs="Times New Roman"/>
          <w:sz w:val="24"/>
          <w:szCs w:val="24"/>
        </w:rPr>
        <w:t xml:space="preserve">), le lièvre chez les </w:t>
      </w:r>
      <w:r w:rsidRPr="000E66C9">
        <w:rPr>
          <w:rFonts w:ascii="Times New Roman" w:hAnsi="Times New Roman" w:cs="Times New Roman"/>
          <w:i/>
          <w:sz w:val="24"/>
          <w:szCs w:val="24"/>
        </w:rPr>
        <w:t>Loua</w:t>
      </w:r>
      <w:r w:rsidRPr="000E66C9">
        <w:rPr>
          <w:rFonts w:ascii="Times New Roman" w:hAnsi="Times New Roman" w:cs="Times New Roman"/>
          <w:sz w:val="24"/>
          <w:szCs w:val="24"/>
        </w:rPr>
        <w:t xml:space="preserve"> et les cobs chez les </w:t>
      </w:r>
      <w:r w:rsidRPr="000E66C9">
        <w:rPr>
          <w:rFonts w:ascii="Times New Roman" w:hAnsi="Times New Roman" w:cs="Times New Roman"/>
          <w:i/>
          <w:sz w:val="24"/>
          <w:szCs w:val="24"/>
        </w:rPr>
        <w:t>Tchra</w:t>
      </w:r>
      <w:r w:rsidRPr="000E66C9">
        <w:rPr>
          <w:rFonts w:ascii="Times New Roman" w:hAnsi="Times New Roman" w:cs="Times New Roman"/>
          <w:sz w:val="24"/>
          <w:szCs w:val="24"/>
        </w:rPr>
        <w:t>. Dans la zone littorale du Togo, un Ewé qui tue un python royal ou l'observe mort (même par mégarde), est tenu de faire des cérémonies de purification dans la forêt de Togoville ou de Bè pour conjurer les mauvais sorts (la folie, l'obésité, voire la mort).</w:t>
      </w:r>
    </w:p>
    <w:p w14:paraId="2006A812" w14:textId="77777777" w:rsidR="00456430" w:rsidRDefault="00456430" w:rsidP="00456430">
      <w:pPr>
        <w:numPr>
          <w:ilvl w:val="12"/>
          <w:numId w:val="0"/>
        </w:numPr>
        <w:spacing w:after="0" w:line="240" w:lineRule="auto"/>
        <w:jc w:val="both"/>
        <w:rPr>
          <w:rFonts w:ascii="Times New Roman" w:hAnsi="Times New Roman" w:cs="Times New Roman"/>
          <w:sz w:val="24"/>
          <w:szCs w:val="24"/>
        </w:rPr>
      </w:pPr>
    </w:p>
    <w:p w14:paraId="3A6A88EA" w14:textId="77777777" w:rsidR="002C24B8" w:rsidRPr="000E66C9" w:rsidRDefault="002C24B8" w:rsidP="00456430">
      <w:pPr>
        <w:numPr>
          <w:ilvl w:val="12"/>
          <w:numId w:val="0"/>
        </w:num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L’ensemble des interdits religieux concourt à la survie des différentes espèces végétales et animales. Les contraintes locales se traduisent par le respect scrupuleux des mesures protectrices et défensives, constituant ainsi un bouclier protecteur des composantes de l’environnement qui est habité par des entités spirituelles, gardiennes de la vie.</w:t>
      </w:r>
    </w:p>
    <w:p w14:paraId="241352B3" w14:textId="77777777" w:rsidR="002C24B8" w:rsidRPr="000E66C9" w:rsidRDefault="002C24B8" w:rsidP="000E66C9">
      <w:pPr>
        <w:spacing w:after="0" w:line="240" w:lineRule="auto"/>
        <w:jc w:val="both"/>
        <w:rPr>
          <w:rFonts w:ascii="Times New Roman" w:hAnsi="Times New Roman" w:cs="Times New Roman"/>
          <w:sz w:val="24"/>
          <w:szCs w:val="24"/>
        </w:rPr>
      </w:pPr>
    </w:p>
    <w:p w14:paraId="0FE9D323" w14:textId="77777777" w:rsidR="0038037D" w:rsidRDefault="0038037D">
      <w:pPr>
        <w:rPr>
          <w:rFonts w:ascii="Times New Roman" w:hAnsi="Times New Roman" w:cs="Times New Roman"/>
          <w:b/>
          <w:sz w:val="24"/>
          <w:szCs w:val="24"/>
        </w:rPr>
      </w:pPr>
      <w:r>
        <w:rPr>
          <w:rFonts w:ascii="Times New Roman" w:hAnsi="Times New Roman" w:cs="Times New Roman"/>
          <w:b/>
          <w:sz w:val="24"/>
          <w:szCs w:val="24"/>
        </w:rPr>
        <w:br w:type="page"/>
      </w:r>
    </w:p>
    <w:p w14:paraId="145860C4" w14:textId="3FEA05B5" w:rsidR="002C24B8" w:rsidRPr="00555B83" w:rsidRDefault="005F6B28" w:rsidP="00E50666">
      <w:pPr>
        <w:pStyle w:val="Paragraphedeliste"/>
        <w:numPr>
          <w:ilvl w:val="0"/>
          <w:numId w:val="37"/>
        </w:numPr>
        <w:spacing w:after="0" w:line="240" w:lineRule="auto"/>
        <w:rPr>
          <w:rFonts w:ascii="Times New Roman" w:hAnsi="Times New Roman" w:cs="Times New Roman"/>
          <w:b/>
          <w:sz w:val="24"/>
          <w:szCs w:val="24"/>
        </w:rPr>
      </w:pPr>
      <w:r w:rsidRPr="00555B83">
        <w:rPr>
          <w:rFonts w:ascii="Times New Roman" w:hAnsi="Times New Roman" w:cs="Times New Roman"/>
          <w:b/>
          <w:sz w:val="24"/>
          <w:szCs w:val="24"/>
        </w:rPr>
        <w:t>Premier</w:t>
      </w:r>
      <w:r w:rsidR="002C24B8" w:rsidRPr="00555B83">
        <w:rPr>
          <w:rFonts w:ascii="Times New Roman" w:hAnsi="Times New Roman" w:cs="Times New Roman"/>
          <w:b/>
          <w:sz w:val="24"/>
          <w:szCs w:val="24"/>
        </w:rPr>
        <w:t xml:space="preserve"> cas </w:t>
      </w:r>
      <w:r w:rsidRPr="00555B83">
        <w:rPr>
          <w:rFonts w:ascii="Times New Roman" w:hAnsi="Times New Roman" w:cs="Times New Roman"/>
          <w:b/>
          <w:sz w:val="24"/>
          <w:szCs w:val="24"/>
        </w:rPr>
        <w:t>d’étude : l</w:t>
      </w:r>
      <w:r w:rsidR="002C24B8" w:rsidRPr="00555B83">
        <w:rPr>
          <w:rFonts w:ascii="Times New Roman" w:hAnsi="Times New Roman" w:cs="Times New Roman"/>
          <w:b/>
          <w:sz w:val="24"/>
          <w:szCs w:val="24"/>
        </w:rPr>
        <w:t xml:space="preserve">es forêts </w:t>
      </w:r>
      <w:r w:rsidR="00E029F3" w:rsidRPr="00555B83">
        <w:rPr>
          <w:rFonts w:ascii="Times New Roman" w:hAnsi="Times New Roman" w:cs="Times New Roman"/>
          <w:b/>
          <w:sz w:val="24"/>
          <w:szCs w:val="24"/>
        </w:rPr>
        <w:t>sacrées</w:t>
      </w:r>
      <w:r w:rsidR="00785630">
        <w:rPr>
          <w:rFonts w:ascii="Times New Roman" w:hAnsi="Times New Roman" w:cs="Times New Roman"/>
          <w:b/>
          <w:sz w:val="24"/>
          <w:szCs w:val="24"/>
        </w:rPr>
        <w:t xml:space="preserve"> </w:t>
      </w:r>
      <w:r w:rsidRPr="00555B83">
        <w:rPr>
          <w:rFonts w:ascii="Times New Roman" w:hAnsi="Times New Roman" w:cs="Times New Roman"/>
          <w:b/>
          <w:sz w:val="24"/>
          <w:szCs w:val="24"/>
        </w:rPr>
        <w:t>sur la côte togolaise</w:t>
      </w:r>
    </w:p>
    <w:p w14:paraId="1D84FA79" w14:textId="77777777" w:rsidR="002C24B8" w:rsidRPr="000E66C9" w:rsidRDefault="002C24B8" w:rsidP="000E66C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b/>
          <w:sz w:val="24"/>
          <w:szCs w:val="24"/>
        </w:rPr>
      </w:pPr>
    </w:p>
    <w:p w14:paraId="1189C170" w14:textId="14A078D2" w:rsidR="0025478E" w:rsidRPr="000E66C9" w:rsidRDefault="002C24B8" w:rsidP="005F6B28">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Elles constituent un chapelet d'anciennes fo</w:t>
      </w:r>
      <w:r w:rsidR="0025478E">
        <w:rPr>
          <w:rFonts w:ascii="Times New Roman" w:hAnsi="Times New Roman" w:cs="Times New Roman"/>
          <w:sz w:val="24"/>
          <w:szCs w:val="24"/>
        </w:rPr>
        <w:t xml:space="preserve">rêts sur la basse côte </w:t>
      </w:r>
      <w:r w:rsidRPr="000E66C9">
        <w:rPr>
          <w:rFonts w:ascii="Times New Roman" w:hAnsi="Times New Roman" w:cs="Times New Roman"/>
          <w:sz w:val="24"/>
          <w:szCs w:val="24"/>
        </w:rPr>
        <w:t>où le peuple</w:t>
      </w:r>
      <w:r w:rsidRPr="000E66C9">
        <w:rPr>
          <w:rFonts w:ascii="Times New Roman" w:hAnsi="Times New Roman" w:cs="Times New Roman"/>
          <w:i/>
          <w:sz w:val="24"/>
          <w:szCs w:val="24"/>
        </w:rPr>
        <w:t xml:space="preserve"> Ewé</w:t>
      </w:r>
      <w:r w:rsidR="00785630">
        <w:rPr>
          <w:rFonts w:ascii="Times New Roman" w:hAnsi="Times New Roman" w:cs="Times New Roman"/>
          <w:sz w:val="24"/>
          <w:szCs w:val="24"/>
        </w:rPr>
        <w:t xml:space="preserve"> faisait des pé</w:t>
      </w:r>
      <w:r w:rsidRPr="000E66C9">
        <w:rPr>
          <w:rFonts w:ascii="Times New Roman" w:hAnsi="Times New Roman" w:cs="Times New Roman"/>
          <w:sz w:val="24"/>
          <w:szCs w:val="24"/>
        </w:rPr>
        <w:t>lerinages lors des fêtes annuelles (au cours desquelles les prémisses des nouvelles récoltes sont offertes aux dieux). Il s'agit des forêts sacrées d'Amédéhoèvé (40 ha</w:t>
      </w:r>
      <w:r w:rsidR="0025478E">
        <w:rPr>
          <w:rFonts w:ascii="Times New Roman" w:hAnsi="Times New Roman" w:cs="Times New Roman"/>
          <w:sz w:val="24"/>
          <w:szCs w:val="24"/>
        </w:rPr>
        <w:t>, Photo</w:t>
      </w:r>
      <w:r w:rsidR="00785630">
        <w:rPr>
          <w:rFonts w:ascii="Times New Roman" w:hAnsi="Times New Roman" w:cs="Times New Roman"/>
          <w:sz w:val="24"/>
          <w:szCs w:val="24"/>
        </w:rPr>
        <w:t xml:space="preserve"> 2</w:t>
      </w:r>
      <w:r w:rsidRPr="000E66C9">
        <w:rPr>
          <w:rFonts w:ascii="Times New Roman" w:hAnsi="Times New Roman" w:cs="Times New Roman"/>
          <w:sz w:val="24"/>
          <w:szCs w:val="24"/>
        </w:rPr>
        <w:t>), de Bè (9 ha), de Dévégo (</w:t>
      </w:r>
      <w:r w:rsidR="0025478E">
        <w:rPr>
          <w:rFonts w:ascii="Times New Roman" w:hAnsi="Times New Roman" w:cs="Times New Roman"/>
          <w:sz w:val="24"/>
          <w:szCs w:val="24"/>
        </w:rPr>
        <w:t>quelques ares)</w:t>
      </w:r>
      <w:r w:rsidR="00FF41AA">
        <w:rPr>
          <w:rFonts w:ascii="Times New Roman" w:hAnsi="Times New Roman" w:cs="Times New Roman"/>
          <w:sz w:val="24"/>
          <w:szCs w:val="24"/>
        </w:rPr>
        <w:t>,</w:t>
      </w:r>
      <w:r w:rsidRPr="000E66C9">
        <w:rPr>
          <w:rFonts w:ascii="Times New Roman" w:hAnsi="Times New Roman" w:cs="Times New Roman"/>
          <w:sz w:val="24"/>
          <w:szCs w:val="24"/>
        </w:rPr>
        <w:t xml:space="preserve"> de Togoville (22,5 ha). Elles se présentent comme des fourrés bas avec une strate supérieure très ouverte, dépassant rarement 15 m de hauteur. Toutes ces forêts abritent le même </w:t>
      </w:r>
      <w:r w:rsidRPr="000E66C9">
        <w:rPr>
          <w:rFonts w:ascii="Times New Roman" w:hAnsi="Times New Roman" w:cs="Times New Roman"/>
          <w:i/>
          <w:sz w:val="24"/>
          <w:szCs w:val="24"/>
        </w:rPr>
        <w:t>vaudou</w:t>
      </w:r>
      <w:r w:rsidRPr="000E66C9">
        <w:rPr>
          <w:rFonts w:ascii="Times New Roman" w:hAnsi="Times New Roman" w:cs="Times New Roman"/>
          <w:sz w:val="24"/>
          <w:szCs w:val="24"/>
        </w:rPr>
        <w:t>,</w:t>
      </w:r>
      <w:r w:rsidRPr="000E66C9">
        <w:rPr>
          <w:rFonts w:ascii="Times New Roman" w:hAnsi="Times New Roman" w:cs="Times New Roman"/>
          <w:i/>
          <w:sz w:val="24"/>
          <w:szCs w:val="24"/>
        </w:rPr>
        <w:t xml:space="preserve"> nyigblen</w:t>
      </w:r>
      <w:r w:rsidRPr="000E66C9">
        <w:rPr>
          <w:rFonts w:ascii="Times New Roman" w:hAnsi="Times New Roman" w:cs="Times New Roman"/>
          <w:sz w:val="24"/>
          <w:szCs w:val="24"/>
        </w:rPr>
        <w:t xml:space="preserve">, dieu protecteur du quotidien des Ewé (Photo </w:t>
      </w:r>
      <w:r w:rsidR="004A71D5">
        <w:rPr>
          <w:rFonts w:ascii="Times New Roman" w:hAnsi="Times New Roman" w:cs="Times New Roman"/>
          <w:sz w:val="24"/>
          <w:szCs w:val="24"/>
        </w:rPr>
        <w:t>4</w:t>
      </w:r>
      <w:r w:rsidR="00785630">
        <w:rPr>
          <w:rFonts w:ascii="Times New Roman" w:hAnsi="Times New Roman" w:cs="Times New Roman"/>
          <w:sz w:val="24"/>
          <w:szCs w:val="24"/>
        </w:rPr>
        <w:t>). Au moment des pé</w:t>
      </w:r>
      <w:r w:rsidRPr="000E66C9">
        <w:rPr>
          <w:rFonts w:ascii="Times New Roman" w:hAnsi="Times New Roman" w:cs="Times New Roman"/>
          <w:sz w:val="24"/>
          <w:szCs w:val="24"/>
        </w:rPr>
        <w:t>lerinages, le trajet se faisait de nuit, entre Togoville et Bè avec des escales le jour dans les forêts. Les chefs traditionnels sont intronisés dans la forêt de Togoville. Ils doivent ensuite séjourner dans les forêts d'Amédéhoèvé et de Bè.</w:t>
      </w:r>
      <w:r w:rsidR="00785630">
        <w:rPr>
          <w:rFonts w:ascii="Times New Roman" w:hAnsi="Times New Roman" w:cs="Times New Roman"/>
          <w:sz w:val="24"/>
          <w:szCs w:val="24"/>
        </w:rPr>
        <w:t xml:space="preserve"> </w:t>
      </w:r>
      <w:r w:rsidR="0025478E">
        <w:rPr>
          <w:rFonts w:ascii="Times New Roman" w:hAnsi="Times New Roman" w:cs="Times New Roman"/>
          <w:sz w:val="24"/>
          <w:szCs w:val="24"/>
        </w:rPr>
        <w:t>Depuis très longtemps, les scientifiques se sont intéressés à ces forêts ; leur flore et faune sont bien étudiées. Ces dernier</w:t>
      </w:r>
      <w:r w:rsidR="00785630">
        <w:rPr>
          <w:rFonts w:ascii="Times New Roman" w:hAnsi="Times New Roman" w:cs="Times New Roman"/>
          <w:sz w:val="24"/>
          <w:szCs w:val="24"/>
        </w:rPr>
        <w:t>s</w:t>
      </w:r>
      <w:r w:rsidR="0025478E">
        <w:rPr>
          <w:rFonts w:ascii="Times New Roman" w:hAnsi="Times New Roman" w:cs="Times New Roman"/>
          <w:sz w:val="24"/>
          <w:szCs w:val="24"/>
        </w:rPr>
        <w:t xml:space="preserve"> temps, l’ONG OFFAP appuie les populations locales à avoir un regard plus positif sur ces forêts et à les protéger, surrtout la forêt d’Amédéhoèvé actuellement menacée par les lotissements. La forêt de To</w:t>
      </w:r>
      <w:r w:rsidR="00785630">
        <w:rPr>
          <w:rFonts w:ascii="Times New Roman" w:hAnsi="Times New Roman" w:cs="Times New Roman"/>
          <w:sz w:val="24"/>
          <w:szCs w:val="24"/>
        </w:rPr>
        <w:t xml:space="preserve">goville a déjà perdu plus de 34ha </w:t>
      </w:r>
      <w:r w:rsidR="0025478E">
        <w:rPr>
          <w:rFonts w:ascii="Times New Roman" w:hAnsi="Times New Roman" w:cs="Times New Roman"/>
          <w:sz w:val="24"/>
          <w:szCs w:val="24"/>
        </w:rPr>
        <w:t>de sa superfice sous l’emprise des constructions.</w:t>
      </w:r>
    </w:p>
    <w:p w14:paraId="6CCE921E" w14:textId="77777777" w:rsidR="002C24B8" w:rsidRDefault="002C24B8" w:rsidP="000E66C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b/>
          <w:sz w:val="24"/>
          <w:szCs w:val="24"/>
        </w:rPr>
      </w:pPr>
    </w:p>
    <w:p w14:paraId="4BC87E16" w14:textId="77777777" w:rsidR="005F6B28" w:rsidRPr="000E66C9" w:rsidRDefault="00352A6B" w:rsidP="000E66C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1FAB718F" wp14:editId="0F303A31">
            <wp:extent cx="5759450" cy="4322331"/>
            <wp:effectExtent l="19050" t="0" r="0" b="0"/>
            <wp:docPr id="33" name="Image 16" descr="F:\Hitachi 2010-2013\Axus rougenovembre 2012\Album\albumphoto\albumphoto\ecologie\ame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Hitachi 2010-2013\Axus rougenovembre 2012\Album\albumphoto\albumphoto\ecologie\amede5.JP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5759450" cy="4322331"/>
                    </a:xfrm>
                    <a:prstGeom prst="rect">
                      <a:avLst/>
                    </a:prstGeom>
                    <a:noFill/>
                    <a:ln w="9525">
                      <a:noFill/>
                      <a:miter lim="800000"/>
                      <a:headEnd/>
                      <a:tailEnd/>
                    </a:ln>
                  </pic:spPr>
                </pic:pic>
              </a:graphicData>
            </a:graphic>
          </wp:inline>
        </w:drawing>
      </w:r>
    </w:p>
    <w:p w14:paraId="6599EF20" w14:textId="77777777" w:rsidR="002C24B8" w:rsidRPr="000E66C9" w:rsidRDefault="002C24B8" w:rsidP="000E66C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b/>
          <w:sz w:val="24"/>
          <w:szCs w:val="24"/>
        </w:rPr>
      </w:pPr>
    </w:p>
    <w:p w14:paraId="5D77965C" w14:textId="0C6F2BEF" w:rsidR="002C24B8" w:rsidRPr="004A71D5" w:rsidRDefault="004A71D5" w:rsidP="004A71D5">
      <w:pPr>
        <w:pStyle w:val="Lgende"/>
        <w:rPr>
          <w:rFonts w:ascii="Times New Roman" w:hAnsi="Times New Roman"/>
          <w:sz w:val="24"/>
          <w:szCs w:val="24"/>
        </w:rPr>
      </w:pPr>
      <w:bookmarkStart w:id="93" w:name="_Toc533413520"/>
      <w:r w:rsidRPr="00FF41AA">
        <w:rPr>
          <w:rFonts w:ascii="Times New Roman" w:hAnsi="Times New Roman"/>
          <w:sz w:val="24"/>
          <w:szCs w:val="24"/>
          <w:u w:val="single"/>
        </w:rPr>
        <w:t xml:space="preserve">Photo </w:t>
      </w:r>
      <w:r w:rsidR="00620BEA" w:rsidRPr="00FF41AA">
        <w:rPr>
          <w:rFonts w:ascii="Times New Roman" w:hAnsi="Times New Roman"/>
          <w:sz w:val="24"/>
          <w:szCs w:val="24"/>
          <w:u w:val="single"/>
        </w:rPr>
        <w:fldChar w:fldCharType="begin"/>
      </w:r>
      <w:r w:rsidRPr="00FF41AA">
        <w:rPr>
          <w:rFonts w:ascii="Times New Roman" w:hAnsi="Times New Roman"/>
          <w:sz w:val="24"/>
          <w:szCs w:val="24"/>
          <w:u w:val="single"/>
        </w:rPr>
        <w:instrText xml:space="preserve"> SEQ Photo \* ARABIC </w:instrText>
      </w:r>
      <w:r w:rsidR="00620BEA" w:rsidRPr="00FF41AA">
        <w:rPr>
          <w:rFonts w:ascii="Times New Roman" w:hAnsi="Times New Roman"/>
          <w:sz w:val="24"/>
          <w:szCs w:val="24"/>
          <w:u w:val="single"/>
        </w:rPr>
        <w:fldChar w:fldCharType="separate"/>
      </w:r>
      <w:r w:rsidR="00C47BFF">
        <w:rPr>
          <w:rFonts w:ascii="Times New Roman" w:hAnsi="Times New Roman"/>
          <w:noProof/>
          <w:sz w:val="24"/>
          <w:szCs w:val="24"/>
          <w:u w:val="single"/>
        </w:rPr>
        <w:t>9</w:t>
      </w:r>
      <w:r w:rsidR="00620BEA" w:rsidRPr="00FF41AA">
        <w:rPr>
          <w:rFonts w:ascii="Times New Roman" w:hAnsi="Times New Roman"/>
          <w:sz w:val="24"/>
          <w:szCs w:val="24"/>
          <w:u w:val="single"/>
        </w:rPr>
        <w:fldChar w:fldCharType="end"/>
      </w:r>
      <w:r w:rsidRPr="004A71D5">
        <w:rPr>
          <w:rFonts w:ascii="Times New Roman" w:hAnsi="Times New Roman"/>
          <w:sz w:val="24"/>
          <w:szCs w:val="24"/>
        </w:rPr>
        <w:t>: Forêt sacrée d’Amédéhoèvé (ou d’Agbata)</w:t>
      </w:r>
      <w:bookmarkEnd w:id="93"/>
    </w:p>
    <w:p w14:paraId="001A07B0" w14:textId="0629FDB7" w:rsidR="00E029F3" w:rsidRDefault="002C24B8" w:rsidP="0025478E">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La forêt Godjin est située sur le Continental Terminal, qui est un ensemble détritique d'âge post-éocène, sur sols à sesquioxydes, faiblement ferrallitique. Elle abrite deux sources d'eaux (une grande et une petite) qui alimentent en permanence une rivière et deux marécages. La forêt appartient au village de Godjémé (Figure 3) qui compte environ 700 habitants. Leurs ancêtres fuyant la guerre, s'étaient installés dans la forêt au XVII</w:t>
      </w:r>
      <w:r w:rsidRPr="000E66C9">
        <w:rPr>
          <w:rFonts w:ascii="Times New Roman" w:hAnsi="Times New Roman" w:cs="Times New Roman"/>
          <w:sz w:val="24"/>
          <w:szCs w:val="24"/>
          <w:vertAlign w:val="superscript"/>
        </w:rPr>
        <w:t>è</w:t>
      </w:r>
      <w:r w:rsidRPr="000E66C9">
        <w:rPr>
          <w:rFonts w:ascii="Times New Roman" w:hAnsi="Times New Roman" w:cs="Times New Roman"/>
          <w:sz w:val="24"/>
          <w:szCs w:val="24"/>
        </w:rPr>
        <w:t xml:space="preserve"> siècle. Depuis, le village s'est un peu déplacé en lisière mais reste très attaché à la forêt. Elle abrite trois divinités : celles de la rivière, de la grande source </w:t>
      </w:r>
      <w:r w:rsidR="00FF41AA">
        <w:rPr>
          <w:rFonts w:ascii="Times New Roman" w:hAnsi="Times New Roman" w:cs="Times New Roman"/>
          <w:sz w:val="24"/>
          <w:szCs w:val="24"/>
        </w:rPr>
        <w:t xml:space="preserve">et </w:t>
      </w:r>
      <w:r w:rsidRPr="000E66C9">
        <w:rPr>
          <w:rFonts w:ascii="Times New Roman" w:hAnsi="Times New Roman" w:cs="Times New Roman"/>
          <w:sz w:val="24"/>
          <w:szCs w:val="24"/>
        </w:rPr>
        <w:t>de la petite source d'eau. Le prêtre ou chef féticheur sait interpréter les désirs des trois dieux avec lesquels il communique, par exemple demander la pluie pour palier à une sécheresse anormale, pour des problèmes de santé, des conflits familiaux, pour la prise de grandes décisions, etc. Les jours des sacrifices dans la forêt sont des occasions pour la population pour communier avec les dieux.</w:t>
      </w:r>
      <w:r w:rsidR="00E029F3">
        <w:rPr>
          <w:rFonts w:ascii="Times New Roman" w:hAnsi="Times New Roman" w:cs="Times New Roman"/>
          <w:sz w:val="24"/>
          <w:szCs w:val="24"/>
        </w:rPr>
        <w:t xml:space="preserve"> Cette forêt qui a actuellement une superficie de 53 ha dispose d’un plan simple de gestion, élabor</w:t>
      </w:r>
      <w:r w:rsidR="00FF41AA">
        <w:rPr>
          <w:rFonts w:ascii="Times New Roman" w:hAnsi="Times New Roman" w:cs="Times New Roman"/>
          <w:sz w:val="24"/>
          <w:szCs w:val="24"/>
        </w:rPr>
        <w:t>é</w:t>
      </w:r>
      <w:r w:rsidR="00E029F3">
        <w:rPr>
          <w:rFonts w:ascii="Times New Roman" w:hAnsi="Times New Roman" w:cs="Times New Roman"/>
          <w:sz w:val="24"/>
          <w:szCs w:val="24"/>
        </w:rPr>
        <w:t xml:space="preserve"> dans le cadre du projet </w:t>
      </w:r>
      <w:r w:rsidR="00FF41AA">
        <w:rPr>
          <w:rFonts w:ascii="Times New Roman" w:hAnsi="Times New Roman" w:cs="Times New Roman"/>
          <w:sz w:val="24"/>
          <w:szCs w:val="24"/>
        </w:rPr>
        <w:t>de la réserve de biosphère transfrontalière du mono (</w:t>
      </w:r>
      <w:r w:rsidR="00E029F3">
        <w:rPr>
          <w:rFonts w:ascii="Times New Roman" w:hAnsi="Times New Roman" w:cs="Times New Roman"/>
          <w:sz w:val="24"/>
          <w:szCs w:val="24"/>
        </w:rPr>
        <w:t>RBTM</w:t>
      </w:r>
      <w:r w:rsidR="00FF41AA">
        <w:rPr>
          <w:rFonts w:ascii="Times New Roman" w:hAnsi="Times New Roman" w:cs="Times New Roman"/>
          <w:sz w:val="24"/>
          <w:szCs w:val="24"/>
        </w:rPr>
        <w:t>)</w:t>
      </w:r>
      <w:r w:rsidR="00E029F3">
        <w:rPr>
          <w:rFonts w:ascii="Times New Roman" w:hAnsi="Times New Roman" w:cs="Times New Roman"/>
          <w:sz w:val="24"/>
          <w:szCs w:val="24"/>
        </w:rPr>
        <w:t>.</w:t>
      </w:r>
    </w:p>
    <w:p w14:paraId="17083AC9" w14:textId="77777777" w:rsidR="00FF41AA" w:rsidRPr="001247CB" w:rsidRDefault="00FF41AA" w:rsidP="0025478E">
      <w:pPr>
        <w:spacing w:after="0" w:line="240" w:lineRule="auto"/>
        <w:jc w:val="both"/>
        <w:rPr>
          <w:rFonts w:ascii="Times New Roman" w:hAnsi="Times New Roman" w:cs="Times New Roman"/>
          <w:sz w:val="24"/>
          <w:szCs w:val="24"/>
        </w:rPr>
      </w:pPr>
    </w:p>
    <w:p w14:paraId="01A58ED5" w14:textId="02AFEFEE" w:rsidR="002C24B8" w:rsidRPr="000E66C9" w:rsidRDefault="002C24B8" w:rsidP="00E029F3">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 xml:space="preserve">Au même titre que les dieux protecteurs, un culte est rendu aux ancêtres défunts. </w:t>
      </w:r>
      <w:r w:rsidR="00E029F3">
        <w:rPr>
          <w:rFonts w:ascii="Times New Roman" w:hAnsi="Times New Roman" w:cs="Times New Roman"/>
          <w:sz w:val="24"/>
          <w:szCs w:val="24"/>
        </w:rPr>
        <w:t>Pour ce faire, certaines forêts sacrées</w:t>
      </w:r>
      <w:r w:rsidR="00FF41AA">
        <w:rPr>
          <w:rFonts w:ascii="Times New Roman" w:hAnsi="Times New Roman" w:cs="Times New Roman"/>
          <w:sz w:val="24"/>
          <w:szCs w:val="24"/>
        </w:rPr>
        <w:t xml:space="preserve"> </w:t>
      </w:r>
      <w:r w:rsidRPr="000E66C9">
        <w:rPr>
          <w:rFonts w:ascii="Times New Roman" w:hAnsi="Times New Roman" w:cs="Times New Roman"/>
          <w:sz w:val="24"/>
          <w:szCs w:val="24"/>
        </w:rPr>
        <w:t xml:space="preserve">abritent les ancêtres qui en mourant deviennent des dieux. Généralement, c'est là où repose le premier occupant du village. Certaines de ces forêts servent encore de cimetières aux dignitaires dans les villages. Les tombes sont indiquées par des espèces végétales notamment </w:t>
      </w:r>
      <w:r w:rsidRPr="000E66C9">
        <w:rPr>
          <w:rFonts w:ascii="Times New Roman" w:hAnsi="Times New Roman" w:cs="Times New Roman"/>
          <w:i/>
          <w:sz w:val="24"/>
          <w:szCs w:val="24"/>
        </w:rPr>
        <w:t>Dracaena arborea</w:t>
      </w:r>
      <w:r w:rsidR="00FF41AA">
        <w:rPr>
          <w:rFonts w:ascii="Times New Roman" w:hAnsi="Times New Roman" w:cs="Times New Roman"/>
          <w:i/>
          <w:sz w:val="24"/>
          <w:szCs w:val="24"/>
        </w:rPr>
        <w:t xml:space="preserve"> </w:t>
      </w:r>
      <w:r w:rsidR="00E029F3" w:rsidRPr="00E029F3">
        <w:rPr>
          <w:rFonts w:ascii="Times New Roman" w:hAnsi="Times New Roman" w:cs="Times New Roman"/>
          <w:sz w:val="24"/>
          <w:szCs w:val="24"/>
        </w:rPr>
        <w:t>(</w:t>
      </w:r>
      <w:r w:rsidR="00E029F3">
        <w:rPr>
          <w:rFonts w:ascii="Times New Roman" w:hAnsi="Times New Roman" w:cs="Times New Roman"/>
          <w:sz w:val="24"/>
          <w:szCs w:val="24"/>
        </w:rPr>
        <w:t>Photo</w:t>
      </w:r>
      <w:r w:rsidR="004A71D5">
        <w:rPr>
          <w:rFonts w:ascii="Times New Roman" w:hAnsi="Times New Roman" w:cs="Times New Roman"/>
          <w:sz w:val="24"/>
          <w:szCs w:val="24"/>
        </w:rPr>
        <w:t xml:space="preserve"> </w:t>
      </w:r>
      <w:r w:rsidR="00FF41AA">
        <w:rPr>
          <w:rFonts w:ascii="Times New Roman" w:hAnsi="Times New Roman" w:cs="Times New Roman"/>
          <w:sz w:val="24"/>
          <w:szCs w:val="24"/>
        </w:rPr>
        <w:t>10</w:t>
      </w:r>
      <w:r w:rsidR="00E029F3">
        <w:rPr>
          <w:rFonts w:ascii="Times New Roman" w:hAnsi="Times New Roman" w:cs="Times New Roman"/>
          <w:sz w:val="24"/>
          <w:szCs w:val="24"/>
        </w:rPr>
        <w:t>)</w:t>
      </w:r>
      <w:r w:rsidRPr="00E029F3">
        <w:rPr>
          <w:rFonts w:ascii="Times New Roman" w:hAnsi="Times New Roman" w:cs="Times New Roman"/>
          <w:sz w:val="24"/>
          <w:szCs w:val="24"/>
        </w:rPr>
        <w:t>.</w:t>
      </w:r>
      <w:r w:rsidRPr="000E66C9">
        <w:rPr>
          <w:rFonts w:ascii="Times New Roman" w:hAnsi="Times New Roman" w:cs="Times New Roman"/>
          <w:sz w:val="24"/>
          <w:szCs w:val="24"/>
        </w:rPr>
        <w:t xml:space="preserve"> A côté des forêts des ancêtres se rangent les forêts dans lesquelles sont enterrés les morts par accidents, par noyade, par pendaison ou à la suite d'une longue maladie.  La forêt perd dans ce cas son statut de lieu bienfaisant, elle est crainte. </w:t>
      </w:r>
    </w:p>
    <w:p w14:paraId="47653515" w14:textId="77777777" w:rsidR="002C24B8" w:rsidRDefault="002C24B8" w:rsidP="000E66C9">
      <w:pPr>
        <w:spacing w:after="0" w:line="240" w:lineRule="auto"/>
        <w:rPr>
          <w:rFonts w:ascii="Times New Roman" w:hAnsi="Times New Roman" w:cs="Times New Roman"/>
          <w:b/>
          <w:sz w:val="24"/>
          <w:szCs w:val="24"/>
        </w:rPr>
      </w:pPr>
    </w:p>
    <w:p w14:paraId="10B23538" w14:textId="77777777" w:rsidR="00E029F3" w:rsidRPr="000E66C9" w:rsidRDefault="00E029F3" w:rsidP="000E66C9">
      <w:pPr>
        <w:spacing w:after="0" w:line="240" w:lineRule="auto"/>
        <w:rPr>
          <w:rFonts w:ascii="Times New Roman" w:hAnsi="Times New Roman" w:cs="Times New Roman"/>
          <w:b/>
          <w:sz w:val="24"/>
          <w:szCs w:val="24"/>
        </w:rPr>
      </w:pPr>
      <w:r>
        <w:rPr>
          <w:rFonts w:ascii="Times New Roman" w:hAnsi="Times New Roman" w:cs="Times New Roman"/>
          <w:b/>
          <w:noProof/>
          <w:sz w:val="24"/>
          <w:szCs w:val="24"/>
          <w:lang w:eastAsia="fr-FR"/>
        </w:rPr>
        <w:drawing>
          <wp:inline distT="0" distB="0" distL="0" distR="0" wp14:anchorId="483528F7" wp14:editId="3A716A4A">
            <wp:extent cx="5759450" cy="4322331"/>
            <wp:effectExtent l="19050" t="0" r="0" b="0"/>
            <wp:docPr id="35" name="Image 18" descr="F:\Hitachi 2010-2013\Axus rougenovembre 2012\Album\albumphoto\albumphoto\ecologie\dracaen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Hitachi 2010-2013\Axus rougenovembre 2012\Album\albumphoto\albumphoto\ecologie\dracaena3.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759450" cy="4322331"/>
                    </a:xfrm>
                    <a:prstGeom prst="rect">
                      <a:avLst/>
                    </a:prstGeom>
                    <a:noFill/>
                    <a:ln w="9525">
                      <a:noFill/>
                      <a:miter lim="800000"/>
                      <a:headEnd/>
                      <a:tailEnd/>
                    </a:ln>
                  </pic:spPr>
                </pic:pic>
              </a:graphicData>
            </a:graphic>
          </wp:inline>
        </w:drawing>
      </w:r>
    </w:p>
    <w:p w14:paraId="1FB06230" w14:textId="77777777" w:rsidR="00E029F3" w:rsidRDefault="00E029F3" w:rsidP="000E66C9">
      <w:pPr>
        <w:spacing w:after="0" w:line="240" w:lineRule="auto"/>
        <w:rPr>
          <w:rFonts w:ascii="Times New Roman" w:hAnsi="Times New Roman" w:cs="Times New Roman"/>
          <w:b/>
          <w:sz w:val="24"/>
          <w:szCs w:val="24"/>
        </w:rPr>
      </w:pPr>
    </w:p>
    <w:p w14:paraId="4CB391CB" w14:textId="26AB2852" w:rsidR="004A71D5" w:rsidRDefault="004A71D5" w:rsidP="004A71D5">
      <w:pPr>
        <w:pStyle w:val="Lgende"/>
        <w:rPr>
          <w:rFonts w:ascii="Times New Roman" w:hAnsi="Times New Roman"/>
          <w:sz w:val="24"/>
          <w:szCs w:val="24"/>
        </w:rPr>
      </w:pPr>
      <w:bookmarkStart w:id="94" w:name="_Toc533413521"/>
      <w:r w:rsidRPr="00FF41AA">
        <w:rPr>
          <w:rFonts w:ascii="Times New Roman" w:hAnsi="Times New Roman"/>
          <w:sz w:val="24"/>
          <w:szCs w:val="24"/>
          <w:u w:val="single"/>
        </w:rPr>
        <w:t xml:space="preserve">Photo </w:t>
      </w:r>
      <w:r w:rsidR="00620BEA" w:rsidRPr="00FF41AA">
        <w:rPr>
          <w:rFonts w:ascii="Times New Roman" w:hAnsi="Times New Roman"/>
          <w:sz w:val="24"/>
          <w:szCs w:val="24"/>
          <w:u w:val="single"/>
        </w:rPr>
        <w:fldChar w:fldCharType="begin"/>
      </w:r>
      <w:r w:rsidRPr="00FF41AA">
        <w:rPr>
          <w:rFonts w:ascii="Times New Roman" w:hAnsi="Times New Roman"/>
          <w:sz w:val="24"/>
          <w:szCs w:val="24"/>
          <w:u w:val="single"/>
        </w:rPr>
        <w:instrText xml:space="preserve"> SEQ Photo \* ARABIC </w:instrText>
      </w:r>
      <w:r w:rsidR="00620BEA" w:rsidRPr="00FF41AA">
        <w:rPr>
          <w:rFonts w:ascii="Times New Roman" w:hAnsi="Times New Roman"/>
          <w:sz w:val="24"/>
          <w:szCs w:val="24"/>
          <w:u w:val="single"/>
        </w:rPr>
        <w:fldChar w:fldCharType="separate"/>
      </w:r>
      <w:r w:rsidR="00C47BFF">
        <w:rPr>
          <w:rFonts w:ascii="Times New Roman" w:hAnsi="Times New Roman"/>
          <w:noProof/>
          <w:sz w:val="24"/>
          <w:szCs w:val="24"/>
          <w:u w:val="single"/>
        </w:rPr>
        <w:t>10</w:t>
      </w:r>
      <w:r w:rsidR="00620BEA" w:rsidRPr="00FF41AA">
        <w:rPr>
          <w:rFonts w:ascii="Times New Roman" w:hAnsi="Times New Roman"/>
          <w:sz w:val="24"/>
          <w:szCs w:val="24"/>
          <w:u w:val="single"/>
        </w:rPr>
        <w:fldChar w:fldCharType="end"/>
      </w:r>
      <w:r w:rsidRPr="004A71D5">
        <w:rPr>
          <w:rFonts w:ascii="Times New Roman" w:hAnsi="Times New Roman"/>
          <w:sz w:val="24"/>
          <w:szCs w:val="24"/>
        </w:rPr>
        <w:t>: Dracaena au milieu d’une forêt des ancêtres</w:t>
      </w:r>
      <w:bookmarkEnd w:id="94"/>
    </w:p>
    <w:p w14:paraId="477CB066" w14:textId="77777777" w:rsidR="00BC249A" w:rsidRPr="00BC249A" w:rsidRDefault="00BC249A" w:rsidP="00BC249A"/>
    <w:p w14:paraId="1FED0818" w14:textId="77777777" w:rsidR="002C24B8" w:rsidRPr="000E66C9" w:rsidRDefault="00E029F3" w:rsidP="00E029F3">
      <w:pPr>
        <w:spacing w:after="0" w:line="240" w:lineRule="auto"/>
        <w:jc w:val="both"/>
        <w:rPr>
          <w:rFonts w:ascii="Times New Roman" w:hAnsi="Times New Roman" w:cs="Times New Roman"/>
          <w:sz w:val="24"/>
          <w:szCs w:val="24"/>
        </w:rPr>
      </w:pPr>
      <w:r w:rsidRPr="00E029F3">
        <w:rPr>
          <w:rFonts w:ascii="Times New Roman" w:hAnsi="Times New Roman" w:cs="Times New Roman"/>
          <w:sz w:val="24"/>
          <w:szCs w:val="24"/>
        </w:rPr>
        <w:t xml:space="preserve">Il existe aussi des </w:t>
      </w:r>
      <w:r w:rsidR="002C24B8" w:rsidRPr="00E029F3">
        <w:rPr>
          <w:rFonts w:ascii="Times New Roman" w:hAnsi="Times New Roman" w:cs="Times New Roman"/>
          <w:sz w:val="24"/>
          <w:szCs w:val="24"/>
        </w:rPr>
        <w:t xml:space="preserve">forêts "pare-feu" </w:t>
      </w:r>
      <w:r>
        <w:rPr>
          <w:rFonts w:ascii="Times New Roman" w:hAnsi="Times New Roman" w:cs="Times New Roman"/>
          <w:sz w:val="24"/>
          <w:szCs w:val="24"/>
        </w:rPr>
        <w:t xml:space="preserve">qui </w:t>
      </w:r>
      <w:r w:rsidR="002C24B8" w:rsidRPr="00E029F3">
        <w:rPr>
          <w:rFonts w:ascii="Times New Roman" w:hAnsi="Times New Roman" w:cs="Times New Roman"/>
          <w:sz w:val="24"/>
          <w:szCs w:val="24"/>
        </w:rPr>
        <w:t>n'ont généralement pas une fonction religieuse. Leur rôle</w:t>
      </w:r>
      <w:r w:rsidR="002C24B8" w:rsidRPr="000E66C9">
        <w:rPr>
          <w:rFonts w:ascii="Times New Roman" w:hAnsi="Times New Roman" w:cs="Times New Roman"/>
          <w:sz w:val="24"/>
          <w:szCs w:val="24"/>
        </w:rPr>
        <w:t xml:space="preserve"> principal est de protéger les villages situés en pleine savane contre les incendies provoqués par les feux de brousse et contre les coups de vents violents. Dans certains villages, les forêts "pare-feu" sont plutôt des réserves foncières pour les générations futures. Elles peuvent être défrichées de leur limite éloignée en progressant vers les habitations, afin de permettre à la forêt de jouer le plus longtemps possible son rôle de protection. </w:t>
      </w:r>
    </w:p>
    <w:p w14:paraId="635C310C" w14:textId="77777777" w:rsidR="002C24B8" w:rsidRPr="000E66C9" w:rsidRDefault="002C24B8" w:rsidP="000E66C9">
      <w:pPr>
        <w:spacing w:after="0" w:line="240" w:lineRule="auto"/>
        <w:jc w:val="both"/>
        <w:rPr>
          <w:rFonts w:ascii="Times New Roman" w:hAnsi="Times New Roman" w:cs="Times New Roman"/>
          <w:sz w:val="24"/>
          <w:szCs w:val="24"/>
        </w:rPr>
      </w:pPr>
    </w:p>
    <w:p w14:paraId="62D27944" w14:textId="77777777" w:rsidR="002C24B8" w:rsidRPr="00555B83" w:rsidRDefault="000761EB" w:rsidP="00E50666">
      <w:pPr>
        <w:pStyle w:val="Paragraphedeliste"/>
        <w:numPr>
          <w:ilvl w:val="0"/>
          <w:numId w:val="37"/>
        </w:num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b/>
          <w:sz w:val="24"/>
          <w:szCs w:val="24"/>
        </w:rPr>
      </w:pPr>
      <w:r w:rsidRPr="00555B83">
        <w:rPr>
          <w:rFonts w:ascii="Times New Roman" w:hAnsi="Times New Roman" w:cs="Times New Roman"/>
          <w:b/>
          <w:sz w:val="24"/>
          <w:szCs w:val="24"/>
        </w:rPr>
        <w:t xml:space="preserve"> Deuxième cas d’étude : </w:t>
      </w:r>
      <w:r w:rsidR="002C24B8" w:rsidRPr="00555B83">
        <w:rPr>
          <w:rFonts w:ascii="Times New Roman" w:hAnsi="Times New Roman" w:cs="Times New Roman"/>
          <w:b/>
          <w:sz w:val="24"/>
          <w:szCs w:val="24"/>
        </w:rPr>
        <w:t>Forêts et bois sacrés au N</w:t>
      </w:r>
      <w:r w:rsidRPr="00555B83">
        <w:rPr>
          <w:rFonts w:ascii="Times New Roman" w:hAnsi="Times New Roman" w:cs="Times New Roman"/>
          <w:b/>
          <w:sz w:val="24"/>
          <w:szCs w:val="24"/>
        </w:rPr>
        <w:t>ord du Togo</w:t>
      </w:r>
    </w:p>
    <w:p w14:paraId="3F8312B9" w14:textId="77777777" w:rsidR="002C24B8" w:rsidRPr="000E66C9" w:rsidRDefault="002C24B8" w:rsidP="000E66C9">
      <w:pPr>
        <w:spacing w:after="0" w:line="240" w:lineRule="auto"/>
        <w:jc w:val="both"/>
        <w:rPr>
          <w:rFonts w:ascii="Times New Roman" w:hAnsi="Times New Roman" w:cs="Times New Roman"/>
          <w:b/>
          <w:sz w:val="24"/>
          <w:szCs w:val="24"/>
        </w:rPr>
      </w:pPr>
    </w:p>
    <w:p w14:paraId="22722810" w14:textId="77777777" w:rsidR="000761EB" w:rsidRDefault="000761EB" w:rsidP="000761E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Au nord Togo, plusieurs cas de conservation de la biodiversité sont observés dans différents groupes sociaux :</w:t>
      </w:r>
    </w:p>
    <w:p w14:paraId="1077B406" w14:textId="2AECDED3" w:rsidR="000761EB" w:rsidRDefault="002C24B8" w:rsidP="00E50666">
      <w:pPr>
        <w:pStyle w:val="Paragraphedeliste"/>
        <w:numPr>
          <w:ilvl w:val="0"/>
          <w:numId w:val="3"/>
        </w:numPr>
        <w:spacing w:after="0" w:line="240" w:lineRule="auto"/>
        <w:jc w:val="both"/>
        <w:rPr>
          <w:rFonts w:ascii="Times New Roman" w:hAnsi="Times New Roman" w:cs="Times New Roman"/>
          <w:sz w:val="24"/>
          <w:szCs w:val="24"/>
        </w:rPr>
      </w:pPr>
      <w:r w:rsidRPr="000761EB">
        <w:rPr>
          <w:rFonts w:ascii="Times New Roman" w:hAnsi="Times New Roman" w:cs="Times New Roman"/>
          <w:b/>
          <w:sz w:val="24"/>
          <w:szCs w:val="24"/>
        </w:rPr>
        <w:t>L’arbre fétiche</w:t>
      </w:r>
      <w:r w:rsidRPr="000761EB">
        <w:rPr>
          <w:rFonts w:ascii="Times New Roman" w:hAnsi="Times New Roman" w:cs="Times New Roman"/>
          <w:sz w:val="24"/>
          <w:szCs w:val="24"/>
        </w:rPr>
        <w:t xml:space="preserve"> est un arbre particulier auquel on est lié pour sa vie entière. Cet arbre est un "double" végétal de l’individu ou de la famille, à la fois symbole et "ange gardien". On s’identifie aux qualités qu’il représente (force et grandeur du Baobab (</w:t>
      </w:r>
      <w:r w:rsidRPr="000761EB">
        <w:rPr>
          <w:rFonts w:ascii="Times New Roman" w:hAnsi="Times New Roman" w:cs="Times New Roman"/>
          <w:i/>
          <w:sz w:val="24"/>
          <w:szCs w:val="24"/>
        </w:rPr>
        <w:t>Adansonia digitata</w:t>
      </w:r>
      <w:r w:rsidRPr="000761EB">
        <w:rPr>
          <w:rFonts w:ascii="Times New Roman" w:hAnsi="Times New Roman" w:cs="Times New Roman"/>
          <w:sz w:val="24"/>
          <w:szCs w:val="24"/>
        </w:rPr>
        <w:t>), richesse et abondance pour le Palmier à huile (</w:t>
      </w:r>
      <w:r w:rsidRPr="000761EB">
        <w:rPr>
          <w:rFonts w:ascii="Times New Roman" w:hAnsi="Times New Roman" w:cs="Times New Roman"/>
          <w:i/>
          <w:sz w:val="24"/>
          <w:szCs w:val="24"/>
        </w:rPr>
        <w:t>Elaeis guineensis</w:t>
      </w:r>
      <w:r w:rsidRPr="000761EB">
        <w:rPr>
          <w:rFonts w:ascii="Times New Roman" w:hAnsi="Times New Roman" w:cs="Times New Roman"/>
          <w:sz w:val="24"/>
          <w:szCs w:val="24"/>
        </w:rPr>
        <w:t xml:space="preserve">), etc…). C’est aussi l’arbre auprès duquel on vient demander de l'aide, avantage ou du succès, quand on se confronte aux épreuves de la vie et celui que l’on remercie en cas de bienfait ou de succès. La relation de l’individu à l’arbre fétiche est donc très intime. Seules certaines essences locales peuvent être fétiches : </w:t>
      </w:r>
      <w:r w:rsidRPr="000761EB">
        <w:rPr>
          <w:rFonts w:ascii="Times New Roman" w:hAnsi="Times New Roman" w:cs="Times New Roman"/>
          <w:i/>
          <w:sz w:val="24"/>
          <w:szCs w:val="24"/>
        </w:rPr>
        <w:t>Antiaris africana, Adansonia digitata, Celtis integrifolia, Holarrhena floribunda, Grevia spp., Zanha golungensis, Diospyros mespiliformis, Elaeis guineensis, Borassus aethiopum,</w:t>
      </w:r>
      <w:r w:rsidR="00FF41AA">
        <w:rPr>
          <w:rFonts w:ascii="Times New Roman" w:hAnsi="Times New Roman" w:cs="Times New Roman"/>
          <w:i/>
          <w:sz w:val="24"/>
          <w:szCs w:val="24"/>
        </w:rPr>
        <w:t xml:space="preserve"> Dracaena arborea, Ficus polita, etc.</w:t>
      </w:r>
      <w:r w:rsidRPr="000761EB">
        <w:rPr>
          <w:rFonts w:ascii="Times New Roman" w:hAnsi="Times New Roman" w:cs="Times New Roman"/>
          <w:sz w:val="24"/>
          <w:szCs w:val="24"/>
        </w:rPr>
        <w:t xml:space="preserve"> Ils sont très nombreux et toujours présents près des lieux anciennement habités. Par contre, ils sont absents près des fermes récemment installées aux confins du plateau. La multiplicité de ces arbres fétiches s’explique par la multiplicité des bénéficiaires de ces fétiches. En effet, il y a un arbre fétiche pour chaque famille, mais aussi pour les individus de la famille et même pour la maison. </w:t>
      </w:r>
    </w:p>
    <w:p w14:paraId="5B420539" w14:textId="460C6694" w:rsidR="000761EB" w:rsidRDefault="000761EB" w:rsidP="00E50666">
      <w:pPr>
        <w:pStyle w:val="Paragraphedeliste"/>
        <w:numPr>
          <w:ilvl w:val="0"/>
          <w:numId w:val="3"/>
        </w:numPr>
        <w:spacing w:after="0" w:line="240" w:lineRule="auto"/>
        <w:jc w:val="both"/>
        <w:rPr>
          <w:rFonts w:ascii="Times New Roman" w:hAnsi="Times New Roman" w:cs="Times New Roman"/>
          <w:sz w:val="24"/>
          <w:szCs w:val="24"/>
        </w:rPr>
      </w:pPr>
      <w:r w:rsidRPr="00F775A1">
        <w:rPr>
          <w:rFonts w:ascii="Times New Roman" w:hAnsi="Times New Roman" w:cs="Times New Roman"/>
          <w:b/>
          <w:sz w:val="24"/>
          <w:szCs w:val="24"/>
        </w:rPr>
        <w:t>Les b</w:t>
      </w:r>
      <w:r w:rsidR="002C24B8" w:rsidRPr="00F775A1">
        <w:rPr>
          <w:rFonts w:ascii="Times New Roman" w:hAnsi="Times New Roman" w:cs="Times New Roman"/>
          <w:b/>
          <w:sz w:val="24"/>
          <w:szCs w:val="24"/>
        </w:rPr>
        <w:t>osquets épargnés</w:t>
      </w:r>
      <w:r>
        <w:rPr>
          <w:rFonts w:ascii="Times New Roman" w:hAnsi="Times New Roman" w:cs="Times New Roman"/>
          <w:b/>
          <w:sz w:val="24"/>
          <w:szCs w:val="24"/>
        </w:rPr>
        <w:t xml:space="preserve"> : </w:t>
      </w:r>
      <w:r w:rsidR="002C24B8" w:rsidRPr="000761EB">
        <w:rPr>
          <w:rFonts w:ascii="Times New Roman" w:hAnsi="Times New Roman" w:cs="Times New Roman"/>
          <w:sz w:val="24"/>
          <w:szCs w:val="24"/>
        </w:rPr>
        <w:t xml:space="preserve">Les bosquets </w:t>
      </w:r>
      <w:r w:rsidR="00FF41AA">
        <w:rPr>
          <w:rFonts w:ascii="Times New Roman" w:hAnsi="Times New Roman" w:cs="Times New Roman"/>
          <w:sz w:val="24"/>
          <w:szCs w:val="24"/>
        </w:rPr>
        <w:t>épargné</w:t>
      </w:r>
      <w:r>
        <w:rPr>
          <w:rFonts w:ascii="Times New Roman" w:hAnsi="Times New Roman" w:cs="Times New Roman"/>
          <w:sz w:val="24"/>
          <w:szCs w:val="24"/>
        </w:rPr>
        <w:t xml:space="preserve">s </w:t>
      </w:r>
      <w:r w:rsidR="002C24B8" w:rsidRPr="000761EB">
        <w:rPr>
          <w:rFonts w:ascii="Times New Roman" w:hAnsi="Times New Roman" w:cs="Times New Roman"/>
          <w:sz w:val="24"/>
          <w:szCs w:val="24"/>
        </w:rPr>
        <w:t>sont des espaces boisés, de taille variable (en général de petite taille, de quelques mètres carrés à quelques ares), épargnés par le défrichement (néanmoins, aucune règle n’en interdit le défrichement). Ainsi, outre les arbres, le sol, non travaillé, porte en général un couvert herbacé ou arbustif. On trouve dans cette catégorie :</w:t>
      </w:r>
    </w:p>
    <w:p w14:paraId="0ECF3AA5" w14:textId="77777777" w:rsidR="000761EB" w:rsidRDefault="002C24B8" w:rsidP="00E50666">
      <w:pPr>
        <w:pStyle w:val="Paragraphedeliste"/>
        <w:numPr>
          <w:ilvl w:val="1"/>
          <w:numId w:val="3"/>
        </w:numPr>
        <w:spacing w:after="0" w:line="240" w:lineRule="auto"/>
        <w:jc w:val="both"/>
        <w:rPr>
          <w:rFonts w:ascii="Times New Roman" w:hAnsi="Times New Roman" w:cs="Times New Roman"/>
          <w:sz w:val="24"/>
          <w:szCs w:val="24"/>
        </w:rPr>
      </w:pPr>
      <w:r w:rsidRPr="000761EB">
        <w:rPr>
          <w:rFonts w:ascii="Times New Roman" w:hAnsi="Times New Roman" w:cs="Times New Roman"/>
          <w:b/>
          <w:sz w:val="24"/>
          <w:szCs w:val="24"/>
        </w:rPr>
        <w:t>Zones techniquement impropres à l’agriculture</w:t>
      </w:r>
      <w:r w:rsidR="000761EB">
        <w:rPr>
          <w:rFonts w:ascii="Times New Roman" w:hAnsi="Times New Roman" w:cs="Times New Roman"/>
          <w:b/>
          <w:sz w:val="24"/>
          <w:szCs w:val="24"/>
        </w:rPr>
        <w:t> : c</w:t>
      </w:r>
      <w:r w:rsidRPr="000761EB">
        <w:rPr>
          <w:rFonts w:ascii="Times New Roman" w:hAnsi="Times New Roman" w:cs="Times New Roman"/>
          <w:sz w:val="24"/>
          <w:szCs w:val="24"/>
        </w:rPr>
        <w:t>es zones (souvent des amas rocheux) finissent par se couvrir naturellement d’une végétation arborée et arbustive pour constituer des bosquets de petite taille. Mais rien n’interdit de défricher un tel bosquet ou d’y prélever du bois</w:t>
      </w:r>
      <w:r w:rsidR="000761EB">
        <w:rPr>
          <w:rFonts w:ascii="Times New Roman" w:hAnsi="Times New Roman" w:cs="Times New Roman"/>
          <w:sz w:val="24"/>
          <w:szCs w:val="24"/>
        </w:rPr>
        <w:t> ;</w:t>
      </w:r>
    </w:p>
    <w:p w14:paraId="3F0984BD" w14:textId="77777777" w:rsidR="000761EB" w:rsidRDefault="002C24B8" w:rsidP="00E50666">
      <w:pPr>
        <w:pStyle w:val="Paragraphedeliste"/>
        <w:numPr>
          <w:ilvl w:val="1"/>
          <w:numId w:val="3"/>
        </w:numPr>
        <w:spacing w:after="0" w:line="240" w:lineRule="auto"/>
        <w:jc w:val="both"/>
        <w:rPr>
          <w:rFonts w:ascii="Times New Roman" w:hAnsi="Times New Roman" w:cs="Times New Roman"/>
          <w:sz w:val="24"/>
          <w:szCs w:val="24"/>
        </w:rPr>
      </w:pPr>
      <w:r w:rsidRPr="000761EB">
        <w:rPr>
          <w:rFonts w:ascii="Times New Roman" w:hAnsi="Times New Roman" w:cs="Times New Roman"/>
          <w:b/>
          <w:sz w:val="24"/>
          <w:szCs w:val="24"/>
        </w:rPr>
        <w:t>Abords des tombes</w:t>
      </w:r>
      <w:r w:rsidR="000761EB">
        <w:rPr>
          <w:rFonts w:ascii="Times New Roman" w:hAnsi="Times New Roman" w:cs="Times New Roman"/>
          <w:b/>
          <w:sz w:val="24"/>
          <w:szCs w:val="24"/>
        </w:rPr>
        <w:t xml:space="preserve"> : </w:t>
      </w:r>
      <w:r w:rsidRPr="000761EB">
        <w:rPr>
          <w:rFonts w:ascii="Times New Roman" w:hAnsi="Times New Roman" w:cs="Times New Roman"/>
          <w:sz w:val="24"/>
          <w:szCs w:val="24"/>
        </w:rPr>
        <w:t>Les tombes sont parfois réparties dans les champs ou près des habitations. Leurs abords immédiats sont épargnés par le travail du sol. Aussi, une végétation naturelle finit-elle par s’installer. Quelques arbres peuvent alors constituer un bosquet. Arbres et arbustes peuvent y être prélevés, car seules les tombes sont protégée</w:t>
      </w:r>
      <w:r w:rsidR="00F775A1">
        <w:rPr>
          <w:rFonts w:ascii="Times New Roman" w:hAnsi="Times New Roman" w:cs="Times New Roman"/>
          <w:sz w:val="24"/>
          <w:szCs w:val="24"/>
        </w:rPr>
        <w:t>s ;</w:t>
      </w:r>
    </w:p>
    <w:p w14:paraId="6B36145C" w14:textId="6DB1ED4B" w:rsidR="002C24B8" w:rsidRPr="00F775A1" w:rsidRDefault="00F775A1" w:rsidP="00E50666">
      <w:pPr>
        <w:pStyle w:val="Paragraphedeliste"/>
        <w:numPr>
          <w:ilvl w:val="1"/>
          <w:numId w:val="3"/>
        </w:numPr>
        <w:spacing w:after="0" w:line="240" w:lineRule="auto"/>
        <w:jc w:val="both"/>
        <w:rPr>
          <w:rFonts w:ascii="Times New Roman" w:hAnsi="Times New Roman" w:cs="Times New Roman"/>
          <w:sz w:val="24"/>
          <w:szCs w:val="24"/>
        </w:rPr>
      </w:pPr>
      <w:r>
        <w:rPr>
          <w:rFonts w:ascii="Times New Roman" w:hAnsi="Times New Roman" w:cs="Times New Roman"/>
          <w:b/>
          <w:sz w:val="24"/>
          <w:szCs w:val="24"/>
        </w:rPr>
        <w:t>b</w:t>
      </w:r>
      <w:r w:rsidR="002C24B8" w:rsidRPr="000761EB">
        <w:rPr>
          <w:rFonts w:ascii="Times New Roman" w:hAnsi="Times New Roman" w:cs="Times New Roman"/>
          <w:b/>
          <w:sz w:val="24"/>
          <w:szCs w:val="24"/>
        </w:rPr>
        <w:t>osquets maléfiques</w:t>
      </w:r>
      <w:r>
        <w:rPr>
          <w:rFonts w:ascii="Times New Roman" w:hAnsi="Times New Roman" w:cs="Times New Roman"/>
          <w:b/>
          <w:sz w:val="24"/>
          <w:szCs w:val="24"/>
        </w:rPr>
        <w:t xml:space="preserve"> : </w:t>
      </w:r>
      <w:r w:rsidR="002C24B8" w:rsidRPr="00F775A1">
        <w:rPr>
          <w:rFonts w:ascii="Times New Roman" w:hAnsi="Times New Roman" w:cs="Times New Roman"/>
          <w:i/>
          <w:sz w:val="24"/>
          <w:szCs w:val="24"/>
        </w:rPr>
        <w:t>Afzelia africana</w:t>
      </w:r>
      <w:r w:rsidR="002C24B8" w:rsidRPr="00F775A1">
        <w:rPr>
          <w:rFonts w:ascii="Times New Roman" w:hAnsi="Times New Roman" w:cs="Times New Roman"/>
          <w:sz w:val="24"/>
          <w:szCs w:val="24"/>
        </w:rPr>
        <w:t xml:space="preserve"> est une essence considérée par les </w:t>
      </w:r>
      <w:r w:rsidR="00FF41AA">
        <w:rPr>
          <w:rFonts w:ascii="Times New Roman" w:hAnsi="Times New Roman" w:cs="Times New Roman"/>
          <w:sz w:val="24"/>
          <w:szCs w:val="24"/>
        </w:rPr>
        <w:t>Naoudas</w:t>
      </w:r>
      <w:r w:rsidR="002C24B8" w:rsidRPr="00F775A1">
        <w:rPr>
          <w:rFonts w:ascii="Times New Roman" w:hAnsi="Times New Roman" w:cs="Times New Roman"/>
          <w:sz w:val="24"/>
          <w:szCs w:val="24"/>
        </w:rPr>
        <w:t xml:space="preserve"> comme maléfique et dangereuse. C’est en effet l’incarnation du diable, sa demeure. Aussi, quand cette essence a pu s’installer quelque part, la crainte qu’elle inspire peut permettre la constitution progressive d’un bosquet puisque les abords ne sont plus cultivés. Pourtant, hormis cette crainte, aucune règle n’interdit les prélèvements.</w:t>
      </w:r>
    </w:p>
    <w:p w14:paraId="14B7F520" w14:textId="77777777" w:rsidR="002C24B8" w:rsidRPr="000E66C9" w:rsidRDefault="002C24B8" w:rsidP="000E66C9">
      <w:pPr>
        <w:spacing w:after="0" w:line="240" w:lineRule="auto"/>
        <w:jc w:val="both"/>
        <w:rPr>
          <w:rFonts w:ascii="Times New Roman" w:hAnsi="Times New Roman" w:cs="Times New Roman"/>
          <w:sz w:val="24"/>
          <w:szCs w:val="24"/>
        </w:rPr>
      </w:pPr>
    </w:p>
    <w:p w14:paraId="70438F15" w14:textId="77777777" w:rsidR="00F775A1" w:rsidRPr="00F775A1" w:rsidRDefault="00F775A1" w:rsidP="00E50666">
      <w:pPr>
        <w:pStyle w:val="Paragraphedeliste"/>
        <w:numPr>
          <w:ilvl w:val="0"/>
          <w:numId w:val="3"/>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Les f</w:t>
      </w:r>
      <w:r w:rsidR="002C24B8" w:rsidRPr="00F775A1">
        <w:rPr>
          <w:rFonts w:ascii="Times New Roman" w:hAnsi="Times New Roman" w:cs="Times New Roman"/>
          <w:b/>
          <w:sz w:val="24"/>
          <w:szCs w:val="24"/>
        </w:rPr>
        <w:t>orêts sacrées</w:t>
      </w:r>
      <w:r>
        <w:rPr>
          <w:rFonts w:ascii="Times New Roman" w:hAnsi="Times New Roman" w:cs="Times New Roman"/>
          <w:b/>
          <w:sz w:val="24"/>
          <w:szCs w:val="24"/>
        </w:rPr>
        <w:t xml:space="preserve"> : </w:t>
      </w:r>
      <w:r w:rsidR="002C24B8" w:rsidRPr="00F775A1">
        <w:rPr>
          <w:rFonts w:ascii="Times New Roman" w:hAnsi="Times New Roman" w:cs="Times New Roman"/>
          <w:sz w:val="24"/>
          <w:szCs w:val="24"/>
        </w:rPr>
        <w:t>Les forêts sacrées sont relativement plus grandes, de quelques mètres carrés à quatre ha, pour la plus grande. D</w:t>
      </w:r>
      <w:r>
        <w:rPr>
          <w:rFonts w:ascii="Times New Roman" w:hAnsi="Times New Roman" w:cs="Times New Roman"/>
          <w:sz w:val="24"/>
          <w:szCs w:val="24"/>
        </w:rPr>
        <w:t>es</w:t>
      </w:r>
      <w:r w:rsidR="002C24B8" w:rsidRPr="00F775A1">
        <w:rPr>
          <w:rFonts w:ascii="Times New Roman" w:hAnsi="Times New Roman" w:cs="Times New Roman"/>
          <w:sz w:val="24"/>
          <w:szCs w:val="24"/>
        </w:rPr>
        <w:t xml:space="preserve"> critères bien spécifiques permettent de les identifier : </w:t>
      </w:r>
    </w:p>
    <w:p w14:paraId="7156C6F3" w14:textId="77777777" w:rsidR="0038037D" w:rsidRPr="0038037D" w:rsidRDefault="00F775A1" w:rsidP="00E50666">
      <w:pPr>
        <w:pStyle w:val="Paragraphedeliste"/>
        <w:numPr>
          <w:ilvl w:val="1"/>
          <w:numId w:val="3"/>
        </w:numPr>
        <w:spacing w:after="0" w:line="240" w:lineRule="auto"/>
        <w:ind w:left="1134" w:hanging="283"/>
        <w:jc w:val="both"/>
        <w:rPr>
          <w:rFonts w:ascii="Times New Roman" w:hAnsi="Times New Roman" w:cs="Times New Roman"/>
          <w:b/>
          <w:sz w:val="24"/>
          <w:szCs w:val="24"/>
        </w:rPr>
      </w:pPr>
      <w:r w:rsidRPr="00F775A1">
        <w:rPr>
          <w:rFonts w:ascii="Times New Roman" w:hAnsi="Times New Roman" w:cs="Times New Roman"/>
          <w:sz w:val="24"/>
          <w:szCs w:val="24"/>
        </w:rPr>
        <w:t>Les f</w:t>
      </w:r>
      <w:r w:rsidR="002C24B8" w:rsidRPr="00F775A1">
        <w:rPr>
          <w:rFonts w:ascii="Times New Roman" w:hAnsi="Times New Roman" w:cs="Times New Roman"/>
          <w:sz w:val="24"/>
          <w:szCs w:val="24"/>
        </w:rPr>
        <w:t>orêts sacrées communautaires : les rites y sont pratiqués et concernent toute la communauté d’un canton, d’un village ou d’un quartier. Elles peuvent avoir un rôle très général comme lieu privilégié de contact avec les ancêtres ou, au contraire, avoir une vocation très spécifique (lieu où on peut guérir les maladies, demander la pluie en période de sécheresse anormale, éloigner les moustiques, demander la réussite des travaux champêtres, demander l'abondance des animaux sauvages pour une bonne chasse, faire des cérémonies aux jumeaux, approvisionner les populations en bois pour la fab</w:t>
      </w:r>
      <w:r w:rsidR="0038037D">
        <w:rPr>
          <w:rFonts w:ascii="Times New Roman" w:hAnsi="Times New Roman" w:cs="Times New Roman"/>
          <w:sz w:val="24"/>
          <w:szCs w:val="24"/>
        </w:rPr>
        <w:t>rication de certains tam-tams).</w:t>
      </w:r>
    </w:p>
    <w:p w14:paraId="6AD51D40" w14:textId="291B4214" w:rsidR="00F775A1" w:rsidRPr="00F775A1" w:rsidRDefault="002C24B8" w:rsidP="00E50666">
      <w:pPr>
        <w:pStyle w:val="Paragraphedeliste"/>
        <w:numPr>
          <w:ilvl w:val="1"/>
          <w:numId w:val="3"/>
        </w:numPr>
        <w:spacing w:after="0" w:line="240" w:lineRule="auto"/>
        <w:ind w:left="1134" w:hanging="283"/>
        <w:jc w:val="both"/>
        <w:rPr>
          <w:rFonts w:ascii="Times New Roman" w:hAnsi="Times New Roman" w:cs="Times New Roman"/>
          <w:b/>
          <w:sz w:val="24"/>
          <w:szCs w:val="24"/>
        </w:rPr>
      </w:pPr>
      <w:r w:rsidRPr="00F775A1">
        <w:rPr>
          <w:rFonts w:ascii="Times New Roman" w:hAnsi="Times New Roman" w:cs="Times New Roman"/>
          <w:sz w:val="24"/>
          <w:szCs w:val="24"/>
        </w:rPr>
        <w:t xml:space="preserve">Les forêts communautaires se situent sur des sites très particuliers ayant marqué la communauté dans des périodes souvent guerrières de son histoire. Ainsi, chez les Naodas (canton de Baga, village de Kiriga), les forêts sacrées correspondent au lieu où a existé un arbre fétiche, où se réunissaient les ancêtres guerriers de la communauté pour se mettre sous la protection des dieux et demander force et victoire avant de se rendre au combat. Après le combat, les guerriers repassaient dans ce bois pour remercier les divinités et se purifier en se lavant. Chez les Lambas, la forêt sacrée communautaire de </w:t>
      </w:r>
      <w:r w:rsidRPr="00F775A1">
        <w:rPr>
          <w:rFonts w:ascii="Times New Roman" w:hAnsi="Times New Roman" w:cs="Times New Roman"/>
          <w:i/>
          <w:sz w:val="24"/>
          <w:szCs w:val="24"/>
        </w:rPr>
        <w:t>Adajré-lao</w:t>
      </w:r>
      <w:r w:rsidRPr="00F775A1">
        <w:rPr>
          <w:rFonts w:ascii="Times New Roman" w:hAnsi="Times New Roman" w:cs="Times New Roman"/>
          <w:sz w:val="24"/>
          <w:szCs w:val="24"/>
        </w:rPr>
        <w:t xml:space="preserve"> (canton de Défalé, village de Tamdé) est le lieu où vivait le premier homme de Défalé appelé </w:t>
      </w:r>
      <w:r w:rsidRPr="00F775A1">
        <w:rPr>
          <w:rFonts w:ascii="Times New Roman" w:hAnsi="Times New Roman" w:cs="Times New Roman"/>
          <w:i/>
          <w:sz w:val="24"/>
          <w:szCs w:val="24"/>
        </w:rPr>
        <w:t>Aosower</w:t>
      </w:r>
      <w:r w:rsidRPr="00F775A1">
        <w:rPr>
          <w:rFonts w:ascii="Times New Roman" w:hAnsi="Times New Roman" w:cs="Times New Roman"/>
          <w:sz w:val="24"/>
          <w:szCs w:val="24"/>
        </w:rPr>
        <w:t xml:space="preserve"> (l'homme qui se transforme en pierre). Pendant la colonisation allemande (fin du XIX</w:t>
      </w:r>
      <w:r w:rsidRPr="00F775A1">
        <w:rPr>
          <w:rFonts w:ascii="Times New Roman" w:hAnsi="Times New Roman" w:cs="Times New Roman"/>
          <w:sz w:val="24"/>
          <w:szCs w:val="24"/>
          <w:vertAlign w:val="superscript"/>
        </w:rPr>
        <w:t xml:space="preserve">éme </w:t>
      </w:r>
      <w:r w:rsidRPr="00F775A1">
        <w:rPr>
          <w:rFonts w:ascii="Times New Roman" w:hAnsi="Times New Roman" w:cs="Times New Roman"/>
          <w:sz w:val="24"/>
          <w:szCs w:val="24"/>
        </w:rPr>
        <w:t xml:space="preserve">siècle) cet homme, qui résistait, se serait transformé en pierre au moment </w:t>
      </w:r>
      <w:r w:rsidR="00BC249A" w:rsidRPr="00F775A1">
        <w:rPr>
          <w:rFonts w:ascii="Times New Roman" w:hAnsi="Times New Roman" w:cs="Times New Roman"/>
          <w:sz w:val="24"/>
          <w:szCs w:val="24"/>
        </w:rPr>
        <w:t>où</w:t>
      </w:r>
      <w:r w:rsidRPr="00F775A1">
        <w:rPr>
          <w:rFonts w:ascii="Times New Roman" w:hAnsi="Times New Roman" w:cs="Times New Roman"/>
          <w:sz w:val="24"/>
          <w:szCs w:val="24"/>
        </w:rPr>
        <w:t xml:space="preserve"> l’on entrait dans sa maison pour le tuer. Il y a dans cette forêt une pierre dressée très différente des autres, c’est </w:t>
      </w:r>
      <w:r w:rsidRPr="00F775A1">
        <w:rPr>
          <w:rFonts w:ascii="Times New Roman" w:hAnsi="Times New Roman" w:cs="Times New Roman"/>
          <w:i/>
          <w:sz w:val="24"/>
          <w:szCs w:val="24"/>
        </w:rPr>
        <w:t>Aosower</w:t>
      </w:r>
      <w:r w:rsidRPr="00F775A1">
        <w:rPr>
          <w:rFonts w:ascii="Times New Roman" w:hAnsi="Times New Roman" w:cs="Times New Roman"/>
          <w:sz w:val="24"/>
          <w:szCs w:val="24"/>
        </w:rPr>
        <w:t xml:space="preserve">. Le cas le plus général est celui de la forêt sacrée, qui s’est installée sur le lieu de la maison de l’ancêtre commun à toute la communauté Lamba. D’autres forêts communautaires ont des origines moins claires, mais elles s’identifient par les fonctions qu’on leur prête. Souvent, l’existence de vestiges d’habitation (pierres, meules, éclats de poteries) en leur sein sont cités. Dans les forêts communautaires, certaines cérémonies peuvent avoir lieu à un rythme pluriannuel. C’est le cas de </w:t>
      </w:r>
      <w:r w:rsidRPr="00F775A1">
        <w:rPr>
          <w:rFonts w:ascii="Times New Roman" w:hAnsi="Times New Roman" w:cs="Times New Roman"/>
          <w:i/>
          <w:sz w:val="24"/>
          <w:szCs w:val="24"/>
        </w:rPr>
        <w:t>Habyé</w:t>
      </w:r>
      <w:r w:rsidRPr="00F775A1">
        <w:rPr>
          <w:rFonts w:ascii="Times New Roman" w:hAnsi="Times New Roman" w:cs="Times New Roman"/>
          <w:sz w:val="24"/>
          <w:szCs w:val="24"/>
        </w:rPr>
        <w:t>, fête au cours de laquelle les mauvais esprits sont chassés (tous les 3 ans), de l’initiation des jeunes à Agbandé (</w:t>
      </w:r>
      <w:r w:rsidRPr="00F775A1">
        <w:rPr>
          <w:rFonts w:ascii="Times New Roman" w:hAnsi="Times New Roman" w:cs="Times New Roman"/>
          <w:i/>
          <w:sz w:val="24"/>
          <w:szCs w:val="24"/>
        </w:rPr>
        <w:t>Kondana</w:t>
      </w:r>
      <w:r w:rsidRPr="00F775A1">
        <w:rPr>
          <w:rFonts w:ascii="Times New Roman" w:hAnsi="Times New Roman" w:cs="Times New Roman"/>
          <w:sz w:val="24"/>
          <w:szCs w:val="24"/>
        </w:rPr>
        <w:t xml:space="preserve">, tous les 3 ans aussi), ou de la cérémonie de </w:t>
      </w:r>
      <w:r w:rsidRPr="00F775A1">
        <w:rPr>
          <w:rFonts w:ascii="Times New Roman" w:hAnsi="Times New Roman" w:cs="Times New Roman"/>
          <w:i/>
          <w:sz w:val="24"/>
          <w:szCs w:val="24"/>
        </w:rPr>
        <w:t>Doudour</w:t>
      </w:r>
      <w:r w:rsidRPr="00F775A1">
        <w:rPr>
          <w:rFonts w:ascii="Times New Roman" w:hAnsi="Times New Roman" w:cs="Times New Roman"/>
          <w:sz w:val="24"/>
          <w:szCs w:val="24"/>
        </w:rPr>
        <w:t xml:space="preserve"> à Koka, qui a lieu tous les 10 ans. A Koka et à Niamtougou, une cérémonie est pratiquée chaque fois qu’un grand arbre de la forêt tombe. Il s’agit de rendre hommage à la divinité disparue ;</w:t>
      </w:r>
    </w:p>
    <w:p w14:paraId="0CD00D93" w14:textId="77777777" w:rsidR="00F775A1" w:rsidRPr="00F775A1" w:rsidRDefault="00F775A1" w:rsidP="00E50666">
      <w:pPr>
        <w:pStyle w:val="Paragraphedeliste"/>
        <w:numPr>
          <w:ilvl w:val="1"/>
          <w:numId w:val="3"/>
        </w:numPr>
        <w:spacing w:after="0" w:line="240" w:lineRule="auto"/>
        <w:ind w:left="1134" w:hanging="425"/>
        <w:jc w:val="both"/>
        <w:rPr>
          <w:rFonts w:ascii="Times New Roman" w:hAnsi="Times New Roman" w:cs="Times New Roman"/>
          <w:b/>
          <w:sz w:val="24"/>
          <w:szCs w:val="24"/>
        </w:rPr>
      </w:pPr>
      <w:r>
        <w:rPr>
          <w:rFonts w:ascii="Times New Roman" w:hAnsi="Times New Roman" w:cs="Times New Roman"/>
          <w:sz w:val="24"/>
          <w:szCs w:val="24"/>
        </w:rPr>
        <w:t>Les f</w:t>
      </w:r>
      <w:r w:rsidR="002C24B8" w:rsidRPr="00F775A1">
        <w:rPr>
          <w:rFonts w:ascii="Times New Roman" w:hAnsi="Times New Roman" w:cs="Times New Roman"/>
          <w:sz w:val="24"/>
          <w:szCs w:val="24"/>
        </w:rPr>
        <w:t>orêts sacrées familiales : les rites ne concernent que les membres d’une famille particulière. Certains de ces rites familiaux peuvent, néanmoins, se pratiquer au profit de la communauté (réussite des semences, lutte contre les insectes ravageurs). Les forêts sacrées familiales sont apparemment toujours le lieu d’habitation des premiers ancêtres de la famille. On y retrouve toujours des vestiges d’habitation (pierres de soutènement des greniers, meules, débris de poteries, pierres de foyers). Après avoir été abandonnées, ces habitations ont été envahies par la végétation. Un bois s’est constitué, au sein duquel trône souvent l’ancien arbre fétiche de la maison. Ce bois est alors considéré comme l’abri, ("la maison") qui protège les ancêtres ; le lieu où l’on vient retrouver ces derniers, les honorer, et demander leur aide ;</w:t>
      </w:r>
    </w:p>
    <w:p w14:paraId="24A5747B" w14:textId="77777777" w:rsidR="002C24B8" w:rsidRPr="00F775A1" w:rsidRDefault="00F775A1" w:rsidP="00E50666">
      <w:pPr>
        <w:pStyle w:val="Paragraphedeliste"/>
        <w:numPr>
          <w:ilvl w:val="1"/>
          <w:numId w:val="3"/>
        </w:numPr>
        <w:spacing w:after="0" w:line="240" w:lineRule="auto"/>
        <w:ind w:left="1134" w:hanging="425"/>
        <w:jc w:val="both"/>
        <w:rPr>
          <w:rFonts w:ascii="Times New Roman" w:hAnsi="Times New Roman" w:cs="Times New Roman"/>
          <w:b/>
          <w:sz w:val="24"/>
          <w:szCs w:val="24"/>
        </w:rPr>
      </w:pPr>
      <w:r>
        <w:rPr>
          <w:rFonts w:ascii="Times New Roman" w:hAnsi="Times New Roman" w:cs="Times New Roman"/>
          <w:sz w:val="24"/>
          <w:szCs w:val="24"/>
        </w:rPr>
        <w:t>Les f</w:t>
      </w:r>
      <w:r w:rsidR="002C24B8" w:rsidRPr="00F775A1">
        <w:rPr>
          <w:rFonts w:ascii="Times New Roman" w:hAnsi="Times New Roman" w:cs="Times New Roman"/>
          <w:sz w:val="24"/>
          <w:szCs w:val="24"/>
        </w:rPr>
        <w:t xml:space="preserve">orêts sacrées mixtes : elles peuvent être des forêts communautaires où se pratiquent des rites strictement familiaux (cas de </w:t>
      </w:r>
      <w:r w:rsidR="002C24B8" w:rsidRPr="00F775A1">
        <w:rPr>
          <w:rFonts w:ascii="Times New Roman" w:hAnsi="Times New Roman" w:cs="Times New Roman"/>
          <w:i/>
          <w:sz w:val="24"/>
          <w:szCs w:val="24"/>
        </w:rPr>
        <w:t>Nimbaragou</w:t>
      </w:r>
      <w:r w:rsidR="002C24B8" w:rsidRPr="00F775A1">
        <w:rPr>
          <w:rFonts w:ascii="Times New Roman" w:hAnsi="Times New Roman" w:cs="Times New Roman"/>
          <w:sz w:val="24"/>
          <w:szCs w:val="24"/>
        </w:rPr>
        <w:t xml:space="preserve"> à Koka) ou, inversement, des forêts familiales qui participent aux rites de la communauté (à Koka, les cérémonies communautaires de </w:t>
      </w:r>
      <w:r w:rsidR="002C24B8" w:rsidRPr="00F775A1">
        <w:rPr>
          <w:rFonts w:ascii="Times New Roman" w:hAnsi="Times New Roman" w:cs="Times New Roman"/>
          <w:i/>
          <w:sz w:val="24"/>
          <w:szCs w:val="24"/>
        </w:rPr>
        <w:t>Habyé</w:t>
      </w:r>
      <w:r w:rsidR="002C24B8" w:rsidRPr="00F775A1">
        <w:rPr>
          <w:rFonts w:ascii="Times New Roman" w:hAnsi="Times New Roman" w:cs="Times New Roman"/>
          <w:sz w:val="24"/>
          <w:szCs w:val="24"/>
        </w:rPr>
        <w:t xml:space="preserve"> commencent dans la forêt sacrée familiale de </w:t>
      </w:r>
      <w:r w:rsidR="002C24B8" w:rsidRPr="00F775A1">
        <w:rPr>
          <w:rFonts w:ascii="Times New Roman" w:hAnsi="Times New Roman" w:cs="Times New Roman"/>
          <w:i/>
          <w:sz w:val="24"/>
          <w:szCs w:val="24"/>
        </w:rPr>
        <w:t>Figaragou</w:t>
      </w:r>
      <w:r w:rsidR="002C24B8" w:rsidRPr="00F775A1">
        <w:rPr>
          <w:rFonts w:ascii="Times New Roman" w:hAnsi="Times New Roman" w:cs="Times New Roman"/>
          <w:sz w:val="24"/>
          <w:szCs w:val="24"/>
        </w:rPr>
        <w:t xml:space="preserve">). </w:t>
      </w:r>
    </w:p>
    <w:p w14:paraId="7A724F5F" w14:textId="77777777" w:rsidR="002C24B8" w:rsidRPr="000E66C9" w:rsidRDefault="002C24B8" w:rsidP="000E66C9">
      <w:pPr>
        <w:spacing w:after="0" w:line="240" w:lineRule="auto"/>
        <w:jc w:val="both"/>
        <w:rPr>
          <w:rFonts w:ascii="Times New Roman" w:hAnsi="Times New Roman" w:cs="Times New Roman"/>
          <w:sz w:val="24"/>
          <w:szCs w:val="24"/>
        </w:rPr>
      </w:pPr>
    </w:p>
    <w:p w14:paraId="0E5BF4AA" w14:textId="53854648" w:rsidR="002C24B8" w:rsidRDefault="002C24B8" w:rsidP="00F775A1">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En pays Kabyè, l’histoire des bois sacrés est toujours en relation avec la faune, la flore ou d'autres ressources naturelle</w:t>
      </w:r>
      <w:r w:rsidR="00BC249A">
        <w:rPr>
          <w:rFonts w:ascii="Times New Roman" w:hAnsi="Times New Roman" w:cs="Times New Roman"/>
          <w:sz w:val="24"/>
          <w:szCs w:val="24"/>
        </w:rPr>
        <w:t>s (eau notamment). Ils sont créé</w:t>
      </w:r>
      <w:r w:rsidRPr="000E66C9">
        <w:rPr>
          <w:rFonts w:ascii="Times New Roman" w:hAnsi="Times New Roman" w:cs="Times New Roman"/>
          <w:sz w:val="24"/>
          <w:szCs w:val="24"/>
        </w:rPr>
        <w:t>s par les premiers immigrants qui se seraient installés en forêt. Les noms de plusieurs villages et bois sacrés comportent le mot "</w:t>
      </w:r>
      <w:r w:rsidRPr="000E66C9">
        <w:rPr>
          <w:rFonts w:ascii="Times New Roman" w:hAnsi="Times New Roman" w:cs="Times New Roman"/>
          <w:i/>
          <w:sz w:val="24"/>
          <w:szCs w:val="24"/>
        </w:rPr>
        <w:t>lao</w:t>
      </w:r>
      <w:r w:rsidRPr="000E66C9">
        <w:rPr>
          <w:rFonts w:ascii="Times New Roman" w:hAnsi="Times New Roman" w:cs="Times New Roman"/>
          <w:sz w:val="24"/>
          <w:szCs w:val="24"/>
        </w:rPr>
        <w:t>" ou "</w:t>
      </w:r>
      <w:r w:rsidRPr="000E66C9">
        <w:rPr>
          <w:rFonts w:ascii="Times New Roman" w:hAnsi="Times New Roman" w:cs="Times New Roman"/>
          <w:i/>
          <w:sz w:val="24"/>
          <w:szCs w:val="24"/>
        </w:rPr>
        <w:t>landa</w:t>
      </w:r>
      <w:r w:rsidRPr="000E66C9">
        <w:rPr>
          <w:rFonts w:ascii="Times New Roman" w:hAnsi="Times New Roman" w:cs="Times New Roman"/>
          <w:sz w:val="24"/>
          <w:szCs w:val="24"/>
        </w:rPr>
        <w:t>" qui signifie "forêt" ou "dans les forêts". Mais la notion de la forêt chez les populations locales n’étant pas pareille que chez les spécialistes, ces toponymies sont à prendre avec beaucoup de réserve. Ces lieux sont sacrés soit parce qu’on croit qu’un être supérieur y habite, soit parce qu’ils sont jugés appropriés pour y consacrer un culte. D’autres sont sacrés à cause de la source d’eau qu'il renferme (</w:t>
      </w:r>
      <w:r w:rsidRPr="000E66C9">
        <w:rPr>
          <w:rFonts w:ascii="Times New Roman" w:hAnsi="Times New Roman" w:cs="Times New Roman"/>
          <w:i/>
          <w:sz w:val="24"/>
          <w:szCs w:val="24"/>
        </w:rPr>
        <w:t>Dewada</w:t>
      </w:r>
      <w:r w:rsidRPr="000E66C9">
        <w:rPr>
          <w:rFonts w:ascii="Times New Roman" w:hAnsi="Times New Roman" w:cs="Times New Roman"/>
          <w:sz w:val="24"/>
          <w:szCs w:val="24"/>
        </w:rPr>
        <w:t xml:space="preserve"> et </w:t>
      </w:r>
      <w:r w:rsidRPr="000E66C9">
        <w:rPr>
          <w:rFonts w:ascii="Times New Roman" w:hAnsi="Times New Roman" w:cs="Times New Roman"/>
          <w:i/>
          <w:sz w:val="24"/>
          <w:szCs w:val="24"/>
        </w:rPr>
        <w:t>Asseyi hiré</w:t>
      </w:r>
      <w:r w:rsidRPr="000E66C9">
        <w:rPr>
          <w:rFonts w:ascii="Times New Roman" w:hAnsi="Times New Roman" w:cs="Times New Roman"/>
          <w:sz w:val="24"/>
          <w:szCs w:val="24"/>
        </w:rPr>
        <w:t>). D’autres encore sont l’initiative d’une personne qui l’aurait installé pour sa propre protection et où les autres villageois peuvent aller solliciter leur protection (</w:t>
      </w:r>
      <w:r w:rsidRPr="000E66C9">
        <w:rPr>
          <w:rFonts w:ascii="Times New Roman" w:hAnsi="Times New Roman" w:cs="Times New Roman"/>
          <w:i/>
          <w:sz w:val="24"/>
          <w:szCs w:val="24"/>
        </w:rPr>
        <w:t>Djamdè</w:t>
      </w:r>
      <w:r w:rsidRPr="000E66C9">
        <w:rPr>
          <w:rFonts w:ascii="Times New Roman" w:hAnsi="Times New Roman" w:cs="Times New Roman"/>
          <w:sz w:val="24"/>
          <w:szCs w:val="24"/>
        </w:rPr>
        <w:t xml:space="preserve">, </w:t>
      </w:r>
      <w:r w:rsidRPr="000E66C9">
        <w:rPr>
          <w:rFonts w:ascii="Times New Roman" w:hAnsi="Times New Roman" w:cs="Times New Roman"/>
          <w:i/>
          <w:sz w:val="24"/>
          <w:szCs w:val="24"/>
        </w:rPr>
        <w:t>Leoudè</w:t>
      </w:r>
      <w:r w:rsidRPr="000E66C9">
        <w:rPr>
          <w:rFonts w:ascii="Times New Roman" w:hAnsi="Times New Roman" w:cs="Times New Roman"/>
          <w:sz w:val="24"/>
          <w:szCs w:val="24"/>
        </w:rPr>
        <w:t>). Ils peuvent être</w:t>
      </w:r>
      <w:r w:rsidR="00FF41AA">
        <w:rPr>
          <w:rFonts w:ascii="Times New Roman" w:hAnsi="Times New Roman" w:cs="Times New Roman"/>
          <w:sz w:val="24"/>
          <w:szCs w:val="24"/>
        </w:rPr>
        <w:t xml:space="preserve"> subdivisés en plusieurs types.</w:t>
      </w:r>
    </w:p>
    <w:p w14:paraId="5DE949C9" w14:textId="77777777" w:rsidR="00FF41AA" w:rsidRPr="000E66C9" w:rsidRDefault="00FF41AA" w:rsidP="00F775A1">
      <w:pPr>
        <w:spacing w:after="0" w:line="240" w:lineRule="auto"/>
        <w:jc w:val="both"/>
        <w:rPr>
          <w:rFonts w:ascii="Times New Roman" w:hAnsi="Times New Roman" w:cs="Times New Roman"/>
          <w:sz w:val="24"/>
          <w:szCs w:val="24"/>
        </w:rPr>
      </w:pPr>
    </w:p>
    <w:p w14:paraId="78C5C8B0" w14:textId="148EB4BF" w:rsidR="002C24B8" w:rsidRPr="000E66C9" w:rsidRDefault="002C24B8" w:rsidP="00F775A1">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Des prêtres traditionnels sont désignés pour s’occuper des cérémonies. Ils organisent le nettoyage des voies des sites dits sacrés. Ce nettoyage se fait soit en collaboration avec les jeunes de la famille du prêtre soit avec le village entier. Pendant ce nettoyage, les bois morts peuvent être ramassés. Le prêtre est garant de la culture et se charge de faire respecter les interdits des divinités. Il inflige des sanctions aux contrevenants. Il fait consulter le dieu du bois par un charlatan lorsqu’un sérieux problème se pose au village (cas de retard important de pluies, cas de mauvaises</w:t>
      </w:r>
      <w:r w:rsidR="00FF41AA">
        <w:rPr>
          <w:rFonts w:ascii="Times New Roman" w:hAnsi="Times New Roman" w:cs="Times New Roman"/>
          <w:sz w:val="24"/>
          <w:szCs w:val="24"/>
        </w:rPr>
        <w:t xml:space="preserve"> récoltes, cas d'une épidémie, etc.</w:t>
      </w:r>
      <w:r w:rsidRPr="000E66C9">
        <w:rPr>
          <w:rFonts w:ascii="Times New Roman" w:hAnsi="Times New Roman" w:cs="Times New Roman"/>
          <w:sz w:val="24"/>
          <w:szCs w:val="24"/>
        </w:rPr>
        <w:t xml:space="preserve">). Il </w:t>
      </w:r>
      <w:r w:rsidR="00BC249A" w:rsidRPr="000E66C9">
        <w:rPr>
          <w:rFonts w:ascii="Times New Roman" w:hAnsi="Times New Roman" w:cs="Times New Roman"/>
          <w:sz w:val="24"/>
          <w:szCs w:val="24"/>
        </w:rPr>
        <w:t>s’agit</w:t>
      </w:r>
      <w:r w:rsidRPr="000E66C9">
        <w:rPr>
          <w:rFonts w:ascii="Times New Roman" w:hAnsi="Times New Roman" w:cs="Times New Roman"/>
          <w:sz w:val="24"/>
          <w:szCs w:val="24"/>
        </w:rPr>
        <w:t xml:space="preserve"> des fois d’une démarche votive pour trouver la cause du fléau (toujours une faute humaine, une infraction aux règles sacrées). Le prêtre organise à cet effet des cérémonies expiatoires pour résoudre le problème. Les cérémonies varient d’un esprit à un autre et vont d’une simple libation aux sacrifices des animaux bien déterminés et même au sacrifice humain (aujourd’hui abandonné).</w:t>
      </w:r>
    </w:p>
    <w:p w14:paraId="56B10B36" w14:textId="77777777" w:rsidR="00F775A1" w:rsidRDefault="00F775A1" w:rsidP="00F775A1">
      <w:pPr>
        <w:spacing w:after="0" w:line="240" w:lineRule="auto"/>
        <w:jc w:val="both"/>
        <w:rPr>
          <w:rFonts w:ascii="Times New Roman" w:hAnsi="Times New Roman" w:cs="Times New Roman"/>
          <w:sz w:val="24"/>
          <w:szCs w:val="24"/>
        </w:rPr>
      </w:pPr>
    </w:p>
    <w:p w14:paraId="6107F972" w14:textId="60514738" w:rsidR="002C24B8" w:rsidRPr="000E66C9" w:rsidRDefault="002C24B8" w:rsidP="00F775A1">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Les esprits des bois sacrés sont matériali</w:t>
      </w:r>
      <w:r w:rsidR="00FF41AA">
        <w:rPr>
          <w:rFonts w:ascii="Times New Roman" w:hAnsi="Times New Roman" w:cs="Times New Roman"/>
          <w:sz w:val="24"/>
          <w:szCs w:val="24"/>
        </w:rPr>
        <w:t>sés par un rocher ou une pierre</w:t>
      </w:r>
      <w:r w:rsidRPr="000E66C9">
        <w:rPr>
          <w:rFonts w:ascii="Times New Roman" w:hAnsi="Times New Roman" w:cs="Times New Roman"/>
          <w:sz w:val="24"/>
          <w:szCs w:val="24"/>
        </w:rPr>
        <w:t xml:space="preserve"> isolé</w:t>
      </w:r>
      <w:r w:rsidR="00FF41AA">
        <w:rPr>
          <w:rFonts w:ascii="Times New Roman" w:hAnsi="Times New Roman" w:cs="Times New Roman"/>
          <w:sz w:val="24"/>
          <w:szCs w:val="24"/>
        </w:rPr>
        <w:t>e</w:t>
      </w:r>
      <w:r w:rsidRPr="000E66C9">
        <w:rPr>
          <w:rFonts w:ascii="Times New Roman" w:hAnsi="Times New Roman" w:cs="Times New Roman"/>
          <w:sz w:val="24"/>
          <w:szCs w:val="24"/>
        </w:rPr>
        <w:t xml:space="preserve"> disposé</w:t>
      </w:r>
      <w:r w:rsidR="00FF41AA">
        <w:rPr>
          <w:rFonts w:ascii="Times New Roman" w:hAnsi="Times New Roman" w:cs="Times New Roman"/>
          <w:sz w:val="24"/>
          <w:szCs w:val="24"/>
        </w:rPr>
        <w:t>e</w:t>
      </w:r>
      <w:r w:rsidRPr="000E66C9">
        <w:rPr>
          <w:rFonts w:ascii="Times New Roman" w:hAnsi="Times New Roman" w:cs="Times New Roman"/>
          <w:sz w:val="24"/>
          <w:szCs w:val="24"/>
        </w:rPr>
        <w:t xml:space="preserve"> au pied d'un </w:t>
      </w:r>
      <w:r w:rsidRPr="000E66C9">
        <w:rPr>
          <w:rFonts w:ascii="Times New Roman" w:hAnsi="Times New Roman" w:cs="Times New Roman"/>
          <w:i/>
          <w:sz w:val="24"/>
          <w:szCs w:val="24"/>
        </w:rPr>
        <w:t xml:space="preserve">Ceiba pentandra, Adansonia digitata, Antiaris africana, Diospyros mespiliformis </w:t>
      </w:r>
      <w:r w:rsidRPr="000E66C9">
        <w:rPr>
          <w:rFonts w:ascii="Times New Roman" w:hAnsi="Times New Roman" w:cs="Times New Roman"/>
          <w:sz w:val="24"/>
          <w:szCs w:val="24"/>
        </w:rPr>
        <w:t>ou</w:t>
      </w:r>
      <w:r w:rsidRPr="000E66C9">
        <w:rPr>
          <w:rFonts w:ascii="Times New Roman" w:hAnsi="Times New Roman" w:cs="Times New Roman"/>
          <w:i/>
          <w:sz w:val="24"/>
          <w:szCs w:val="24"/>
        </w:rPr>
        <w:t xml:space="preserve"> Dracaena arborea</w:t>
      </w:r>
      <w:r w:rsidRPr="000E66C9">
        <w:rPr>
          <w:rFonts w:ascii="Times New Roman" w:hAnsi="Times New Roman" w:cs="Times New Roman"/>
          <w:sz w:val="24"/>
          <w:szCs w:val="24"/>
        </w:rPr>
        <w:t>. D’autres esprits sont matérialisés par une motte de terre battue (</w:t>
      </w:r>
      <w:r w:rsidRPr="000E66C9">
        <w:rPr>
          <w:rFonts w:ascii="Times New Roman" w:hAnsi="Times New Roman" w:cs="Times New Roman"/>
          <w:i/>
          <w:sz w:val="24"/>
          <w:szCs w:val="24"/>
        </w:rPr>
        <w:t>Lao dolou</w:t>
      </w:r>
      <w:r w:rsidRPr="000E66C9">
        <w:rPr>
          <w:rFonts w:ascii="Times New Roman" w:hAnsi="Times New Roman" w:cs="Times New Roman"/>
          <w:sz w:val="24"/>
          <w:szCs w:val="24"/>
        </w:rPr>
        <w:t>) ou la motte de terre soutenue par des cailloux (</w:t>
      </w:r>
      <w:r w:rsidRPr="000E66C9">
        <w:rPr>
          <w:rFonts w:ascii="Times New Roman" w:hAnsi="Times New Roman" w:cs="Times New Roman"/>
          <w:i/>
          <w:sz w:val="24"/>
          <w:szCs w:val="24"/>
        </w:rPr>
        <w:t xml:space="preserve">Tiwang </w:t>
      </w:r>
      <w:r w:rsidRPr="000E66C9">
        <w:rPr>
          <w:rFonts w:ascii="Times New Roman" w:hAnsi="Times New Roman" w:cs="Times New Roman"/>
          <w:sz w:val="24"/>
          <w:szCs w:val="24"/>
        </w:rPr>
        <w:t xml:space="preserve">à Pya, </w:t>
      </w:r>
      <w:r w:rsidRPr="000E66C9">
        <w:rPr>
          <w:rFonts w:ascii="Times New Roman" w:hAnsi="Times New Roman" w:cs="Times New Roman"/>
          <w:i/>
          <w:sz w:val="24"/>
          <w:szCs w:val="24"/>
        </w:rPr>
        <w:t>Dolo</w:t>
      </w:r>
      <w:r w:rsidR="00FF41AA">
        <w:rPr>
          <w:rFonts w:ascii="Times New Roman" w:hAnsi="Times New Roman" w:cs="Times New Roman"/>
          <w:sz w:val="24"/>
          <w:szCs w:val="24"/>
        </w:rPr>
        <w:t xml:space="preserve"> à Lassa, etc.</w:t>
      </w:r>
      <w:r w:rsidRPr="000E66C9">
        <w:rPr>
          <w:rFonts w:ascii="Times New Roman" w:hAnsi="Times New Roman" w:cs="Times New Roman"/>
          <w:sz w:val="24"/>
          <w:szCs w:val="24"/>
        </w:rPr>
        <w:t>). A leur lisière, se trouvent souvent des autels de sacrifice représentant soit l’esprit du bois sacré soit les ancêtres valeureux et saints du village. Certains autels sont éloignés du bois sacrés (</w:t>
      </w:r>
      <w:r w:rsidRPr="000E66C9">
        <w:rPr>
          <w:rFonts w:ascii="Times New Roman" w:hAnsi="Times New Roman" w:cs="Times New Roman"/>
          <w:i/>
          <w:sz w:val="24"/>
          <w:szCs w:val="24"/>
        </w:rPr>
        <w:t>Kpéda</w:t>
      </w:r>
      <w:r w:rsidRPr="000E66C9">
        <w:rPr>
          <w:rFonts w:ascii="Times New Roman" w:hAnsi="Times New Roman" w:cs="Times New Roman"/>
          <w:sz w:val="24"/>
          <w:szCs w:val="24"/>
        </w:rPr>
        <w:t xml:space="preserve"> à Lama, </w:t>
      </w:r>
      <w:r w:rsidRPr="000E66C9">
        <w:rPr>
          <w:rFonts w:ascii="Times New Roman" w:hAnsi="Times New Roman" w:cs="Times New Roman"/>
          <w:i/>
          <w:sz w:val="24"/>
          <w:szCs w:val="24"/>
        </w:rPr>
        <w:t>Elihoou</w:t>
      </w:r>
      <w:r w:rsidRPr="000E66C9">
        <w:rPr>
          <w:rFonts w:ascii="Times New Roman" w:hAnsi="Times New Roman" w:cs="Times New Roman"/>
          <w:sz w:val="24"/>
          <w:szCs w:val="24"/>
        </w:rPr>
        <w:t xml:space="preserve"> à Soundina, </w:t>
      </w:r>
      <w:r w:rsidRPr="000E66C9">
        <w:rPr>
          <w:rFonts w:ascii="Times New Roman" w:hAnsi="Times New Roman" w:cs="Times New Roman"/>
          <w:i/>
          <w:sz w:val="24"/>
          <w:szCs w:val="24"/>
        </w:rPr>
        <w:t>Houré</w:t>
      </w:r>
      <w:r w:rsidRPr="000E66C9">
        <w:rPr>
          <w:rFonts w:ascii="Times New Roman" w:hAnsi="Times New Roman" w:cs="Times New Roman"/>
          <w:sz w:val="24"/>
          <w:szCs w:val="24"/>
        </w:rPr>
        <w:t xml:space="preserve"> à Kouméa...). Cet éloignement des autels retrace l'histoire du clan notamment la migration, entre temps</w:t>
      </w:r>
      <w:r w:rsidR="00FF41AA">
        <w:rPr>
          <w:rFonts w:ascii="Times New Roman" w:hAnsi="Times New Roman" w:cs="Times New Roman"/>
          <w:sz w:val="24"/>
          <w:szCs w:val="24"/>
        </w:rPr>
        <w:t xml:space="preserve"> </w:t>
      </w:r>
      <w:r w:rsidRPr="000E66C9">
        <w:rPr>
          <w:rFonts w:ascii="Times New Roman" w:hAnsi="Times New Roman" w:cs="Times New Roman"/>
          <w:sz w:val="24"/>
          <w:szCs w:val="24"/>
        </w:rPr>
        <w:t>des habitants de la maison. Ceux-ci se déplacent avec tout le matériel de sacrifice. On trouve également dans ces bois sacrés où à leur lisière, des cailloux disposés en petits cercles (</w:t>
      </w:r>
      <w:r w:rsidRPr="000E66C9">
        <w:rPr>
          <w:rFonts w:ascii="Times New Roman" w:hAnsi="Times New Roman" w:cs="Times New Roman"/>
          <w:i/>
          <w:sz w:val="24"/>
          <w:szCs w:val="24"/>
        </w:rPr>
        <w:t>Koka</w:t>
      </w:r>
      <w:r w:rsidRPr="000E66C9">
        <w:rPr>
          <w:rFonts w:ascii="Times New Roman" w:hAnsi="Times New Roman" w:cs="Times New Roman"/>
          <w:sz w:val="24"/>
          <w:szCs w:val="24"/>
        </w:rPr>
        <w:t>). Ces cercles sont situés devant la première maison du fondateur du village. Dans d’autres bois sacrés, ces cercles n’existent plus car les descendants se sont déplacés avec dans leur migration. Ces cercles sont en fait les lieux où les populations s’assoient le jour des cérémonies.</w:t>
      </w:r>
    </w:p>
    <w:p w14:paraId="09F97AA9" w14:textId="77777777" w:rsidR="002C24B8" w:rsidRPr="000E66C9" w:rsidRDefault="002C24B8" w:rsidP="000E66C9">
      <w:pPr>
        <w:spacing w:after="0" w:line="240" w:lineRule="auto"/>
        <w:jc w:val="both"/>
        <w:rPr>
          <w:rFonts w:ascii="Times New Roman" w:hAnsi="Times New Roman" w:cs="Times New Roman"/>
          <w:sz w:val="24"/>
          <w:szCs w:val="24"/>
        </w:rPr>
      </w:pPr>
    </w:p>
    <w:p w14:paraId="42E35C9E" w14:textId="77777777" w:rsidR="00650F49" w:rsidRPr="00555B83" w:rsidRDefault="00650F49" w:rsidP="00E50666">
      <w:pPr>
        <w:pStyle w:val="Paragraphedeliste"/>
        <w:numPr>
          <w:ilvl w:val="0"/>
          <w:numId w:val="37"/>
        </w:numPr>
        <w:spacing w:after="0" w:line="240" w:lineRule="auto"/>
        <w:jc w:val="both"/>
        <w:rPr>
          <w:rFonts w:ascii="Times New Roman" w:hAnsi="Times New Roman" w:cs="Times New Roman"/>
          <w:b/>
          <w:sz w:val="24"/>
          <w:szCs w:val="24"/>
        </w:rPr>
      </w:pPr>
      <w:r w:rsidRPr="00555B83">
        <w:rPr>
          <w:rFonts w:ascii="Times New Roman" w:hAnsi="Times New Roman" w:cs="Times New Roman"/>
          <w:b/>
          <w:sz w:val="24"/>
          <w:szCs w:val="24"/>
        </w:rPr>
        <w:t xml:space="preserve"> Troisième cas d’étude : pratique locale de gestion </w:t>
      </w:r>
      <w:r w:rsidR="007B41EE" w:rsidRPr="00555B83">
        <w:rPr>
          <w:rFonts w:ascii="Times New Roman" w:hAnsi="Times New Roman" w:cs="Times New Roman"/>
          <w:b/>
          <w:sz w:val="24"/>
          <w:szCs w:val="24"/>
        </w:rPr>
        <w:t>des forêts-galeries</w:t>
      </w:r>
    </w:p>
    <w:p w14:paraId="2764EE38" w14:textId="77777777" w:rsidR="00650F49" w:rsidRPr="000E66C9" w:rsidRDefault="00650F49" w:rsidP="00650F49">
      <w:pPr>
        <w:spacing w:after="0" w:line="240" w:lineRule="auto"/>
        <w:jc w:val="both"/>
        <w:rPr>
          <w:rFonts w:ascii="Times New Roman" w:hAnsi="Times New Roman" w:cs="Times New Roman"/>
          <w:b/>
          <w:sz w:val="24"/>
          <w:szCs w:val="24"/>
        </w:rPr>
      </w:pPr>
    </w:p>
    <w:p w14:paraId="6613A57F" w14:textId="58B3F111" w:rsidR="00650F49" w:rsidRDefault="00650F49" w:rsidP="00650F4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 principe l</w:t>
      </w:r>
      <w:r w:rsidRPr="000E66C9">
        <w:rPr>
          <w:rFonts w:ascii="Times New Roman" w:hAnsi="Times New Roman" w:cs="Times New Roman"/>
          <w:sz w:val="24"/>
          <w:szCs w:val="24"/>
        </w:rPr>
        <w:t>a bande de terre qui longe les rivières et la galerie forestière qu'elle porte appartiennent à un individu ou à un lignage qui a des droits sur elles. Les populations reconnaissent le bien fondé de laisser quelques arbres le long des rivières. A part les cultures de sous-bois, il est rare qu'un paysan installe son champ jusqu'aux abords immédiats de la rivière. Dans le cas où la galerie forestière appartiendrait à un lignage, il y a un représentant qui s'occupe de la gestion. La mise en valeur revêt un caractère particulier : il s'agit d'un bien commun (famille, lignage, collectivité, quartier) puis privé ; un/une autre (famille, lignage, collectivité, quartier) n'a pas le droit d'exploiter la forêt-galerie des autres. Les membres sont autorisés à installer une parcelle agricole mais ne doivent pas couper les essences précieuses sans l'accord du chef de famille. Une personne étrangère ne peut abattre un arbre sans obtenir une autorisation. Certaines espèces végétales sont d'usage public et peuvent être coupées sans la permission du propriétaire terrien. C'est le cas des fourrés de bambous chinois (</w:t>
      </w:r>
      <w:r w:rsidRPr="000E66C9">
        <w:rPr>
          <w:rFonts w:ascii="Times New Roman" w:hAnsi="Times New Roman" w:cs="Times New Roman"/>
          <w:i/>
          <w:sz w:val="24"/>
          <w:szCs w:val="24"/>
        </w:rPr>
        <w:t>Bambusa vulgaris</w:t>
      </w:r>
      <w:r w:rsidRPr="000E66C9">
        <w:rPr>
          <w:rFonts w:ascii="Times New Roman" w:hAnsi="Times New Roman" w:cs="Times New Roman"/>
          <w:sz w:val="24"/>
          <w:szCs w:val="24"/>
        </w:rPr>
        <w:t>).</w:t>
      </w:r>
      <w:r w:rsidR="00FF41AA">
        <w:rPr>
          <w:rFonts w:ascii="Times New Roman" w:hAnsi="Times New Roman" w:cs="Times New Roman"/>
          <w:sz w:val="24"/>
          <w:szCs w:val="24"/>
        </w:rPr>
        <w:t xml:space="preserve"> </w:t>
      </w:r>
      <w:r w:rsidRPr="000E66C9">
        <w:rPr>
          <w:rFonts w:ascii="Times New Roman" w:hAnsi="Times New Roman" w:cs="Times New Roman"/>
          <w:sz w:val="24"/>
          <w:szCs w:val="24"/>
        </w:rPr>
        <w:t>Une forme de gestion collective de galerie forestière a été notée en zone de culture de cacao. Les membres de la famille se partagent les ressources. Ils procèdent à une vente collective des produits pour régler les problèmes directement liés à la famille ou mettent l'argent de côté pour faire face aux aléas de la vie (maladies, sacrifices annuels</w:t>
      </w:r>
      <w:r>
        <w:rPr>
          <w:rFonts w:ascii="Times New Roman" w:hAnsi="Times New Roman" w:cs="Times New Roman"/>
          <w:sz w:val="24"/>
          <w:szCs w:val="24"/>
        </w:rPr>
        <w:t xml:space="preserve"> au dieu</w:t>
      </w:r>
      <w:r w:rsidRPr="000E66C9">
        <w:rPr>
          <w:rFonts w:ascii="Times New Roman" w:hAnsi="Times New Roman" w:cs="Times New Roman"/>
          <w:sz w:val="24"/>
          <w:szCs w:val="24"/>
        </w:rPr>
        <w:t>, règlement des rivalités ou des conflits de terre entre deux familles, cérémonies funèbres, achat de cercueil</w:t>
      </w:r>
      <w:r w:rsidR="00FF41AA">
        <w:rPr>
          <w:rFonts w:ascii="Times New Roman" w:hAnsi="Times New Roman" w:cs="Times New Roman"/>
          <w:sz w:val="24"/>
          <w:szCs w:val="24"/>
        </w:rPr>
        <w:t>, etc.</w:t>
      </w:r>
      <w:r w:rsidRPr="000E66C9">
        <w:rPr>
          <w:rFonts w:ascii="Times New Roman" w:hAnsi="Times New Roman" w:cs="Times New Roman"/>
          <w:sz w:val="24"/>
          <w:szCs w:val="24"/>
        </w:rPr>
        <w:t xml:space="preserve">). </w:t>
      </w:r>
    </w:p>
    <w:p w14:paraId="1AC0DA19" w14:textId="77777777" w:rsidR="00650F49" w:rsidRDefault="00650F49" w:rsidP="00650F49">
      <w:pPr>
        <w:spacing w:after="0" w:line="240" w:lineRule="auto"/>
        <w:jc w:val="both"/>
        <w:rPr>
          <w:rFonts w:ascii="Times New Roman" w:hAnsi="Times New Roman" w:cs="Times New Roman"/>
          <w:sz w:val="24"/>
          <w:szCs w:val="24"/>
        </w:rPr>
      </w:pPr>
    </w:p>
    <w:p w14:paraId="737BA634" w14:textId="669EFED8" w:rsidR="00650F49" w:rsidRDefault="00650F49" w:rsidP="00650F4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w:t>
      </w:r>
      <w:r w:rsidR="00F72AC1">
        <w:rPr>
          <w:rFonts w:ascii="Times New Roman" w:hAnsi="Times New Roman" w:cs="Times New Roman"/>
          <w:sz w:val="24"/>
          <w:szCs w:val="24"/>
        </w:rPr>
        <w:t xml:space="preserve">alheureusement ces pratiques </w:t>
      </w:r>
      <w:r>
        <w:rPr>
          <w:rFonts w:ascii="Times New Roman" w:hAnsi="Times New Roman" w:cs="Times New Roman"/>
          <w:sz w:val="24"/>
          <w:szCs w:val="24"/>
        </w:rPr>
        <w:t xml:space="preserve">sont </w:t>
      </w:r>
      <w:r w:rsidR="00F72AC1">
        <w:rPr>
          <w:rFonts w:ascii="Times New Roman" w:hAnsi="Times New Roman" w:cs="Times New Roman"/>
          <w:sz w:val="24"/>
          <w:szCs w:val="24"/>
        </w:rPr>
        <w:t>très peu</w:t>
      </w:r>
      <w:r>
        <w:rPr>
          <w:rFonts w:ascii="Times New Roman" w:hAnsi="Times New Roman" w:cs="Times New Roman"/>
          <w:sz w:val="24"/>
          <w:szCs w:val="24"/>
        </w:rPr>
        <w:t xml:space="preserve"> observées et les forêts le long des cours d’eau sont très convoitées. Elles sont défrichées au profit des cultures vivrières ou de la pastèque. </w:t>
      </w:r>
    </w:p>
    <w:p w14:paraId="69A410C6" w14:textId="77777777" w:rsidR="00650F49" w:rsidRDefault="00650F49" w:rsidP="000E66C9">
      <w:pPr>
        <w:spacing w:after="0" w:line="240" w:lineRule="auto"/>
        <w:jc w:val="both"/>
        <w:rPr>
          <w:rFonts w:ascii="Times New Roman" w:hAnsi="Times New Roman" w:cs="Times New Roman"/>
          <w:b/>
          <w:sz w:val="24"/>
          <w:szCs w:val="24"/>
        </w:rPr>
      </w:pPr>
    </w:p>
    <w:p w14:paraId="56246DBF" w14:textId="77777777" w:rsidR="002C24B8" w:rsidRPr="00555B83" w:rsidRDefault="00F775A1" w:rsidP="00E50666">
      <w:pPr>
        <w:pStyle w:val="Paragraphedeliste"/>
        <w:numPr>
          <w:ilvl w:val="0"/>
          <w:numId w:val="37"/>
        </w:numPr>
        <w:spacing w:after="0" w:line="240" w:lineRule="auto"/>
        <w:jc w:val="both"/>
        <w:rPr>
          <w:rFonts w:ascii="Times New Roman" w:hAnsi="Times New Roman" w:cs="Times New Roman"/>
          <w:sz w:val="24"/>
          <w:szCs w:val="24"/>
        </w:rPr>
      </w:pPr>
      <w:r w:rsidRPr="00555B83">
        <w:rPr>
          <w:rFonts w:ascii="Times New Roman" w:hAnsi="Times New Roman" w:cs="Times New Roman"/>
          <w:b/>
          <w:sz w:val="24"/>
          <w:szCs w:val="24"/>
        </w:rPr>
        <w:t xml:space="preserve"> Troisième cas </w:t>
      </w:r>
      <w:r w:rsidR="00650F49" w:rsidRPr="00555B83">
        <w:rPr>
          <w:rFonts w:ascii="Times New Roman" w:hAnsi="Times New Roman" w:cs="Times New Roman"/>
          <w:b/>
          <w:sz w:val="24"/>
          <w:szCs w:val="24"/>
        </w:rPr>
        <w:t>d’étude :</w:t>
      </w:r>
      <w:r w:rsidR="002C24B8" w:rsidRPr="00555B83">
        <w:rPr>
          <w:rFonts w:ascii="Times New Roman" w:hAnsi="Times New Roman" w:cs="Times New Roman"/>
          <w:b/>
          <w:sz w:val="24"/>
          <w:szCs w:val="24"/>
        </w:rPr>
        <w:t xml:space="preserve"> Elevage de la faune sauvage</w:t>
      </w:r>
    </w:p>
    <w:p w14:paraId="4E930EDA" w14:textId="77777777" w:rsidR="002C24B8" w:rsidRPr="000E66C9" w:rsidRDefault="002C24B8" w:rsidP="000E66C9">
      <w:pPr>
        <w:spacing w:after="0" w:line="240" w:lineRule="auto"/>
        <w:jc w:val="both"/>
        <w:rPr>
          <w:rFonts w:ascii="Times New Roman" w:hAnsi="Times New Roman" w:cs="Times New Roman"/>
          <w:sz w:val="24"/>
          <w:szCs w:val="24"/>
        </w:rPr>
      </w:pPr>
    </w:p>
    <w:p w14:paraId="7AADB28F" w14:textId="7CA391F0" w:rsidR="002C24B8" w:rsidRDefault="002C24B8" w:rsidP="00F775A1">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 xml:space="preserve">Des personnes physiques agissant pour leur propre compte ou pour le compte des personnes morales élèvent la faune sauvage au Togo. Les personnes morales </w:t>
      </w:r>
      <w:r w:rsidR="00F72AC1">
        <w:rPr>
          <w:rFonts w:ascii="Times New Roman" w:hAnsi="Times New Roman" w:cs="Times New Roman"/>
          <w:sz w:val="24"/>
          <w:szCs w:val="24"/>
        </w:rPr>
        <w:t xml:space="preserve">identifiées </w:t>
      </w:r>
      <w:r w:rsidRPr="000E66C9">
        <w:rPr>
          <w:rFonts w:ascii="Times New Roman" w:hAnsi="Times New Roman" w:cs="Times New Roman"/>
          <w:sz w:val="24"/>
          <w:szCs w:val="24"/>
        </w:rPr>
        <w:t>élevant les reptiles sont au nombre de quatre, toutes situées à Lomé ou à proximité. Certaines possèdent en outre des succursales et autres "dépôts d’animaux" loca</w:t>
      </w:r>
      <w:r w:rsidR="00F775A1">
        <w:rPr>
          <w:rFonts w:ascii="Times New Roman" w:hAnsi="Times New Roman" w:cs="Times New Roman"/>
          <w:sz w:val="24"/>
          <w:szCs w:val="24"/>
        </w:rPr>
        <w:t>lisés en divers points du pays.</w:t>
      </w:r>
    </w:p>
    <w:p w14:paraId="74A81155" w14:textId="77777777" w:rsidR="00F775A1" w:rsidRDefault="00F775A1" w:rsidP="00F775A1">
      <w:pPr>
        <w:spacing w:after="0" w:line="240" w:lineRule="auto"/>
        <w:jc w:val="both"/>
        <w:rPr>
          <w:rFonts w:ascii="Times New Roman" w:hAnsi="Times New Roman" w:cs="Times New Roman"/>
          <w:sz w:val="24"/>
          <w:szCs w:val="24"/>
        </w:rPr>
      </w:pPr>
    </w:p>
    <w:p w14:paraId="6EADCD9B" w14:textId="2F438045" w:rsidR="002C24B8" w:rsidRPr="000E66C9" w:rsidRDefault="002C24B8" w:rsidP="00F775A1">
      <w:pPr>
        <w:spacing w:after="0" w:line="240" w:lineRule="auto"/>
        <w:jc w:val="both"/>
        <w:rPr>
          <w:rFonts w:ascii="Times New Roman" w:hAnsi="Times New Roman" w:cs="Times New Roman"/>
          <w:snapToGrid w:val="0"/>
          <w:sz w:val="24"/>
          <w:szCs w:val="24"/>
        </w:rPr>
      </w:pPr>
      <w:r w:rsidRPr="000E66C9">
        <w:rPr>
          <w:rFonts w:ascii="Times New Roman" w:hAnsi="Times New Roman" w:cs="Times New Roman"/>
          <w:sz w:val="24"/>
          <w:szCs w:val="24"/>
        </w:rPr>
        <w:t>D'après une enquête menée par la Direction de la faune</w:t>
      </w:r>
      <w:r w:rsidR="00F72AC1">
        <w:rPr>
          <w:rFonts w:ascii="Times New Roman" w:hAnsi="Times New Roman" w:cs="Times New Roman"/>
          <w:sz w:val="24"/>
          <w:szCs w:val="24"/>
        </w:rPr>
        <w:t>,</w:t>
      </w:r>
      <w:r w:rsidR="00650F49">
        <w:rPr>
          <w:rFonts w:ascii="Times New Roman" w:hAnsi="Times New Roman" w:cs="Times New Roman"/>
          <w:sz w:val="24"/>
          <w:szCs w:val="24"/>
        </w:rPr>
        <w:t xml:space="preserve"> il y a quelques années</w:t>
      </w:r>
      <w:r w:rsidRPr="000E66C9">
        <w:rPr>
          <w:rFonts w:ascii="Times New Roman" w:hAnsi="Times New Roman" w:cs="Times New Roman"/>
          <w:sz w:val="24"/>
          <w:szCs w:val="24"/>
        </w:rPr>
        <w:t xml:space="preserve">, plusieurs animaux en captivité ont été recensés : </w:t>
      </w:r>
      <w:r w:rsidRPr="000E66C9">
        <w:rPr>
          <w:rFonts w:ascii="Times New Roman" w:hAnsi="Times New Roman" w:cs="Times New Roman"/>
          <w:snapToGrid w:val="0"/>
          <w:sz w:val="24"/>
          <w:szCs w:val="24"/>
        </w:rPr>
        <w:t>Buffle, Cob de buffon, Guib anarché, Phacochères, Céphalophes, Babouin, Patas, Aulacode, Lièvre, Pangolin terrestre, Ecureuil Fouisseur, Pintade, Francolin, Perroquet, Touraco, Dendrocyne veuf, Rat de Gambie</w:t>
      </w:r>
      <w:r w:rsidR="00F72AC1">
        <w:rPr>
          <w:rFonts w:ascii="Times New Roman" w:hAnsi="Times New Roman" w:cs="Times New Roman"/>
          <w:snapToGrid w:val="0"/>
          <w:sz w:val="24"/>
          <w:szCs w:val="24"/>
        </w:rPr>
        <w:t>, etc.</w:t>
      </w:r>
    </w:p>
    <w:p w14:paraId="1CB5AA86" w14:textId="77777777" w:rsidR="00650F49" w:rsidRDefault="00650F49" w:rsidP="00650F49">
      <w:pPr>
        <w:spacing w:after="0" w:line="240" w:lineRule="auto"/>
        <w:jc w:val="both"/>
        <w:rPr>
          <w:rFonts w:ascii="Times New Roman" w:hAnsi="Times New Roman" w:cs="Times New Roman"/>
          <w:sz w:val="24"/>
          <w:szCs w:val="24"/>
        </w:rPr>
      </w:pPr>
    </w:p>
    <w:p w14:paraId="005B89DC" w14:textId="0E807C1B" w:rsidR="002C24B8" w:rsidRPr="000E66C9" w:rsidRDefault="002C24B8" w:rsidP="00650F49">
      <w:pPr>
        <w:spacing w:after="0" w:line="240" w:lineRule="auto"/>
        <w:jc w:val="both"/>
        <w:rPr>
          <w:rFonts w:ascii="Times New Roman" w:hAnsi="Times New Roman" w:cs="Times New Roman"/>
          <w:sz w:val="24"/>
          <w:szCs w:val="24"/>
        </w:rPr>
      </w:pPr>
      <w:r w:rsidRPr="000E66C9">
        <w:rPr>
          <w:rFonts w:ascii="Times New Roman" w:hAnsi="Times New Roman" w:cs="Times New Roman"/>
          <w:sz w:val="24"/>
          <w:szCs w:val="24"/>
        </w:rPr>
        <w:t>Au moins 18 espèces de reptiles sont détenues à des fins d’élevage dans les divers établissements du Togo. Toutefois l’essentiel de l’activité des éleveurs porte sur le python royal (</w:t>
      </w:r>
      <w:r w:rsidRPr="000E66C9">
        <w:rPr>
          <w:rFonts w:ascii="Times New Roman" w:hAnsi="Times New Roman" w:cs="Times New Roman"/>
          <w:i/>
          <w:sz w:val="24"/>
          <w:szCs w:val="24"/>
        </w:rPr>
        <w:t>Python régius</w:t>
      </w:r>
      <w:r w:rsidRPr="000E66C9">
        <w:rPr>
          <w:rFonts w:ascii="Times New Roman" w:hAnsi="Times New Roman" w:cs="Times New Roman"/>
          <w:sz w:val="24"/>
          <w:szCs w:val="24"/>
        </w:rPr>
        <w:t xml:space="preserve">) dont la reproduction semble relativement bien maîtrisée. Le second élément du cheptel est représenté par les tortues du genre </w:t>
      </w:r>
      <w:r w:rsidRPr="000E66C9">
        <w:rPr>
          <w:rFonts w:ascii="Times New Roman" w:hAnsi="Times New Roman" w:cs="Times New Roman"/>
          <w:i/>
          <w:sz w:val="24"/>
          <w:szCs w:val="24"/>
        </w:rPr>
        <w:t>Kinixys (K. belliana, K. erosa</w:t>
      </w:r>
      <w:r w:rsidRPr="000E66C9">
        <w:rPr>
          <w:rFonts w:ascii="Times New Roman" w:hAnsi="Times New Roman" w:cs="Times New Roman"/>
          <w:sz w:val="24"/>
          <w:szCs w:val="24"/>
        </w:rPr>
        <w:t xml:space="preserve">, </w:t>
      </w:r>
      <w:r w:rsidR="00F72AC1">
        <w:rPr>
          <w:rFonts w:ascii="Times New Roman" w:hAnsi="Times New Roman" w:cs="Times New Roman"/>
          <w:i/>
          <w:sz w:val="24"/>
          <w:szCs w:val="24"/>
        </w:rPr>
        <w:t>K.home</w:t>
      </w:r>
      <w:r w:rsidRPr="000E66C9">
        <w:rPr>
          <w:rFonts w:ascii="Times New Roman" w:hAnsi="Times New Roman" w:cs="Times New Roman"/>
          <w:i/>
          <w:sz w:val="24"/>
          <w:szCs w:val="24"/>
        </w:rPr>
        <w:t>ana</w:t>
      </w:r>
      <w:r w:rsidRPr="000E66C9">
        <w:rPr>
          <w:rFonts w:ascii="Times New Roman" w:hAnsi="Times New Roman" w:cs="Times New Roman"/>
          <w:sz w:val="24"/>
          <w:szCs w:val="24"/>
        </w:rPr>
        <w:t>). Leur reproduction est cependant plus aléatoire. Deux Caméléons (</w:t>
      </w:r>
      <w:r w:rsidR="00F72AC1">
        <w:rPr>
          <w:rFonts w:ascii="Times New Roman" w:hAnsi="Times New Roman" w:cs="Times New Roman"/>
          <w:i/>
          <w:sz w:val="24"/>
          <w:szCs w:val="24"/>
        </w:rPr>
        <w:t>Chamaeleo grace</w:t>
      </w:r>
      <w:r w:rsidRPr="000E66C9">
        <w:rPr>
          <w:rFonts w:ascii="Times New Roman" w:hAnsi="Times New Roman" w:cs="Times New Roman"/>
          <w:i/>
          <w:sz w:val="24"/>
          <w:szCs w:val="24"/>
        </w:rPr>
        <w:t>lis et C</w:t>
      </w:r>
      <w:r w:rsidRPr="000E66C9">
        <w:rPr>
          <w:rFonts w:ascii="Times New Roman" w:hAnsi="Times New Roman" w:cs="Times New Roman"/>
          <w:sz w:val="24"/>
          <w:szCs w:val="24"/>
        </w:rPr>
        <w:t xml:space="preserve">. </w:t>
      </w:r>
      <w:r w:rsidRPr="000E66C9">
        <w:rPr>
          <w:rFonts w:ascii="Times New Roman" w:hAnsi="Times New Roman" w:cs="Times New Roman"/>
          <w:i/>
          <w:sz w:val="24"/>
          <w:szCs w:val="24"/>
        </w:rPr>
        <w:t>senegalensis</w:t>
      </w:r>
      <w:r w:rsidRPr="000E66C9">
        <w:rPr>
          <w:rFonts w:ascii="Times New Roman" w:hAnsi="Times New Roman" w:cs="Times New Roman"/>
          <w:sz w:val="24"/>
          <w:szCs w:val="24"/>
        </w:rPr>
        <w:t>) ainsi que les varans (</w:t>
      </w:r>
      <w:r w:rsidRPr="000E66C9">
        <w:rPr>
          <w:rFonts w:ascii="Times New Roman" w:hAnsi="Times New Roman" w:cs="Times New Roman"/>
          <w:i/>
          <w:sz w:val="24"/>
          <w:szCs w:val="24"/>
        </w:rPr>
        <w:t>Varanus niloticus</w:t>
      </w:r>
      <w:r w:rsidRPr="000E66C9">
        <w:rPr>
          <w:rFonts w:ascii="Times New Roman" w:hAnsi="Times New Roman" w:cs="Times New Roman"/>
          <w:sz w:val="24"/>
          <w:szCs w:val="24"/>
        </w:rPr>
        <w:t xml:space="preserve"> et </w:t>
      </w:r>
      <w:r w:rsidRPr="000E66C9">
        <w:rPr>
          <w:rFonts w:ascii="Times New Roman" w:hAnsi="Times New Roman" w:cs="Times New Roman"/>
          <w:i/>
          <w:sz w:val="24"/>
          <w:szCs w:val="24"/>
        </w:rPr>
        <w:t>V. exanthematicus</w:t>
      </w:r>
      <w:r w:rsidRPr="000E66C9">
        <w:rPr>
          <w:rFonts w:ascii="Times New Roman" w:hAnsi="Times New Roman" w:cs="Times New Roman"/>
          <w:sz w:val="24"/>
          <w:szCs w:val="24"/>
        </w:rPr>
        <w:t>) figurent aussi en quantité</w:t>
      </w:r>
      <w:r w:rsidR="00F72AC1">
        <w:rPr>
          <w:rFonts w:ascii="Times New Roman" w:hAnsi="Times New Roman" w:cs="Times New Roman"/>
          <w:sz w:val="24"/>
          <w:szCs w:val="24"/>
        </w:rPr>
        <w:t xml:space="preserve"> très importante</w:t>
      </w:r>
      <w:r w:rsidRPr="000E66C9">
        <w:rPr>
          <w:rFonts w:ascii="Times New Roman" w:hAnsi="Times New Roman" w:cs="Times New Roman"/>
          <w:sz w:val="24"/>
          <w:szCs w:val="24"/>
        </w:rPr>
        <w:t xml:space="preserve"> dans tous les élevages. Les autres taxons de tortues (</w:t>
      </w:r>
      <w:r w:rsidRPr="000E66C9">
        <w:rPr>
          <w:rFonts w:ascii="Times New Roman" w:hAnsi="Times New Roman" w:cs="Times New Roman"/>
          <w:i/>
          <w:sz w:val="24"/>
          <w:szCs w:val="24"/>
        </w:rPr>
        <w:t>Pelomedusa subrufa</w:t>
      </w:r>
      <w:r w:rsidRPr="000E66C9">
        <w:rPr>
          <w:rFonts w:ascii="Times New Roman" w:hAnsi="Times New Roman" w:cs="Times New Roman"/>
          <w:sz w:val="24"/>
          <w:szCs w:val="24"/>
        </w:rPr>
        <w:t xml:space="preserve">, </w:t>
      </w:r>
      <w:r w:rsidRPr="000E66C9">
        <w:rPr>
          <w:rFonts w:ascii="Times New Roman" w:hAnsi="Times New Roman" w:cs="Times New Roman"/>
          <w:i/>
          <w:sz w:val="24"/>
          <w:szCs w:val="24"/>
        </w:rPr>
        <w:t>Pelusios subniger</w:t>
      </w:r>
      <w:r w:rsidRPr="000E66C9">
        <w:rPr>
          <w:rFonts w:ascii="Times New Roman" w:hAnsi="Times New Roman" w:cs="Times New Roman"/>
          <w:sz w:val="24"/>
          <w:szCs w:val="24"/>
        </w:rPr>
        <w:t xml:space="preserve">), de serpents </w:t>
      </w:r>
      <w:r w:rsidRPr="000E66C9">
        <w:rPr>
          <w:rFonts w:ascii="Times New Roman" w:hAnsi="Times New Roman" w:cs="Times New Roman"/>
          <w:i/>
          <w:sz w:val="24"/>
          <w:szCs w:val="24"/>
        </w:rPr>
        <w:t>(Calabaria reinhardtii, Bitis sp</w:t>
      </w:r>
      <w:r w:rsidRPr="000E66C9">
        <w:rPr>
          <w:rFonts w:ascii="Times New Roman" w:hAnsi="Times New Roman" w:cs="Times New Roman"/>
          <w:sz w:val="24"/>
          <w:szCs w:val="24"/>
        </w:rPr>
        <w:t xml:space="preserve">, </w:t>
      </w:r>
      <w:r w:rsidRPr="000E66C9">
        <w:rPr>
          <w:rFonts w:ascii="Times New Roman" w:hAnsi="Times New Roman" w:cs="Times New Roman"/>
          <w:i/>
          <w:sz w:val="24"/>
          <w:szCs w:val="24"/>
        </w:rPr>
        <w:t>Naja</w:t>
      </w:r>
      <w:r w:rsidRPr="000E66C9">
        <w:rPr>
          <w:rFonts w:ascii="Times New Roman" w:hAnsi="Times New Roman" w:cs="Times New Roman"/>
          <w:sz w:val="24"/>
          <w:szCs w:val="24"/>
        </w:rPr>
        <w:t>) ou de lézards (</w:t>
      </w:r>
      <w:r w:rsidRPr="000E66C9">
        <w:rPr>
          <w:rFonts w:ascii="Times New Roman" w:hAnsi="Times New Roman" w:cs="Times New Roman"/>
          <w:i/>
          <w:sz w:val="24"/>
          <w:szCs w:val="24"/>
        </w:rPr>
        <w:t>Hemitheconyx caudicinctus, Mabuya sp</w:t>
      </w:r>
      <w:r w:rsidRPr="000E66C9">
        <w:rPr>
          <w:rFonts w:ascii="Times New Roman" w:hAnsi="Times New Roman" w:cs="Times New Roman"/>
          <w:sz w:val="24"/>
          <w:szCs w:val="24"/>
        </w:rPr>
        <w:t xml:space="preserve">) ne sont présents qu’en effectifs modérés dans les élevages. </w:t>
      </w:r>
    </w:p>
    <w:p w14:paraId="52C472B8" w14:textId="77777777" w:rsidR="000761EB" w:rsidRPr="00650F49" w:rsidRDefault="000761EB" w:rsidP="00650F49">
      <w:pPr>
        <w:spacing w:after="0" w:line="240" w:lineRule="auto"/>
        <w:jc w:val="both"/>
        <w:rPr>
          <w:rFonts w:ascii="Times New Roman" w:hAnsi="Times New Roman" w:cs="Times New Roman"/>
          <w:sz w:val="24"/>
          <w:szCs w:val="24"/>
        </w:rPr>
      </w:pPr>
    </w:p>
    <w:p w14:paraId="5571E6B8" w14:textId="77777777" w:rsidR="000761EB" w:rsidRPr="00650F49" w:rsidRDefault="00650F49" w:rsidP="00555B83">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outlineLvl w:val="2"/>
        <w:rPr>
          <w:rFonts w:ascii="Times New Roman" w:hAnsi="Times New Roman" w:cs="Times New Roman"/>
          <w:b/>
          <w:sz w:val="24"/>
          <w:szCs w:val="24"/>
        </w:rPr>
      </w:pPr>
      <w:bookmarkStart w:id="95" w:name="_Toc533413773"/>
      <w:r w:rsidRPr="00650F49">
        <w:rPr>
          <w:rFonts w:ascii="Times New Roman" w:hAnsi="Times New Roman" w:cs="Times New Roman"/>
          <w:b/>
          <w:sz w:val="24"/>
          <w:szCs w:val="24"/>
        </w:rPr>
        <w:t xml:space="preserve">5.2.2. </w:t>
      </w:r>
      <w:r w:rsidR="000761EB" w:rsidRPr="00650F49">
        <w:rPr>
          <w:rFonts w:ascii="Times New Roman" w:hAnsi="Times New Roman" w:cs="Times New Roman"/>
          <w:b/>
          <w:sz w:val="24"/>
          <w:szCs w:val="24"/>
        </w:rPr>
        <w:t>Rôle conservateur de la biodiversité par ces pratiques locales</w:t>
      </w:r>
      <w:bookmarkEnd w:id="95"/>
    </w:p>
    <w:p w14:paraId="0DACFBF6" w14:textId="77777777" w:rsidR="000761EB" w:rsidRPr="00650F49" w:rsidRDefault="000761EB" w:rsidP="00650F4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b/>
          <w:sz w:val="24"/>
          <w:szCs w:val="24"/>
        </w:rPr>
      </w:pPr>
    </w:p>
    <w:p w14:paraId="404ABB0C" w14:textId="36C27938" w:rsidR="000761EB" w:rsidRPr="00650F49" w:rsidRDefault="000761EB"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Au-delà des considérations purement culturel</w:t>
      </w:r>
      <w:r w:rsidR="00650F49">
        <w:rPr>
          <w:rFonts w:ascii="Times New Roman" w:hAnsi="Times New Roman" w:cs="Times New Roman"/>
          <w:sz w:val="24"/>
          <w:szCs w:val="24"/>
        </w:rPr>
        <w:t xml:space="preserve">les et religieues ou </w:t>
      </w:r>
      <w:r w:rsidR="00E809EF">
        <w:rPr>
          <w:rFonts w:ascii="Times New Roman" w:hAnsi="Times New Roman" w:cs="Times New Roman"/>
          <w:sz w:val="24"/>
          <w:szCs w:val="24"/>
        </w:rPr>
        <w:t>parfois</w:t>
      </w:r>
      <w:r w:rsidR="00650F49">
        <w:rPr>
          <w:rFonts w:ascii="Times New Roman" w:hAnsi="Times New Roman" w:cs="Times New Roman"/>
          <w:sz w:val="24"/>
          <w:szCs w:val="24"/>
        </w:rPr>
        <w:t xml:space="preserve"> lucratifs</w:t>
      </w:r>
      <w:r w:rsidR="00BC249A">
        <w:rPr>
          <w:rFonts w:ascii="Times New Roman" w:hAnsi="Times New Roman" w:cs="Times New Roman"/>
          <w:sz w:val="24"/>
          <w:szCs w:val="24"/>
        </w:rPr>
        <w:t>, ces p</w:t>
      </w:r>
      <w:r w:rsidR="00E809EF">
        <w:rPr>
          <w:rFonts w:ascii="Times New Roman" w:hAnsi="Times New Roman" w:cs="Times New Roman"/>
          <w:sz w:val="24"/>
          <w:szCs w:val="24"/>
        </w:rPr>
        <w:t>ratiques</w:t>
      </w:r>
      <w:r w:rsidR="00BC249A">
        <w:rPr>
          <w:rFonts w:ascii="Times New Roman" w:hAnsi="Times New Roman" w:cs="Times New Roman"/>
          <w:sz w:val="24"/>
          <w:szCs w:val="24"/>
        </w:rPr>
        <w:t xml:space="preserve"> </w:t>
      </w:r>
      <w:r w:rsidR="00E809EF">
        <w:rPr>
          <w:rFonts w:ascii="Times New Roman" w:hAnsi="Times New Roman" w:cs="Times New Roman"/>
          <w:sz w:val="24"/>
          <w:szCs w:val="24"/>
        </w:rPr>
        <w:t xml:space="preserve">locales </w:t>
      </w:r>
      <w:r w:rsidRPr="00650F49">
        <w:rPr>
          <w:rFonts w:ascii="Times New Roman" w:hAnsi="Times New Roman" w:cs="Times New Roman"/>
          <w:sz w:val="24"/>
          <w:szCs w:val="24"/>
        </w:rPr>
        <w:t>contribu</w:t>
      </w:r>
      <w:r w:rsidR="00E809EF">
        <w:rPr>
          <w:rFonts w:ascii="Times New Roman" w:hAnsi="Times New Roman" w:cs="Times New Roman"/>
          <w:sz w:val="24"/>
          <w:szCs w:val="24"/>
        </w:rPr>
        <w:t>ent</w:t>
      </w:r>
      <w:r w:rsidRPr="00650F49">
        <w:rPr>
          <w:rFonts w:ascii="Times New Roman" w:hAnsi="Times New Roman" w:cs="Times New Roman"/>
          <w:sz w:val="24"/>
          <w:szCs w:val="24"/>
        </w:rPr>
        <w:t xml:space="preserve"> à la préservation de leur richesse biologique. En effet, la forte fréquence de certaines espèces notamment </w:t>
      </w:r>
      <w:r w:rsidRPr="00650F49">
        <w:rPr>
          <w:rFonts w:ascii="Times New Roman" w:hAnsi="Times New Roman" w:cs="Times New Roman"/>
          <w:i/>
          <w:sz w:val="24"/>
          <w:szCs w:val="24"/>
        </w:rPr>
        <w:t>Antiaris africana</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Adansonia digitata</w:t>
      </w:r>
      <w:r w:rsidRPr="00650F49">
        <w:rPr>
          <w:rFonts w:ascii="Times New Roman" w:hAnsi="Times New Roman" w:cs="Times New Roman"/>
          <w:sz w:val="24"/>
          <w:szCs w:val="24"/>
        </w:rPr>
        <w:t xml:space="preserve"> est surtout liée au fait que ces espèces incarnent plusieurs divinités (dieu de la foudre, dieu serpent, etc). Les inventaires confirment cette richesse biologique : </w:t>
      </w:r>
    </w:p>
    <w:p w14:paraId="0DF69B6C" w14:textId="77777777" w:rsidR="00E809EF" w:rsidRDefault="00E809EF"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48B52C77" w14:textId="3676FC42" w:rsidR="000761EB" w:rsidRPr="00E809EF" w:rsidRDefault="000761EB"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 </w:t>
      </w:r>
      <w:r w:rsidRPr="00650F49">
        <w:rPr>
          <w:rFonts w:ascii="Times New Roman" w:hAnsi="Times New Roman" w:cs="Times New Roman"/>
          <w:b/>
          <w:sz w:val="24"/>
          <w:szCs w:val="24"/>
        </w:rPr>
        <w:t>Dans les forêts sacrées du littoral</w:t>
      </w:r>
      <w:r w:rsidRPr="00650F49">
        <w:rPr>
          <w:rFonts w:ascii="Times New Roman" w:hAnsi="Times New Roman" w:cs="Times New Roman"/>
          <w:sz w:val="24"/>
          <w:szCs w:val="24"/>
        </w:rPr>
        <w:t xml:space="preserve">, 218 espèces, regroupées en 175 genres et 61 familles ont été recensées (Kokou et </w:t>
      </w:r>
      <w:r w:rsidRPr="00650F49">
        <w:rPr>
          <w:rFonts w:ascii="Times New Roman" w:hAnsi="Times New Roman" w:cs="Times New Roman"/>
          <w:i/>
          <w:sz w:val="24"/>
          <w:szCs w:val="24"/>
        </w:rPr>
        <w:t>al.</w:t>
      </w:r>
      <w:r w:rsidRPr="00650F49">
        <w:rPr>
          <w:rFonts w:ascii="Times New Roman" w:hAnsi="Times New Roman" w:cs="Times New Roman"/>
          <w:sz w:val="24"/>
          <w:szCs w:val="24"/>
        </w:rPr>
        <w:t xml:space="preserve"> 1999). Parmi ces espèces, 6 nouvelles viennent s'ajouter à la collection d'herbier national. Il s'agit de </w:t>
      </w:r>
      <w:r w:rsidRPr="00650F49">
        <w:rPr>
          <w:rFonts w:ascii="Times New Roman" w:hAnsi="Times New Roman" w:cs="Times New Roman"/>
          <w:i/>
          <w:sz w:val="24"/>
          <w:szCs w:val="24"/>
        </w:rPr>
        <w:t>Ceropegia aristolochioides, Gongroenema angolense</w:t>
      </w:r>
      <w:r w:rsidRPr="00650F49">
        <w:rPr>
          <w:rFonts w:ascii="Times New Roman" w:hAnsi="Times New Roman" w:cs="Times New Roman"/>
          <w:sz w:val="24"/>
          <w:szCs w:val="24"/>
        </w:rPr>
        <w:t xml:space="preserve"> (Asclepiadaceae), </w:t>
      </w:r>
      <w:r w:rsidRPr="00650F49">
        <w:rPr>
          <w:rFonts w:ascii="Times New Roman" w:hAnsi="Times New Roman" w:cs="Times New Roman"/>
          <w:i/>
          <w:sz w:val="24"/>
          <w:szCs w:val="24"/>
        </w:rPr>
        <w:t>Dovialys afzelii</w:t>
      </w:r>
      <w:r w:rsidRPr="00650F49">
        <w:rPr>
          <w:rFonts w:ascii="Times New Roman" w:hAnsi="Times New Roman" w:cs="Times New Roman"/>
          <w:sz w:val="24"/>
          <w:szCs w:val="24"/>
        </w:rPr>
        <w:t xml:space="preserve"> (Flacourtiaceae), </w:t>
      </w:r>
      <w:r w:rsidRPr="00650F49">
        <w:rPr>
          <w:rFonts w:ascii="Times New Roman" w:hAnsi="Times New Roman" w:cs="Times New Roman"/>
          <w:i/>
          <w:sz w:val="24"/>
          <w:szCs w:val="24"/>
        </w:rPr>
        <w:t>Maytenus undatus</w:t>
      </w:r>
      <w:r w:rsidRPr="00650F49">
        <w:rPr>
          <w:rFonts w:ascii="Times New Roman" w:hAnsi="Times New Roman" w:cs="Times New Roman"/>
          <w:sz w:val="24"/>
          <w:szCs w:val="24"/>
        </w:rPr>
        <w:t xml:space="preserve"> (Celastraceae),</w:t>
      </w:r>
      <w:r w:rsidRPr="00650F49">
        <w:rPr>
          <w:rFonts w:ascii="Times New Roman" w:hAnsi="Times New Roman" w:cs="Times New Roman"/>
          <w:i/>
          <w:sz w:val="24"/>
          <w:szCs w:val="24"/>
        </w:rPr>
        <w:t xml:space="preserve"> Peponium vogelii</w:t>
      </w:r>
      <w:r w:rsidRPr="00650F49">
        <w:rPr>
          <w:rFonts w:ascii="Times New Roman" w:hAnsi="Times New Roman" w:cs="Times New Roman"/>
          <w:sz w:val="24"/>
          <w:szCs w:val="24"/>
        </w:rPr>
        <w:t xml:space="preserve"> (Cucurbitaceae) et</w:t>
      </w:r>
      <w:r w:rsidRPr="00650F49">
        <w:rPr>
          <w:rFonts w:ascii="Times New Roman" w:hAnsi="Times New Roman" w:cs="Times New Roman"/>
          <w:i/>
          <w:sz w:val="24"/>
          <w:szCs w:val="24"/>
        </w:rPr>
        <w:t xml:space="preserve"> Chaetacme aristata</w:t>
      </w:r>
      <w:r w:rsidRPr="00650F49">
        <w:rPr>
          <w:rFonts w:ascii="Times New Roman" w:hAnsi="Times New Roman" w:cs="Times New Roman"/>
          <w:sz w:val="24"/>
          <w:szCs w:val="24"/>
        </w:rPr>
        <w:t xml:space="preserve"> (Ulmaceae). La faune recensée est composée de 5 espèces de reptiles, 12 espèces de mammifères et 45 oiseaux. La faune aviaire regroupe des espèces strictement forestières telles que : </w:t>
      </w:r>
      <w:r w:rsidRPr="00650F49">
        <w:rPr>
          <w:rFonts w:ascii="Times New Roman" w:hAnsi="Times New Roman" w:cs="Times New Roman"/>
          <w:i/>
          <w:sz w:val="24"/>
          <w:szCs w:val="24"/>
        </w:rPr>
        <w:t>Oriolus brachyrhynchus,</w:t>
      </w:r>
      <w:r w:rsidR="00BC249A">
        <w:rPr>
          <w:rFonts w:ascii="Times New Roman" w:hAnsi="Times New Roman" w:cs="Times New Roman"/>
          <w:i/>
          <w:sz w:val="24"/>
          <w:szCs w:val="24"/>
        </w:rPr>
        <w:t xml:space="preserve"> </w:t>
      </w:r>
      <w:r w:rsidRPr="00650F49">
        <w:rPr>
          <w:rFonts w:ascii="Times New Roman" w:hAnsi="Times New Roman" w:cs="Times New Roman"/>
          <w:i/>
          <w:sz w:val="24"/>
          <w:szCs w:val="24"/>
        </w:rPr>
        <w:t>Turtur tympanistria</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Bycanistes fistulator</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Andropadus virens</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Bleda canicapilla</w:t>
      </w:r>
      <w:r w:rsidR="00F72AC1">
        <w:rPr>
          <w:rFonts w:ascii="Times New Roman" w:hAnsi="Times New Roman" w:cs="Times New Roman"/>
          <w:sz w:val="24"/>
          <w:szCs w:val="24"/>
        </w:rPr>
        <w:t>, etc.</w:t>
      </w:r>
      <w:r w:rsidRPr="00650F49">
        <w:rPr>
          <w:rFonts w:ascii="Times New Roman" w:hAnsi="Times New Roman" w:cs="Times New Roman"/>
          <w:sz w:val="24"/>
          <w:szCs w:val="24"/>
        </w:rPr>
        <w:t>, mais aussi des espèces de savane (</w:t>
      </w:r>
      <w:r w:rsidRPr="00650F49">
        <w:rPr>
          <w:rFonts w:ascii="Times New Roman" w:hAnsi="Times New Roman" w:cs="Times New Roman"/>
          <w:i/>
          <w:sz w:val="24"/>
          <w:szCs w:val="24"/>
        </w:rPr>
        <w:t>Crinifer piscator</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Eurystomus glaucurus</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Lamprotornis purpureus</w:t>
      </w:r>
      <w:r w:rsidRPr="00650F49">
        <w:rPr>
          <w:rFonts w:ascii="Times New Roman" w:hAnsi="Times New Roman" w:cs="Times New Roman"/>
          <w:sz w:val="24"/>
          <w:szCs w:val="24"/>
        </w:rPr>
        <w:t>... et des espèces indifférentes (</w:t>
      </w:r>
      <w:r w:rsidRPr="00650F49">
        <w:rPr>
          <w:rFonts w:ascii="Times New Roman" w:hAnsi="Times New Roman" w:cs="Times New Roman"/>
          <w:i/>
          <w:sz w:val="24"/>
          <w:szCs w:val="24"/>
        </w:rPr>
        <w:t>Treron australis</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Turtur afer</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Tyto alba</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Pycnonotus barbatus</w:t>
      </w:r>
      <w:r w:rsidR="00F72AC1" w:rsidRPr="00F72AC1">
        <w:t xml:space="preserve"> </w:t>
      </w:r>
      <w:r w:rsidR="00F72AC1">
        <w:rPr>
          <w:rFonts w:ascii="Times New Roman" w:hAnsi="Times New Roman" w:cs="Times New Roman"/>
          <w:sz w:val="24"/>
          <w:szCs w:val="24"/>
        </w:rPr>
        <w:t>etc.</w:t>
      </w:r>
      <w:r w:rsidRPr="00650F49">
        <w:rPr>
          <w:rFonts w:ascii="Times New Roman" w:hAnsi="Times New Roman" w:cs="Times New Roman"/>
          <w:sz w:val="24"/>
          <w:szCs w:val="24"/>
        </w:rPr>
        <w:t>). Cinq (5) espèces de hérons nichent dans ces forêts sacrées. Il s'agit du héron crabier</w:t>
      </w:r>
      <w:r w:rsidR="00BC249A">
        <w:rPr>
          <w:rFonts w:ascii="Times New Roman" w:hAnsi="Times New Roman" w:cs="Times New Roman"/>
          <w:sz w:val="24"/>
          <w:szCs w:val="24"/>
        </w:rPr>
        <w:t xml:space="preserve"> </w:t>
      </w:r>
      <w:r w:rsidRPr="00650F49">
        <w:rPr>
          <w:rFonts w:ascii="Times New Roman" w:hAnsi="Times New Roman" w:cs="Times New Roman"/>
          <w:sz w:val="24"/>
          <w:szCs w:val="24"/>
        </w:rPr>
        <w:t>(</w:t>
      </w:r>
      <w:r w:rsidRPr="00650F49">
        <w:rPr>
          <w:rFonts w:ascii="Times New Roman" w:hAnsi="Times New Roman" w:cs="Times New Roman"/>
          <w:i/>
          <w:sz w:val="24"/>
          <w:szCs w:val="24"/>
        </w:rPr>
        <w:t>Ardeola ralloides</w:t>
      </w:r>
      <w:r w:rsidRPr="00650F49">
        <w:rPr>
          <w:rFonts w:ascii="Times New Roman" w:hAnsi="Times New Roman" w:cs="Times New Roman"/>
          <w:sz w:val="24"/>
          <w:szCs w:val="24"/>
        </w:rPr>
        <w:t>), de l'aigrette garzette</w:t>
      </w:r>
      <w:r w:rsidR="00BC249A">
        <w:rPr>
          <w:rFonts w:ascii="Times New Roman" w:hAnsi="Times New Roman" w:cs="Times New Roman"/>
          <w:sz w:val="24"/>
          <w:szCs w:val="24"/>
        </w:rPr>
        <w:t xml:space="preserve"> </w:t>
      </w:r>
      <w:r w:rsidRPr="00650F49">
        <w:rPr>
          <w:rFonts w:ascii="Times New Roman" w:hAnsi="Times New Roman" w:cs="Times New Roman"/>
          <w:sz w:val="24"/>
          <w:szCs w:val="24"/>
        </w:rPr>
        <w:t>(</w:t>
      </w:r>
      <w:r w:rsidRPr="00650F49">
        <w:rPr>
          <w:rFonts w:ascii="Times New Roman" w:hAnsi="Times New Roman" w:cs="Times New Roman"/>
          <w:i/>
          <w:sz w:val="24"/>
          <w:szCs w:val="24"/>
        </w:rPr>
        <w:t>Egretta garzetta</w:t>
      </w:r>
      <w:r w:rsidRPr="00650F49">
        <w:rPr>
          <w:rFonts w:ascii="Times New Roman" w:hAnsi="Times New Roman" w:cs="Times New Roman"/>
          <w:sz w:val="24"/>
          <w:szCs w:val="24"/>
        </w:rPr>
        <w:t>), du héron bihoreau</w:t>
      </w:r>
      <w:r w:rsidR="00BC249A">
        <w:rPr>
          <w:rFonts w:ascii="Times New Roman" w:hAnsi="Times New Roman" w:cs="Times New Roman"/>
          <w:sz w:val="24"/>
          <w:szCs w:val="24"/>
        </w:rPr>
        <w:t xml:space="preserve"> </w:t>
      </w:r>
      <w:r w:rsidRPr="00650F49">
        <w:rPr>
          <w:rFonts w:ascii="Times New Roman" w:hAnsi="Times New Roman" w:cs="Times New Roman"/>
          <w:sz w:val="24"/>
          <w:szCs w:val="24"/>
        </w:rPr>
        <w:t>(</w:t>
      </w:r>
      <w:r w:rsidRPr="00650F49">
        <w:rPr>
          <w:rFonts w:ascii="Times New Roman" w:hAnsi="Times New Roman" w:cs="Times New Roman"/>
          <w:i/>
          <w:sz w:val="24"/>
          <w:szCs w:val="24"/>
        </w:rPr>
        <w:t>Nycticorax nyctycorax</w:t>
      </w:r>
      <w:r w:rsidRPr="00650F49">
        <w:rPr>
          <w:rFonts w:ascii="Times New Roman" w:hAnsi="Times New Roman" w:cs="Times New Roman"/>
          <w:sz w:val="24"/>
          <w:szCs w:val="24"/>
        </w:rPr>
        <w:t>)</w:t>
      </w:r>
      <w:r w:rsidRPr="00650F49">
        <w:rPr>
          <w:rFonts w:ascii="Times New Roman" w:hAnsi="Times New Roman" w:cs="Times New Roman"/>
          <w:i/>
          <w:sz w:val="24"/>
          <w:szCs w:val="24"/>
        </w:rPr>
        <w:t>,</w:t>
      </w:r>
      <w:r w:rsidRPr="00650F49">
        <w:rPr>
          <w:rFonts w:ascii="Times New Roman" w:hAnsi="Times New Roman" w:cs="Times New Roman"/>
          <w:sz w:val="24"/>
          <w:szCs w:val="24"/>
        </w:rPr>
        <w:t xml:space="preserve"> du héron cendré</w:t>
      </w:r>
      <w:r w:rsidR="00BC249A">
        <w:rPr>
          <w:rFonts w:ascii="Times New Roman" w:hAnsi="Times New Roman" w:cs="Times New Roman"/>
          <w:sz w:val="24"/>
          <w:szCs w:val="24"/>
        </w:rPr>
        <w:t xml:space="preserve"> </w:t>
      </w:r>
      <w:r w:rsidRPr="00650F49">
        <w:rPr>
          <w:rFonts w:ascii="Times New Roman" w:hAnsi="Times New Roman" w:cs="Times New Roman"/>
          <w:sz w:val="24"/>
          <w:szCs w:val="24"/>
        </w:rPr>
        <w:t>(</w:t>
      </w:r>
      <w:r w:rsidRPr="00650F49">
        <w:rPr>
          <w:rFonts w:ascii="Times New Roman" w:hAnsi="Times New Roman" w:cs="Times New Roman"/>
          <w:i/>
          <w:sz w:val="24"/>
          <w:szCs w:val="24"/>
        </w:rPr>
        <w:t>Ardea cinerea</w:t>
      </w:r>
      <w:r w:rsidR="00F72AC1">
        <w:rPr>
          <w:rFonts w:ascii="Times New Roman" w:hAnsi="Times New Roman" w:cs="Times New Roman"/>
          <w:sz w:val="24"/>
          <w:szCs w:val="24"/>
        </w:rPr>
        <w:t>)</w:t>
      </w:r>
      <w:r w:rsidRPr="00650F49">
        <w:rPr>
          <w:rFonts w:ascii="Times New Roman" w:hAnsi="Times New Roman" w:cs="Times New Roman"/>
          <w:sz w:val="24"/>
          <w:szCs w:val="24"/>
        </w:rPr>
        <w:t xml:space="preserve"> et du héron garde bœuf</w:t>
      </w:r>
      <w:r w:rsidR="00BC249A">
        <w:rPr>
          <w:rFonts w:ascii="Times New Roman" w:hAnsi="Times New Roman" w:cs="Times New Roman"/>
          <w:sz w:val="24"/>
          <w:szCs w:val="24"/>
        </w:rPr>
        <w:t xml:space="preserve"> </w:t>
      </w:r>
      <w:r w:rsidRPr="00650F49">
        <w:rPr>
          <w:rFonts w:ascii="Times New Roman" w:hAnsi="Times New Roman" w:cs="Times New Roman"/>
          <w:sz w:val="24"/>
          <w:szCs w:val="24"/>
        </w:rPr>
        <w:t>(</w:t>
      </w:r>
      <w:r w:rsidRPr="00650F49">
        <w:rPr>
          <w:rFonts w:ascii="Times New Roman" w:hAnsi="Times New Roman" w:cs="Times New Roman"/>
          <w:i/>
          <w:sz w:val="24"/>
          <w:szCs w:val="24"/>
        </w:rPr>
        <w:t>Bulbicus ibis</w:t>
      </w:r>
      <w:r w:rsidRPr="00650F49">
        <w:rPr>
          <w:rFonts w:ascii="Times New Roman" w:hAnsi="Times New Roman" w:cs="Times New Roman"/>
          <w:sz w:val="24"/>
          <w:szCs w:val="24"/>
        </w:rPr>
        <w:t>)</w:t>
      </w:r>
      <w:r w:rsidRPr="00650F49">
        <w:rPr>
          <w:rFonts w:ascii="Times New Roman" w:hAnsi="Times New Roman" w:cs="Times New Roman"/>
          <w:i/>
          <w:sz w:val="24"/>
          <w:szCs w:val="24"/>
        </w:rPr>
        <w:t>.</w:t>
      </w:r>
      <w:r w:rsidRPr="00650F49">
        <w:rPr>
          <w:rFonts w:ascii="Times New Roman" w:hAnsi="Times New Roman" w:cs="Times New Roman"/>
          <w:sz w:val="24"/>
          <w:szCs w:val="24"/>
        </w:rPr>
        <w:t xml:space="preserve"> La proximité des marais leur assure d'abondantes ressources alimentaires.Trois espèces de singes ont été rencontrées. Il s'agit du mone (</w:t>
      </w:r>
      <w:r w:rsidRPr="00650F49">
        <w:rPr>
          <w:rFonts w:ascii="Times New Roman" w:hAnsi="Times New Roman" w:cs="Times New Roman"/>
          <w:i/>
          <w:sz w:val="24"/>
          <w:szCs w:val="24"/>
        </w:rPr>
        <w:t>Cercopithecus mona</w:t>
      </w:r>
      <w:r w:rsidRPr="00650F49">
        <w:rPr>
          <w:rFonts w:ascii="Times New Roman" w:hAnsi="Times New Roman" w:cs="Times New Roman"/>
          <w:sz w:val="24"/>
          <w:szCs w:val="24"/>
        </w:rPr>
        <w:t>), du vervet (</w:t>
      </w:r>
      <w:r w:rsidRPr="00650F49">
        <w:rPr>
          <w:rFonts w:ascii="Times New Roman" w:hAnsi="Times New Roman" w:cs="Times New Roman"/>
          <w:i/>
          <w:sz w:val="24"/>
          <w:szCs w:val="24"/>
        </w:rPr>
        <w:t>Cercopithecus aethiops</w:t>
      </w:r>
      <w:r w:rsidRPr="00650F49">
        <w:rPr>
          <w:rFonts w:ascii="Times New Roman" w:hAnsi="Times New Roman" w:cs="Times New Roman"/>
          <w:sz w:val="24"/>
          <w:szCs w:val="24"/>
        </w:rPr>
        <w:t>) et du colobe noir et blanc d'Afrique occidentale (</w:t>
      </w:r>
      <w:r w:rsidRPr="00650F49">
        <w:rPr>
          <w:rFonts w:ascii="Times New Roman" w:hAnsi="Times New Roman" w:cs="Times New Roman"/>
          <w:i/>
          <w:sz w:val="24"/>
          <w:szCs w:val="24"/>
        </w:rPr>
        <w:t>Colobus polykomos</w:t>
      </w:r>
      <w:r w:rsidRPr="00650F49">
        <w:rPr>
          <w:rFonts w:ascii="Times New Roman" w:hAnsi="Times New Roman" w:cs="Times New Roman"/>
          <w:sz w:val="24"/>
          <w:szCs w:val="24"/>
        </w:rPr>
        <w:t>)</w:t>
      </w:r>
      <w:r w:rsidRPr="00650F49">
        <w:rPr>
          <w:rFonts w:ascii="Times New Roman" w:hAnsi="Times New Roman" w:cs="Times New Roman"/>
          <w:i/>
          <w:sz w:val="24"/>
          <w:szCs w:val="24"/>
        </w:rPr>
        <w:t xml:space="preserve">. </w:t>
      </w:r>
      <w:r w:rsidR="00F72AC1">
        <w:rPr>
          <w:rFonts w:ascii="Times New Roman" w:hAnsi="Times New Roman" w:cs="Times New Roman"/>
          <w:sz w:val="24"/>
          <w:szCs w:val="24"/>
        </w:rPr>
        <w:t>Largement distribué</w:t>
      </w:r>
      <w:r w:rsidRPr="00650F49">
        <w:rPr>
          <w:rFonts w:ascii="Times New Roman" w:hAnsi="Times New Roman" w:cs="Times New Roman"/>
          <w:sz w:val="24"/>
          <w:szCs w:val="24"/>
        </w:rPr>
        <w:t>, le vervet est le primate le plus commun de ces formations. La population d'Amédéhoèvé peut être estimée à une cinquantaine d'individus.</w:t>
      </w:r>
      <w:r w:rsidR="00F72AC1">
        <w:rPr>
          <w:rFonts w:ascii="Times New Roman" w:hAnsi="Times New Roman" w:cs="Times New Roman"/>
          <w:sz w:val="24"/>
          <w:szCs w:val="24"/>
        </w:rPr>
        <w:t xml:space="preserve"> </w:t>
      </w:r>
      <w:r w:rsidRPr="00650F49">
        <w:rPr>
          <w:rFonts w:ascii="Times New Roman" w:hAnsi="Times New Roman" w:cs="Times New Roman"/>
          <w:sz w:val="24"/>
          <w:szCs w:val="24"/>
        </w:rPr>
        <w:t>Le colobe, une espèce très rare au Togo, se rencontre dans la forêt de Togoville en plusieurs petits troupeaux de 4 à 8 individus.</w:t>
      </w:r>
    </w:p>
    <w:p w14:paraId="6977ADD7" w14:textId="77777777" w:rsidR="00E809EF" w:rsidRDefault="00E809EF" w:rsidP="00650F49">
      <w:pPr>
        <w:shd w:val="clear" w:color="auto" w:fill="FFFFFF"/>
        <w:spacing w:after="0" w:line="240" w:lineRule="auto"/>
        <w:jc w:val="both"/>
        <w:rPr>
          <w:rFonts w:ascii="Times New Roman" w:hAnsi="Times New Roman" w:cs="Times New Roman"/>
          <w:sz w:val="24"/>
          <w:szCs w:val="24"/>
        </w:rPr>
      </w:pPr>
    </w:p>
    <w:p w14:paraId="2F54FE6D" w14:textId="77777777" w:rsidR="000761EB" w:rsidRPr="00650F49" w:rsidRDefault="000761EB" w:rsidP="00650F49">
      <w:pPr>
        <w:shd w:val="clear" w:color="auto" w:fill="FFFFFF"/>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 </w:t>
      </w:r>
      <w:r w:rsidRPr="00650F49">
        <w:rPr>
          <w:rFonts w:ascii="Times New Roman" w:hAnsi="Times New Roman" w:cs="Times New Roman"/>
          <w:b/>
          <w:sz w:val="24"/>
          <w:szCs w:val="24"/>
        </w:rPr>
        <w:t>Dans la forêt sacrée Godjin</w:t>
      </w:r>
      <w:r w:rsidRPr="00650F49">
        <w:rPr>
          <w:rFonts w:ascii="Times New Roman" w:hAnsi="Times New Roman" w:cs="Times New Roman"/>
          <w:sz w:val="24"/>
          <w:szCs w:val="24"/>
        </w:rPr>
        <w:t xml:space="preserve">, 283 espèces végétales regroupées en 213 genres et 73 familles ont été recensées. Quatre espèces de la liste n'ont pas été encore clairement identifiées. </w:t>
      </w:r>
      <w:r w:rsidRPr="00650F49">
        <w:rPr>
          <w:rFonts w:ascii="Times New Roman" w:hAnsi="Times New Roman" w:cs="Times New Roman"/>
          <w:i/>
          <w:sz w:val="24"/>
          <w:szCs w:val="24"/>
        </w:rPr>
        <w:t xml:space="preserve">Pararistolochia juju </w:t>
      </w:r>
      <w:r w:rsidRPr="00650F49">
        <w:rPr>
          <w:rFonts w:ascii="Times New Roman" w:hAnsi="Times New Roman" w:cs="Times New Roman"/>
          <w:sz w:val="24"/>
          <w:szCs w:val="24"/>
        </w:rPr>
        <w:t>est récoltée pour la première fois au Togo dans cette forêt. Une autre aristoloche (</w:t>
      </w:r>
      <w:r w:rsidRPr="00650F49">
        <w:rPr>
          <w:rFonts w:ascii="Times New Roman" w:hAnsi="Times New Roman" w:cs="Times New Roman"/>
          <w:i/>
          <w:sz w:val="24"/>
          <w:szCs w:val="24"/>
        </w:rPr>
        <w:t>Pararistolochia goldieana</w:t>
      </w:r>
      <w:r w:rsidRPr="00650F49">
        <w:rPr>
          <w:rFonts w:ascii="Times New Roman" w:hAnsi="Times New Roman" w:cs="Times New Roman"/>
          <w:sz w:val="24"/>
          <w:szCs w:val="24"/>
        </w:rPr>
        <w:t xml:space="preserve">) qui elle, est présente dans les forêts des monts du Togo (Akpagana, 1992), est ici très répandue (dans 56% des relevés) et est très remarquable dans le sous-bois par sa grande fleur d'environ 30 cm de long et 10 cm de large. Il n'existe plus nulle part au Togo une forêt où on trouve encore d'aussi gros </w:t>
      </w:r>
      <w:r w:rsidRPr="00650F49">
        <w:rPr>
          <w:rFonts w:ascii="Times New Roman" w:hAnsi="Times New Roman" w:cs="Times New Roman"/>
          <w:i/>
          <w:sz w:val="24"/>
          <w:szCs w:val="24"/>
        </w:rPr>
        <w:t>Terminalia superba</w:t>
      </w:r>
      <w:r w:rsidRPr="00650F49">
        <w:rPr>
          <w:rFonts w:ascii="Times New Roman" w:hAnsi="Times New Roman" w:cs="Times New Roman"/>
          <w:sz w:val="24"/>
          <w:szCs w:val="24"/>
        </w:rPr>
        <w:t xml:space="preserve"> non exploités. A part ces espèces assez particulières à la forêt Godjin, d'autres espèces fréquemment rencontrées dans les autres îlots forestiers y sont très abondantes :</w:t>
      </w:r>
    </w:p>
    <w:p w14:paraId="6AB175F5" w14:textId="77777777" w:rsidR="000761EB" w:rsidRPr="00650F49" w:rsidRDefault="000761EB" w:rsidP="00E50666">
      <w:pPr>
        <w:numPr>
          <w:ilvl w:val="0"/>
          <w:numId w:val="36"/>
        </w:numPr>
        <w:shd w:val="clear" w:color="auto" w:fill="FFFFFF"/>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arbres et arbuste : </w:t>
      </w:r>
      <w:r w:rsidRPr="00650F49">
        <w:rPr>
          <w:rFonts w:ascii="Times New Roman" w:hAnsi="Times New Roman" w:cs="Times New Roman"/>
          <w:i/>
          <w:sz w:val="24"/>
          <w:szCs w:val="24"/>
        </w:rPr>
        <w:t>Ceiba pentadra</w:t>
      </w:r>
      <w:r w:rsidRPr="00650F49">
        <w:rPr>
          <w:rFonts w:ascii="Times New Roman" w:hAnsi="Times New Roman" w:cs="Times New Roman"/>
          <w:sz w:val="24"/>
          <w:szCs w:val="24"/>
        </w:rPr>
        <w:t xml:space="preserve"> (dans 73% des relevés), </w:t>
      </w:r>
      <w:r w:rsidRPr="00650F49">
        <w:rPr>
          <w:rFonts w:ascii="Times New Roman" w:hAnsi="Times New Roman" w:cs="Times New Roman"/>
          <w:i/>
          <w:sz w:val="24"/>
          <w:szCs w:val="24"/>
        </w:rPr>
        <w:t>Cola millenii</w:t>
      </w:r>
      <w:r w:rsidRPr="00650F49">
        <w:rPr>
          <w:rFonts w:ascii="Times New Roman" w:hAnsi="Times New Roman" w:cs="Times New Roman"/>
          <w:sz w:val="24"/>
          <w:szCs w:val="24"/>
        </w:rPr>
        <w:t xml:space="preserve"> (69%), </w:t>
      </w:r>
      <w:r w:rsidRPr="00650F49">
        <w:rPr>
          <w:rFonts w:ascii="Times New Roman" w:hAnsi="Times New Roman" w:cs="Times New Roman"/>
          <w:i/>
          <w:sz w:val="24"/>
          <w:szCs w:val="24"/>
        </w:rPr>
        <w:t>Antiaris africana</w:t>
      </w:r>
      <w:r w:rsidRPr="00650F49">
        <w:rPr>
          <w:rFonts w:ascii="Times New Roman" w:hAnsi="Times New Roman" w:cs="Times New Roman"/>
          <w:sz w:val="24"/>
          <w:szCs w:val="24"/>
        </w:rPr>
        <w:t xml:space="preserve"> (67%) ; </w:t>
      </w:r>
    </w:p>
    <w:p w14:paraId="35073A74" w14:textId="77777777" w:rsidR="000761EB" w:rsidRPr="00650F49" w:rsidRDefault="000761EB" w:rsidP="00E50666">
      <w:pPr>
        <w:numPr>
          <w:ilvl w:val="0"/>
          <w:numId w:val="36"/>
        </w:numPr>
        <w:shd w:val="clear" w:color="auto" w:fill="FFFFFF"/>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lianes : </w:t>
      </w:r>
      <w:r w:rsidRPr="00650F49">
        <w:rPr>
          <w:rFonts w:ascii="Times New Roman" w:hAnsi="Times New Roman" w:cs="Times New Roman"/>
          <w:i/>
          <w:sz w:val="24"/>
          <w:szCs w:val="24"/>
        </w:rPr>
        <w:t>Griffonia simplicifolia</w:t>
      </w:r>
      <w:r w:rsidRPr="00650F49">
        <w:rPr>
          <w:rFonts w:ascii="Times New Roman" w:hAnsi="Times New Roman" w:cs="Times New Roman"/>
          <w:sz w:val="24"/>
          <w:szCs w:val="24"/>
        </w:rPr>
        <w:t xml:space="preserve"> (78%), </w:t>
      </w:r>
      <w:r w:rsidRPr="00650F49">
        <w:rPr>
          <w:rFonts w:ascii="Times New Roman" w:hAnsi="Times New Roman" w:cs="Times New Roman"/>
          <w:i/>
          <w:sz w:val="24"/>
          <w:szCs w:val="24"/>
        </w:rPr>
        <w:t>Cissus petiolata</w:t>
      </w:r>
      <w:r w:rsidRPr="00650F49">
        <w:rPr>
          <w:rFonts w:ascii="Times New Roman" w:hAnsi="Times New Roman" w:cs="Times New Roman"/>
          <w:sz w:val="24"/>
          <w:szCs w:val="24"/>
        </w:rPr>
        <w:t xml:space="preserve"> (73%), </w:t>
      </w:r>
      <w:r w:rsidRPr="00650F49">
        <w:rPr>
          <w:rFonts w:ascii="Times New Roman" w:hAnsi="Times New Roman" w:cs="Times New Roman"/>
          <w:i/>
          <w:sz w:val="24"/>
          <w:szCs w:val="24"/>
        </w:rPr>
        <w:t>Dioscorea preussii</w:t>
      </w:r>
      <w:r w:rsidRPr="00650F49">
        <w:rPr>
          <w:rFonts w:ascii="Times New Roman" w:hAnsi="Times New Roman" w:cs="Times New Roman"/>
          <w:sz w:val="24"/>
          <w:szCs w:val="24"/>
        </w:rPr>
        <w:t xml:space="preserve"> (63%) ;</w:t>
      </w:r>
    </w:p>
    <w:p w14:paraId="715A570B" w14:textId="77777777" w:rsidR="000761EB" w:rsidRPr="00650F49" w:rsidRDefault="000761EB" w:rsidP="00E50666">
      <w:pPr>
        <w:numPr>
          <w:ilvl w:val="0"/>
          <w:numId w:val="36"/>
        </w:numPr>
        <w:shd w:val="clear" w:color="auto" w:fill="FFFFFF"/>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herbes : </w:t>
      </w:r>
      <w:r w:rsidRPr="00650F49">
        <w:rPr>
          <w:rFonts w:ascii="Times New Roman" w:hAnsi="Times New Roman" w:cs="Times New Roman"/>
          <w:i/>
          <w:sz w:val="24"/>
          <w:szCs w:val="24"/>
        </w:rPr>
        <w:t>Anchomanes difformis</w:t>
      </w:r>
      <w:r w:rsidRPr="00650F49">
        <w:rPr>
          <w:rFonts w:ascii="Times New Roman" w:hAnsi="Times New Roman" w:cs="Times New Roman"/>
          <w:sz w:val="24"/>
          <w:szCs w:val="24"/>
        </w:rPr>
        <w:t xml:space="preserve"> (79%</w:t>
      </w:r>
      <w:r w:rsidRPr="00650F49">
        <w:rPr>
          <w:rFonts w:ascii="Times New Roman" w:hAnsi="Times New Roman" w:cs="Times New Roman"/>
          <w:i/>
          <w:sz w:val="24"/>
          <w:szCs w:val="24"/>
        </w:rPr>
        <w:t>), Chromolaena odorata</w:t>
      </w:r>
      <w:r w:rsidRPr="00650F49">
        <w:rPr>
          <w:rFonts w:ascii="Times New Roman" w:hAnsi="Times New Roman" w:cs="Times New Roman"/>
          <w:sz w:val="24"/>
          <w:szCs w:val="24"/>
        </w:rPr>
        <w:t xml:space="preserve"> (69%) et </w:t>
      </w:r>
      <w:r w:rsidRPr="00650F49">
        <w:rPr>
          <w:rFonts w:ascii="Times New Roman" w:hAnsi="Times New Roman" w:cs="Times New Roman"/>
          <w:i/>
          <w:sz w:val="24"/>
          <w:szCs w:val="24"/>
        </w:rPr>
        <w:t>Panicum maximum</w:t>
      </w:r>
      <w:r w:rsidRPr="00650F49">
        <w:rPr>
          <w:rFonts w:ascii="Times New Roman" w:hAnsi="Times New Roman" w:cs="Times New Roman"/>
          <w:sz w:val="24"/>
          <w:szCs w:val="24"/>
        </w:rPr>
        <w:t xml:space="preserve"> (56%). </w:t>
      </w:r>
    </w:p>
    <w:p w14:paraId="31CA3835" w14:textId="77777777" w:rsidR="00E809EF" w:rsidRDefault="00E809EF" w:rsidP="00E809EF">
      <w:pPr>
        <w:shd w:val="clear" w:color="auto" w:fill="FFFFFF"/>
        <w:spacing w:after="0" w:line="240" w:lineRule="auto"/>
        <w:jc w:val="both"/>
        <w:rPr>
          <w:rFonts w:ascii="Times New Roman" w:hAnsi="Times New Roman" w:cs="Times New Roman"/>
          <w:sz w:val="24"/>
          <w:szCs w:val="24"/>
        </w:rPr>
      </w:pPr>
    </w:p>
    <w:p w14:paraId="35DB22CB" w14:textId="3A6A5A70" w:rsidR="000761EB" w:rsidRPr="00650F49" w:rsidRDefault="000761EB" w:rsidP="00E809EF">
      <w:pPr>
        <w:shd w:val="clear" w:color="auto" w:fill="FFFFFF"/>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L'inventaire de la faune n'a pas été aussi exhaustif mais a permis de recenser une espèce de Mollusque, sept espèces de reptiles, 13 espèces de mammifères ainsi que 22 espèces d'oiseaux. Ces espèces sont plus liées à la forêt qu'à la végétation anthropophile avoisinante. Les animaux les plus fréquents sont pour les reptiles, le varan (</w:t>
      </w:r>
      <w:r w:rsidRPr="00650F49">
        <w:rPr>
          <w:rFonts w:ascii="Times New Roman" w:hAnsi="Times New Roman" w:cs="Times New Roman"/>
          <w:i/>
          <w:sz w:val="24"/>
          <w:szCs w:val="24"/>
        </w:rPr>
        <w:t>Varanus niloticus</w:t>
      </w:r>
      <w:r w:rsidRPr="00650F49">
        <w:rPr>
          <w:rFonts w:ascii="Times New Roman" w:hAnsi="Times New Roman" w:cs="Times New Roman"/>
          <w:sz w:val="24"/>
          <w:szCs w:val="24"/>
        </w:rPr>
        <w:t>). De mœurs semi-aquatique, sa présence dans la forêt est liée à la présence des sources d'eau. Le Naja (</w:t>
      </w:r>
      <w:r w:rsidRPr="00650F49">
        <w:rPr>
          <w:rFonts w:ascii="Times New Roman" w:hAnsi="Times New Roman" w:cs="Times New Roman"/>
          <w:i/>
          <w:sz w:val="24"/>
          <w:szCs w:val="24"/>
        </w:rPr>
        <w:t>Naja nigricollis</w:t>
      </w:r>
      <w:r w:rsidRPr="00650F49">
        <w:rPr>
          <w:rFonts w:ascii="Times New Roman" w:hAnsi="Times New Roman" w:cs="Times New Roman"/>
          <w:sz w:val="24"/>
          <w:szCs w:val="24"/>
        </w:rPr>
        <w:t>)</w:t>
      </w:r>
      <w:r w:rsidR="007D4365">
        <w:rPr>
          <w:rFonts w:ascii="Times New Roman" w:hAnsi="Times New Roman" w:cs="Times New Roman"/>
          <w:sz w:val="24"/>
          <w:szCs w:val="24"/>
        </w:rPr>
        <w:t xml:space="preserve"> </w:t>
      </w:r>
      <w:r w:rsidRPr="00650F49">
        <w:rPr>
          <w:rFonts w:ascii="Times New Roman" w:hAnsi="Times New Roman" w:cs="Times New Roman"/>
          <w:sz w:val="24"/>
          <w:szCs w:val="24"/>
        </w:rPr>
        <w:t>affectionne l'eau des sources dans laquelle il chasse les poissons. Trois espèces de singes ont été signalées par les populations mais seul le mone (</w:t>
      </w:r>
      <w:r w:rsidRPr="00650F49">
        <w:rPr>
          <w:rFonts w:ascii="Times New Roman" w:hAnsi="Times New Roman" w:cs="Times New Roman"/>
          <w:i/>
          <w:sz w:val="24"/>
          <w:szCs w:val="24"/>
        </w:rPr>
        <w:t>Cercopithecus mona</w:t>
      </w:r>
      <w:r w:rsidRPr="00650F49">
        <w:rPr>
          <w:rFonts w:ascii="Times New Roman" w:hAnsi="Times New Roman" w:cs="Times New Roman"/>
          <w:sz w:val="24"/>
          <w:szCs w:val="24"/>
        </w:rPr>
        <w:t>) a été rencontré</w:t>
      </w:r>
      <w:r w:rsidRPr="00650F49">
        <w:rPr>
          <w:rFonts w:ascii="Times New Roman" w:hAnsi="Times New Roman" w:cs="Times New Roman"/>
          <w:i/>
          <w:sz w:val="24"/>
          <w:szCs w:val="24"/>
        </w:rPr>
        <w:t xml:space="preserve">. </w:t>
      </w:r>
      <w:r w:rsidRPr="00650F49">
        <w:rPr>
          <w:rFonts w:ascii="Times New Roman" w:hAnsi="Times New Roman" w:cs="Times New Roman"/>
          <w:sz w:val="24"/>
          <w:szCs w:val="24"/>
        </w:rPr>
        <w:t>L'important couvert graminéen par endroit constitue un biotope propice pour l'aulacode (</w:t>
      </w:r>
      <w:r w:rsidRPr="00650F49">
        <w:rPr>
          <w:rFonts w:ascii="Times New Roman" w:hAnsi="Times New Roman" w:cs="Times New Roman"/>
          <w:i/>
          <w:sz w:val="24"/>
          <w:szCs w:val="24"/>
        </w:rPr>
        <w:t>Thryonomys swinderianus</w:t>
      </w:r>
      <w:r w:rsidRPr="00650F49">
        <w:rPr>
          <w:rFonts w:ascii="Times New Roman" w:hAnsi="Times New Roman" w:cs="Times New Roman"/>
          <w:sz w:val="24"/>
          <w:szCs w:val="24"/>
        </w:rPr>
        <w:t>).</w:t>
      </w:r>
    </w:p>
    <w:p w14:paraId="32D2A1E9" w14:textId="77777777" w:rsidR="00E809EF" w:rsidRDefault="00E809EF" w:rsidP="00650F49">
      <w:pPr>
        <w:spacing w:after="0" w:line="240" w:lineRule="auto"/>
        <w:jc w:val="both"/>
        <w:rPr>
          <w:rFonts w:ascii="Times New Roman" w:hAnsi="Times New Roman" w:cs="Times New Roman"/>
          <w:b/>
          <w:sz w:val="24"/>
          <w:szCs w:val="24"/>
        </w:rPr>
      </w:pPr>
    </w:p>
    <w:p w14:paraId="559A2B27" w14:textId="0DB849BE" w:rsidR="000761EB" w:rsidRPr="00650F49" w:rsidRDefault="000761EB" w:rsidP="00650F49">
      <w:pPr>
        <w:spacing w:after="0" w:line="240" w:lineRule="auto"/>
        <w:jc w:val="both"/>
        <w:rPr>
          <w:rFonts w:ascii="Times New Roman" w:hAnsi="Times New Roman" w:cs="Times New Roman"/>
          <w:sz w:val="24"/>
          <w:szCs w:val="24"/>
        </w:rPr>
      </w:pPr>
      <w:r w:rsidRPr="00650F49">
        <w:rPr>
          <w:rFonts w:ascii="Times New Roman" w:hAnsi="Times New Roman" w:cs="Times New Roman"/>
          <w:b/>
          <w:sz w:val="24"/>
          <w:szCs w:val="24"/>
        </w:rPr>
        <w:t>- En pays Kabyè</w:t>
      </w:r>
      <w:r w:rsidR="00E809EF">
        <w:rPr>
          <w:rFonts w:ascii="Times New Roman" w:hAnsi="Times New Roman" w:cs="Times New Roman"/>
          <w:sz w:val="24"/>
          <w:szCs w:val="24"/>
        </w:rPr>
        <w:t>, dans 25 bois sacrés (sur</w:t>
      </w:r>
      <w:r w:rsidRPr="00650F49">
        <w:rPr>
          <w:rFonts w:ascii="Times New Roman" w:hAnsi="Times New Roman" w:cs="Times New Roman"/>
          <w:sz w:val="24"/>
          <w:szCs w:val="24"/>
        </w:rPr>
        <w:t xml:space="preserve"> 46 visités), 228 espèces ont été recensées. Elles se répartissent en 64 familles et 207 genres dont les plus représentées sont les Fabaceae et les Rubiaceae. Les espèces les plus représentées sont </w:t>
      </w:r>
      <w:r w:rsidR="00F72AC1">
        <w:rPr>
          <w:rFonts w:ascii="Times New Roman" w:hAnsi="Times New Roman" w:cs="Times New Roman"/>
          <w:sz w:val="24"/>
          <w:szCs w:val="24"/>
        </w:rPr>
        <w:t xml:space="preserve">par </w:t>
      </w:r>
      <w:r w:rsidRPr="00650F49">
        <w:rPr>
          <w:rFonts w:ascii="Times New Roman" w:hAnsi="Times New Roman" w:cs="Times New Roman"/>
          <w:sz w:val="24"/>
          <w:szCs w:val="24"/>
        </w:rPr>
        <w:t>:</w:t>
      </w:r>
    </w:p>
    <w:p w14:paraId="16766A43" w14:textId="71F1C8B9" w:rsidR="000761EB" w:rsidRPr="00650F49" w:rsidRDefault="000761EB" w:rsidP="00E50666">
      <w:pPr>
        <w:numPr>
          <w:ilvl w:val="0"/>
          <w:numId w:val="35"/>
        </w:numPr>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arbres : </w:t>
      </w:r>
      <w:r w:rsidRPr="00650F49">
        <w:rPr>
          <w:rFonts w:ascii="Times New Roman" w:hAnsi="Times New Roman" w:cs="Times New Roman"/>
          <w:i/>
          <w:sz w:val="24"/>
          <w:szCs w:val="24"/>
        </w:rPr>
        <w:t>Diospyros mespiliformis</w:t>
      </w:r>
      <w:r w:rsidRPr="00650F49">
        <w:rPr>
          <w:rFonts w:ascii="Times New Roman" w:hAnsi="Times New Roman" w:cs="Times New Roman"/>
          <w:sz w:val="24"/>
          <w:szCs w:val="24"/>
        </w:rPr>
        <w:t xml:space="preserve"> (dans 38% des relevés), </w:t>
      </w:r>
      <w:r w:rsidRPr="00650F49">
        <w:rPr>
          <w:rFonts w:ascii="Times New Roman" w:hAnsi="Times New Roman" w:cs="Times New Roman"/>
          <w:i/>
          <w:sz w:val="24"/>
          <w:szCs w:val="24"/>
        </w:rPr>
        <w:t>Celtis integrifolia</w:t>
      </w:r>
      <w:r w:rsidRPr="00650F49">
        <w:rPr>
          <w:rFonts w:ascii="Times New Roman" w:hAnsi="Times New Roman" w:cs="Times New Roman"/>
          <w:sz w:val="24"/>
          <w:szCs w:val="24"/>
        </w:rPr>
        <w:t xml:space="preserve"> (30%), </w:t>
      </w:r>
      <w:r w:rsidRPr="00650F49">
        <w:rPr>
          <w:rFonts w:ascii="Times New Roman" w:hAnsi="Times New Roman" w:cs="Times New Roman"/>
          <w:i/>
          <w:sz w:val="24"/>
          <w:szCs w:val="24"/>
        </w:rPr>
        <w:t>Adansonia digitata</w:t>
      </w:r>
      <w:r w:rsidRPr="00650F49">
        <w:rPr>
          <w:rFonts w:ascii="Times New Roman" w:hAnsi="Times New Roman" w:cs="Times New Roman"/>
          <w:sz w:val="24"/>
          <w:szCs w:val="24"/>
        </w:rPr>
        <w:t xml:space="preserve"> (24%) ;</w:t>
      </w:r>
    </w:p>
    <w:p w14:paraId="57D73FD1" w14:textId="63AE6514" w:rsidR="000761EB" w:rsidRPr="00650F49" w:rsidRDefault="000761EB" w:rsidP="00E50666">
      <w:pPr>
        <w:numPr>
          <w:ilvl w:val="0"/>
          <w:numId w:val="35"/>
        </w:numPr>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arbustes : </w:t>
      </w:r>
      <w:r w:rsidRPr="00650F49">
        <w:rPr>
          <w:rFonts w:ascii="Times New Roman" w:hAnsi="Times New Roman" w:cs="Times New Roman"/>
          <w:i/>
          <w:sz w:val="24"/>
          <w:szCs w:val="24"/>
        </w:rPr>
        <w:t>Malacantha alnifolia</w:t>
      </w:r>
      <w:r w:rsidRPr="00650F49">
        <w:rPr>
          <w:rFonts w:ascii="Times New Roman" w:hAnsi="Times New Roman" w:cs="Times New Roman"/>
          <w:sz w:val="24"/>
          <w:szCs w:val="24"/>
        </w:rPr>
        <w:t xml:space="preserve"> (24%) ;</w:t>
      </w:r>
    </w:p>
    <w:p w14:paraId="77B80698" w14:textId="3468A47B" w:rsidR="000761EB" w:rsidRPr="00650F49" w:rsidRDefault="000761EB" w:rsidP="00E50666">
      <w:pPr>
        <w:numPr>
          <w:ilvl w:val="0"/>
          <w:numId w:val="35"/>
        </w:numPr>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lianes : </w:t>
      </w:r>
      <w:r w:rsidRPr="00650F49">
        <w:rPr>
          <w:rFonts w:ascii="Times New Roman" w:hAnsi="Times New Roman" w:cs="Times New Roman"/>
          <w:i/>
          <w:sz w:val="24"/>
          <w:szCs w:val="24"/>
        </w:rPr>
        <w:t>Strophanthus sarmentasus</w:t>
      </w:r>
      <w:r w:rsidRPr="00650F49">
        <w:rPr>
          <w:rFonts w:ascii="Times New Roman" w:hAnsi="Times New Roman" w:cs="Times New Roman"/>
          <w:sz w:val="24"/>
          <w:szCs w:val="24"/>
        </w:rPr>
        <w:t xml:space="preserve"> (26%) ;</w:t>
      </w:r>
    </w:p>
    <w:p w14:paraId="69E1F4F8" w14:textId="2D7AD1F6" w:rsidR="000761EB" w:rsidRPr="00650F49" w:rsidRDefault="000761EB" w:rsidP="00E50666">
      <w:pPr>
        <w:numPr>
          <w:ilvl w:val="0"/>
          <w:numId w:val="35"/>
        </w:numPr>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herbacées </w:t>
      </w:r>
      <w:r w:rsidRPr="00650F49">
        <w:rPr>
          <w:rFonts w:ascii="Times New Roman" w:hAnsi="Times New Roman" w:cs="Times New Roman"/>
          <w:i/>
          <w:sz w:val="24"/>
          <w:szCs w:val="24"/>
        </w:rPr>
        <w:t>Andropogon tectorum</w:t>
      </w:r>
      <w:r w:rsidRPr="00650F49">
        <w:rPr>
          <w:rFonts w:ascii="Times New Roman" w:hAnsi="Times New Roman" w:cs="Times New Roman"/>
          <w:sz w:val="24"/>
          <w:szCs w:val="24"/>
        </w:rPr>
        <w:t xml:space="preserve"> (46%).</w:t>
      </w:r>
    </w:p>
    <w:p w14:paraId="1C7FC2C2" w14:textId="77777777" w:rsidR="00E809EF" w:rsidRDefault="00E809EF" w:rsidP="00E809EF">
      <w:pPr>
        <w:spacing w:after="0" w:line="240" w:lineRule="auto"/>
        <w:jc w:val="both"/>
        <w:rPr>
          <w:rFonts w:ascii="Times New Roman" w:hAnsi="Times New Roman" w:cs="Times New Roman"/>
          <w:sz w:val="24"/>
          <w:szCs w:val="24"/>
        </w:rPr>
      </w:pPr>
    </w:p>
    <w:p w14:paraId="6C5F5F32" w14:textId="3ACDAB40" w:rsidR="000761EB" w:rsidRPr="00650F49" w:rsidRDefault="000761EB" w:rsidP="00E809EF">
      <w:pPr>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Sur tout le territoire togolais, certaines espèces végétales sont reconnues comme abritant les dieux (Tableau10). Ces arbres fétiches sont très nombreux et sont souvent des individus isolés. C’est le cas de </w:t>
      </w:r>
      <w:r w:rsidRPr="00650F49">
        <w:rPr>
          <w:rFonts w:ascii="Times New Roman" w:hAnsi="Times New Roman" w:cs="Times New Roman"/>
          <w:i/>
          <w:sz w:val="24"/>
          <w:szCs w:val="24"/>
        </w:rPr>
        <w:t>Adansonia digitata</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Antiaris africana, Milicia excelsa</w:t>
      </w:r>
      <w:r w:rsidRPr="00650F49">
        <w:rPr>
          <w:rFonts w:ascii="Times New Roman" w:hAnsi="Times New Roman" w:cs="Times New Roman"/>
          <w:sz w:val="24"/>
          <w:szCs w:val="24"/>
        </w:rPr>
        <w:t xml:space="preserve">. A l’inverse, </w:t>
      </w:r>
      <w:r w:rsidRPr="00650F49">
        <w:rPr>
          <w:rFonts w:ascii="Times New Roman" w:hAnsi="Times New Roman" w:cs="Times New Roman"/>
          <w:i/>
          <w:sz w:val="24"/>
          <w:szCs w:val="24"/>
        </w:rPr>
        <w:t>Afzelia africana</w:t>
      </w:r>
      <w:r w:rsidRPr="00650F49">
        <w:rPr>
          <w:rFonts w:ascii="Times New Roman" w:hAnsi="Times New Roman" w:cs="Times New Roman"/>
          <w:sz w:val="24"/>
          <w:szCs w:val="24"/>
        </w:rPr>
        <w:t xml:space="preserve"> doit sa sauvegarde au mythe qui l’entoure en pays </w:t>
      </w:r>
      <w:r w:rsidR="00F72AC1">
        <w:rPr>
          <w:rFonts w:ascii="Times New Roman" w:hAnsi="Times New Roman" w:cs="Times New Roman"/>
          <w:sz w:val="24"/>
          <w:szCs w:val="24"/>
        </w:rPr>
        <w:t>Naouda</w:t>
      </w:r>
      <w:r w:rsidRPr="00650F49">
        <w:rPr>
          <w:rFonts w:ascii="Times New Roman" w:hAnsi="Times New Roman" w:cs="Times New Roman"/>
          <w:sz w:val="24"/>
          <w:szCs w:val="24"/>
        </w:rPr>
        <w:t xml:space="preserve"> et Kabyè. Cette espèce est considérée comme maléfique, l’incarnation du diable. La crainte qu’elle inspire permet souvent la constitution d’un bosquet autour. Les arbres de production (</w:t>
      </w:r>
      <w:r w:rsidRPr="00650F49">
        <w:rPr>
          <w:rFonts w:ascii="Times New Roman" w:hAnsi="Times New Roman" w:cs="Times New Roman"/>
          <w:i/>
          <w:sz w:val="24"/>
          <w:szCs w:val="24"/>
        </w:rPr>
        <w:t>Elaeis guineensis</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Mangifera indica</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Parkia biglobosa, Tectona grandis, Ceiba pentandra</w:t>
      </w:r>
      <w:r w:rsidRPr="00650F49">
        <w:rPr>
          <w:rFonts w:ascii="Times New Roman" w:hAnsi="Times New Roman" w:cs="Times New Roman"/>
          <w:sz w:val="24"/>
          <w:szCs w:val="24"/>
        </w:rPr>
        <w:t>) sont épargnés aussi. De même les espèces reconnues pour leurs vertus médicinales ou lithurgiques sont introduites et protégées (</w:t>
      </w:r>
      <w:r w:rsidRPr="00650F49">
        <w:rPr>
          <w:rFonts w:ascii="Times New Roman" w:hAnsi="Times New Roman" w:cs="Times New Roman"/>
          <w:i/>
          <w:sz w:val="24"/>
          <w:szCs w:val="24"/>
        </w:rPr>
        <w:t>Jatropha curcas</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Newbouldia laevis</w:t>
      </w:r>
      <w:r w:rsidRPr="00650F49">
        <w:rPr>
          <w:rFonts w:ascii="Times New Roman" w:hAnsi="Times New Roman" w:cs="Times New Roman"/>
          <w:sz w:val="24"/>
          <w:szCs w:val="24"/>
        </w:rPr>
        <w:t xml:space="preserve">, </w:t>
      </w:r>
      <w:r w:rsidRPr="00650F49">
        <w:rPr>
          <w:rFonts w:ascii="Times New Roman" w:hAnsi="Times New Roman" w:cs="Times New Roman"/>
          <w:i/>
          <w:sz w:val="24"/>
          <w:szCs w:val="24"/>
        </w:rPr>
        <w:t>Dracaena arborea</w:t>
      </w:r>
      <w:r w:rsidRPr="00650F49">
        <w:rPr>
          <w:rFonts w:ascii="Times New Roman" w:hAnsi="Times New Roman" w:cs="Times New Roman"/>
          <w:sz w:val="24"/>
          <w:szCs w:val="24"/>
        </w:rPr>
        <w:t>). Autour de certaines forêts,</w:t>
      </w:r>
      <w:r w:rsidR="007D4365">
        <w:rPr>
          <w:rFonts w:ascii="Times New Roman" w:hAnsi="Times New Roman" w:cs="Times New Roman"/>
          <w:sz w:val="24"/>
          <w:szCs w:val="24"/>
        </w:rPr>
        <w:t xml:space="preserve"> des pare-feu étaient réalisés à</w:t>
      </w:r>
      <w:r w:rsidRPr="00650F49">
        <w:rPr>
          <w:rFonts w:ascii="Times New Roman" w:hAnsi="Times New Roman" w:cs="Times New Roman"/>
          <w:sz w:val="24"/>
          <w:szCs w:val="24"/>
        </w:rPr>
        <w:t xml:space="preserve"> base de </w:t>
      </w:r>
      <w:r w:rsidRPr="00650F49">
        <w:rPr>
          <w:rFonts w:ascii="Times New Roman" w:hAnsi="Times New Roman" w:cs="Times New Roman"/>
          <w:i/>
          <w:sz w:val="24"/>
          <w:szCs w:val="24"/>
        </w:rPr>
        <w:t>Gardenia erubecens</w:t>
      </w:r>
      <w:r w:rsidRPr="00650F49">
        <w:rPr>
          <w:rFonts w:ascii="Times New Roman" w:hAnsi="Times New Roman" w:cs="Times New Roman"/>
          <w:sz w:val="24"/>
          <w:szCs w:val="24"/>
        </w:rPr>
        <w:t xml:space="preserve">. Maintenant c'est le teck qui est </w:t>
      </w:r>
      <w:r w:rsidR="00F72AC1">
        <w:rPr>
          <w:rFonts w:ascii="Times New Roman" w:hAnsi="Times New Roman" w:cs="Times New Roman"/>
          <w:sz w:val="24"/>
          <w:szCs w:val="24"/>
        </w:rPr>
        <w:t xml:space="preserve">beaucoup plus </w:t>
      </w:r>
      <w:r w:rsidRPr="00650F49">
        <w:rPr>
          <w:rFonts w:ascii="Times New Roman" w:hAnsi="Times New Roman" w:cs="Times New Roman"/>
          <w:sz w:val="24"/>
          <w:szCs w:val="24"/>
        </w:rPr>
        <w:t xml:space="preserve">utilisé. </w:t>
      </w:r>
    </w:p>
    <w:p w14:paraId="21D3EF63" w14:textId="77777777" w:rsidR="00E809EF" w:rsidRDefault="00E809EF"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5A9363EF" w14:textId="77777777" w:rsidR="000761EB" w:rsidRPr="00650F49" w:rsidRDefault="000761EB"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Dans les forêts sacrées, toutes les espèces animales sont indirectement protégées par le caractère sacré des forêts. De plus, des croyances ancestrales particulières consolident la protection de certaines espèces animales. C'est le cas du python royal, des singes, du milan noir et de la tourterelle maillée dans la</w:t>
      </w:r>
      <w:r w:rsidR="00E809EF">
        <w:rPr>
          <w:rFonts w:ascii="Times New Roman" w:hAnsi="Times New Roman" w:cs="Times New Roman"/>
          <w:sz w:val="24"/>
          <w:szCs w:val="24"/>
        </w:rPr>
        <w:t xml:space="preserve"> région méridionale</w:t>
      </w:r>
      <w:r w:rsidRPr="00650F49">
        <w:rPr>
          <w:rFonts w:ascii="Times New Roman" w:hAnsi="Times New Roman" w:cs="Times New Roman"/>
          <w:sz w:val="24"/>
          <w:szCs w:val="24"/>
        </w:rPr>
        <w:t>, du crocodile du Nil, du caméléon, etc.</w:t>
      </w:r>
    </w:p>
    <w:p w14:paraId="0238A617" w14:textId="77777777" w:rsidR="00E809EF" w:rsidRDefault="00E809EF"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52485EDA" w14:textId="77777777" w:rsidR="000761EB" w:rsidRPr="00650F49" w:rsidRDefault="00E809EF"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Sur la basse côte togolaise</w:t>
      </w:r>
      <w:r w:rsidR="000761EB" w:rsidRPr="00650F49">
        <w:rPr>
          <w:rFonts w:ascii="Times New Roman" w:hAnsi="Times New Roman" w:cs="Times New Roman"/>
          <w:sz w:val="24"/>
          <w:szCs w:val="24"/>
        </w:rPr>
        <w:t>, les Cercopithèques ne sont en relative sécurité que dans les forêts sacrées, où ils font l'objet d'une vénération. Ailleurs, ils sont braconnés pour leur viande. On les considère comme l'incarnation des jumeaux décédés. Les populations autochtones ne disent pas qu'un jumeau est décédé mais qu'il est allé dans la forêt.</w:t>
      </w:r>
    </w:p>
    <w:p w14:paraId="3D6BA844" w14:textId="77777777" w:rsidR="00E809EF" w:rsidRDefault="00E809EF"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662305BA" w14:textId="77777777" w:rsidR="000761EB" w:rsidRPr="00650F49" w:rsidRDefault="000761EB" w:rsidP="00E809EF">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Sur le littoral, le milan noir est un oiseau mystérieux dans la région. Il semble qu'il disparaît pendant la petite saison sèche et sa réapparition dans le ciel annonce la petite saison pluvieuse. En réalité, l'oiseau réapparaît après les toutes premières pluies de la petite saison. A cause de son rôle d'annonciateur de la petite saison des pluies, l'oiseau est vénéré et protégé, même si c'est un grand prédateur de poussins. Il est très commun dans les forêts sacrées littorales. Tous les grands </w:t>
      </w:r>
      <w:r w:rsidRPr="00650F49">
        <w:rPr>
          <w:rFonts w:ascii="Times New Roman" w:hAnsi="Times New Roman" w:cs="Times New Roman"/>
          <w:i/>
          <w:sz w:val="24"/>
          <w:szCs w:val="24"/>
        </w:rPr>
        <w:t>Antiaris africana</w:t>
      </w:r>
      <w:r w:rsidRPr="00650F49">
        <w:rPr>
          <w:rFonts w:ascii="Times New Roman" w:hAnsi="Times New Roman" w:cs="Times New Roman"/>
          <w:sz w:val="24"/>
          <w:szCs w:val="24"/>
        </w:rPr>
        <w:t xml:space="preserve"> qui surplombent les forêts portent un nid de cet oiseau.</w:t>
      </w:r>
    </w:p>
    <w:p w14:paraId="689FA648" w14:textId="77777777" w:rsidR="00E809EF" w:rsidRDefault="00E809EF" w:rsidP="00650F4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p>
    <w:p w14:paraId="4FBAFFB5" w14:textId="77777777" w:rsidR="000761EB" w:rsidRPr="00650F49" w:rsidRDefault="000761EB" w:rsidP="00650F49">
      <w:pPr>
        <w:tabs>
          <w:tab w:val="left" w:pos="0"/>
          <w:tab w:val="left" w:pos="566"/>
          <w:tab w:val="left" w:pos="1134"/>
          <w:tab w:val="left" w:pos="1700"/>
          <w:tab w:val="left" w:pos="2268"/>
          <w:tab w:val="left" w:pos="2834"/>
          <w:tab w:val="left" w:pos="3402"/>
          <w:tab w:val="left" w:pos="3968"/>
          <w:tab w:val="left" w:pos="4534"/>
          <w:tab w:val="left" w:pos="5102"/>
          <w:tab w:val="left" w:pos="5668"/>
          <w:tab w:val="left" w:pos="6236"/>
          <w:tab w:val="left" w:pos="6802"/>
          <w:tab w:val="left" w:pos="7370"/>
          <w:tab w:val="left" w:pos="7936"/>
          <w:tab w:val="left" w:pos="8504"/>
        </w:tabs>
        <w:spacing w:after="0" w:line="240" w:lineRule="auto"/>
        <w:jc w:val="both"/>
        <w:rPr>
          <w:rFonts w:ascii="Times New Roman" w:hAnsi="Times New Roman" w:cs="Times New Roman"/>
          <w:sz w:val="24"/>
          <w:szCs w:val="24"/>
        </w:rPr>
      </w:pPr>
      <w:r w:rsidRPr="00650F49">
        <w:rPr>
          <w:rFonts w:ascii="Times New Roman" w:hAnsi="Times New Roman" w:cs="Times New Roman"/>
          <w:sz w:val="24"/>
          <w:szCs w:val="24"/>
        </w:rPr>
        <w:t xml:space="preserve">La tourterelle maillée, </w:t>
      </w:r>
      <w:r w:rsidRPr="00650F49">
        <w:rPr>
          <w:rFonts w:ascii="Times New Roman" w:hAnsi="Times New Roman" w:cs="Times New Roman"/>
          <w:i/>
          <w:sz w:val="24"/>
          <w:szCs w:val="24"/>
        </w:rPr>
        <w:t>Streptopelia senegalensis</w:t>
      </w:r>
      <w:r w:rsidRPr="00650F49">
        <w:rPr>
          <w:rFonts w:ascii="Times New Roman" w:hAnsi="Times New Roman" w:cs="Times New Roman"/>
          <w:sz w:val="24"/>
          <w:szCs w:val="24"/>
        </w:rPr>
        <w:t xml:space="preserve"> (L.) est vénérée pour le service rendu aux ancêtres des Ewé qui fuyaient le royaume féodal d'Oyo (Nigeria). Lors de l'exode vers Tado (Togo), des tourterelles auraient brouillé la piste aux poursuivants en marchant sur les traces des fugitifs. </w:t>
      </w:r>
    </w:p>
    <w:p w14:paraId="53F09DA4" w14:textId="77777777" w:rsidR="000761EB" w:rsidRDefault="000761EB" w:rsidP="00650F49">
      <w:pPr>
        <w:spacing w:after="0" w:line="240" w:lineRule="auto"/>
        <w:rPr>
          <w:rFonts w:ascii="Times New Roman" w:hAnsi="Times New Roman" w:cs="Times New Roman"/>
          <w:sz w:val="24"/>
          <w:szCs w:val="24"/>
        </w:rPr>
      </w:pPr>
    </w:p>
    <w:p w14:paraId="50DC8314" w14:textId="121DBD59" w:rsidR="008D3CB3" w:rsidRDefault="008D3CB3" w:rsidP="00650F49">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Dans d’autres groupes socio-culturels, </w:t>
      </w:r>
      <w:r w:rsidR="007D4365">
        <w:rPr>
          <w:rFonts w:ascii="Times New Roman" w:hAnsi="Times New Roman" w:cs="Times New Roman"/>
          <w:sz w:val="24"/>
          <w:szCs w:val="24"/>
        </w:rPr>
        <w:t>plusieurs</w:t>
      </w:r>
      <w:r>
        <w:rPr>
          <w:rFonts w:ascii="Times New Roman" w:hAnsi="Times New Roman" w:cs="Times New Roman"/>
          <w:sz w:val="24"/>
          <w:szCs w:val="24"/>
        </w:rPr>
        <w:t xml:space="preserve"> espèces végétales et animales bénéficient d’une protection particulière par les populations (Tableaux</w:t>
      </w:r>
      <w:r w:rsidR="007B41EE">
        <w:rPr>
          <w:rFonts w:ascii="Times New Roman" w:hAnsi="Times New Roman" w:cs="Times New Roman"/>
          <w:sz w:val="24"/>
          <w:szCs w:val="24"/>
        </w:rPr>
        <w:t xml:space="preserve"> 15 et 16</w:t>
      </w:r>
      <w:r>
        <w:rPr>
          <w:rFonts w:ascii="Times New Roman" w:hAnsi="Times New Roman" w:cs="Times New Roman"/>
          <w:sz w:val="24"/>
          <w:szCs w:val="24"/>
        </w:rPr>
        <w:t xml:space="preserve"> (non exhaustif</w:t>
      </w:r>
      <w:r w:rsidR="007B41EE">
        <w:rPr>
          <w:rFonts w:ascii="Times New Roman" w:hAnsi="Times New Roman" w:cs="Times New Roman"/>
          <w:sz w:val="24"/>
          <w:szCs w:val="24"/>
        </w:rPr>
        <w:t>)</w:t>
      </w:r>
      <w:r>
        <w:rPr>
          <w:rFonts w:ascii="Times New Roman" w:hAnsi="Times New Roman" w:cs="Times New Roman"/>
          <w:sz w:val="24"/>
          <w:szCs w:val="24"/>
        </w:rPr>
        <w:t>).</w:t>
      </w:r>
    </w:p>
    <w:p w14:paraId="369D82B0" w14:textId="77777777" w:rsidR="007B41EE" w:rsidRDefault="007B41EE" w:rsidP="00650F49">
      <w:pPr>
        <w:spacing w:after="0" w:line="240" w:lineRule="auto"/>
        <w:rPr>
          <w:rFonts w:ascii="Times New Roman" w:hAnsi="Times New Roman" w:cs="Times New Roman"/>
          <w:sz w:val="24"/>
          <w:szCs w:val="24"/>
        </w:rPr>
      </w:pPr>
    </w:p>
    <w:p w14:paraId="53AB6D68" w14:textId="657DCF43" w:rsidR="007B41EE" w:rsidRPr="007B41EE" w:rsidRDefault="007B41EE" w:rsidP="007B41EE">
      <w:pPr>
        <w:pStyle w:val="Lgende"/>
        <w:rPr>
          <w:rFonts w:ascii="Times New Roman" w:hAnsi="Times New Roman"/>
          <w:sz w:val="24"/>
          <w:szCs w:val="24"/>
        </w:rPr>
      </w:pPr>
      <w:bookmarkStart w:id="96" w:name="_Toc533413483"/>
      <w:r w:rsidRPr="00F72AC1">
        <w:rPr>
          <w:rFonts w:ascii="Times New Roman" w:hAnsi="Times New Roman"/>
          <w:sz w:val="24"/>
          <w:szCs w:val="24"/>
          <w:u w:val="single"/>
        </w:rPr>
        <w:t xml:space="preserve">Tableau </w:t>
      </w:r>
      <w:r w:rsidR="00620BEA" w:rsidRPr="00F72AC1">
        <w:rPr>
          <w:rFonts w:ascii="Times New Roman" w:hAnsi="Times New Roman"/>
          <w:sz w:val="24"/>
          <w:szCs w:val="24"/>
          <w:u w:val="single"/>
        </w:rPr>
        <w:fldChar w:fldCharType="begin"/>
      </w:r>
      <w:r w:rsidRPr="00F72AC1">
        <w:rPr>
          <w:rFonts w:ascii="Times New Roman" w:hAnsi="Times New Roman"/>
          <w:sz w:val="24"/>
          <w:szCs w:val="24"/>
          <w:u w:val="single"/>
        </w:rPr>
        <w:instrText xml:space="preserve"> SEQ Tableau \* ARABIC </w:instrText>
      </w:r>
      <w:r w:rsidR="00620BEA" w:rsidRPr="00F72AC1">
        <w:rPr>
          <w:rFonts w:ascii="Times New Roman" w:hAnsi="Times New Roman"/>
          <w:sz w:val="24"/>
          <w:szCs w:val="24"/>
          <w:u w:val="single"/>
        </w:rPr>
        <w:fldChar w:fldCharType="separate"/>
      </w:r>
      <w:r w:rsidR="00C47BFF">
        <w:rPr>
          <w:rFonts w:ascii="Times New Roman" w:hAnsi="Times New Roman"/>
          <w:noProof/>
          <w:sz w:val="24"/>
          <w:szCs w:val="24"/>
          <w:u w:val="single"/>
        </w:rPr>
        <w:t>12</w:t>
      </w:r>
      <w:r w:rsidR="00620BEA" w:rsidRPr="00F72AC1">
        <w:rPr>
          <w:rFonts w:ascii="Times New Roman" w:hAnsi="Times New Roman"/>
          <w:sz w:val="24"/>
          <w:szCs w:val="24"/>
          <w:u w:val="single"/>
        </w:rPr>
        <w:fldChar w:fldCharType="end"/>
      </w:r>
      <w:r w:rsidRPr="007B41EE">
        <w:rPr>
          <w:rFonts w:ascii="Times New Roman" w:hAnsi="Times New Roman"/>
          <w:sz w:val="24"/>
          <w:szCs w:val="24"/>
        </w:rPr>
        <w:t>: Quelques espèces végétales protégées par les communautés locales au Togo.</w:t>
      </w:r>
      <w:bookmarkEnd w:id="96"/>
    </w:p>
    <w:tbl>
      <w:tblPr>
        <w:tblW w:w="9758"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335"/>
        <w:gridCol w:w="3477"/>
        <w:gridCol w:w="1961"/>
      </w:tblGrid>
      <w:tr w:rsidR="000761EB" w:rsidRPr="00650F49" w14:paraId="0222398E" w14:textId="77777777" w:rsidTr="00DB5C3A">
        <w:tc>
          <w:tcPr>
            <w:tcW w:w="1985" w:type="dxa"/>
            <w:vAlign w:val="center"/>
          </w:tcPr>
          <w:p w14:paraId="729115F4"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Préfecture/</w:t>
            </w:r>
          </w:p>
          <w:p w14:paraId="4304366A"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Localité/Ethnie</w:t>
            </w:r>
          </w:p>
        </w:tc>
        <w:tc>
          <w:tcPr>
            <w:tcW w:w="2335" w:type="dxa"/>
            <w:vAlign w:val="center"/>
          </w:tcPr>
          <w:p w14:paraId="13A85541"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Espèce</w:t>
            </w:r>
          </w:p>
        </w:tc>
        <w:tc>
          <w:tcPr>
            <w:tcW w:w="3477" w:type="dxa"/>
            <w:vAlign w:val="center"/>
          </w:tcPr>
          <w:p w14:paraId="3BDB62CC"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Raison ou manifestation de la protection</w:t>
            </w:r>
          </w:p>
        </w:tc>
        <w:tc>
          <w:tcPr>
            <w:tcW w:w="1961" w:type="dxa"/>
            <w:vAlign w:val="center"/>
          </w:tcPr>
          <w:p w14:paraId="6A6A112F"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Punition divine en cas de coupe</w:t>
            </w:r>
          </w:p>
        </w:tc>
      </w:tr>
      <w:tr w:rsidR="000761EB" w:rsidRPr="00650F49" w14:paraId="3B24EA57" w14:textId="77777777" w:rsidTr="00DB5C3A">
        <w:tc>
          <w:tcPr>
            <w:tcW w:w="1985" w:type="dxa"/>
            <w:vAlign w:val="center"/>
          </w:tcPr>
          <w:p w14:paraId="7606AB4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Kozah/Gnagbadè/Kabyè</w:t>
            </w:r>
          </w:p>
        </w:tc>
        <w:tc>
          <w:tcPr>
            <w:tcW w:w="2335" w:type="dxa"/>
            <w:vAlign w:val="center"/>
          </w:tcPr>
          <w:p w14:paraId="78E52FC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Kpindjao (</w:t>
            </w:r>
            <w:r w:rsidRPr="00650F49">
              <w:rPr>
                <w:rFonts w:ascii="Times New Roman" w:hAnsi="Times New Roman" w:cs="Times New Roman"/>
                <w:i/>
                <w:sz w:val="24"/>
                <w:szCs w:val="24"/>
              </w:rPr>
              <w:t>Dracaena arborea</w:t>
            </w:r>
            <w:r w:rsidRPr="00650F49">
              <w:rPr>
                <w:rFonts w:ascii="Times New Roman" w:hAnsi="Times New Roman" w:cs="Times New Roman"/>
                <w:sz w:val="24"/>
                <w:szCs w:val="24"/>
              </w:rPr>
              <w:t>)</w:t>
            </w:r>
          </w:p>
        </w:tc>
        <w:tc>
          <w:tcPr>
            <w:tcW w:w="3477" w:type="dxa"/>
            <w:vAlign w:val="center"/>
          </w:tcPr>
          <w:p w14:paraId="0B66378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Plante lithurgique qui éloigne les mauvais esprits et la mort</w:t>
            </w:r>
          </w:p>
        </w:tc>
        <w:tc>
          <w:tcPr>
            <w:tcW w:w="1961" w:type="dxa"/>
            <w:vAlign w:val="center"/>
          </w:tcPr>
          <w:p w14:paraId="6B6C772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 xml:space="preserve">Mortalité juvénile élevée </w:t>
            </w:r>
          </w:p>
        </w:tc>
      </w:tr>
      <w:tr w:rsidR="000761EB" w:rsidRPr="00650F49" w14:paraId="47997A88" w14:textId="77777777" w:rsidTr="00DB5C3A">
        <w:tc>
          <w:tcPr>
            <w:tcW w:w="1985" w:type="dxa"/>
            <w:vAlign w:val="center"/>
          </w:tcPr>
          <w:p w14:paraId="123EE22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Golfe/Ewé</w:t>
            </w:r>
          </w:p>
        </w:tc>
        <w:tc>
          <w:tcPr>
            <w:tcW w:w="2335" w:type="dxa"/>
            <w:vAlign w:val="center"/>
          </w:tcPr>
          <w:p w14:paraId="11769DC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Vouti ou Fromager (</w:t>
            </w:r>
            <w:r w:rsidRPr="00650F49">
              <w:rPr>
                <w:rFonts w:ascii="Times New Roman" w:hAnsi="Times New Roman" w:cs="Times New Roman"/>
                <w:i/>
                <w:sz w:val="24"/>
                <w:szCs w:val="24"/>
              </w:rPr>
              <w:t>Ceiba pentandra</w:t>
            </w:r>
            <w:r w:rsidRPr="00650F49">
              <w:rPr>
                <w:rFonts w:ascii="Times New Roman" w:hAnsi="Times New Roman" w:cs="Times New Roman"/>
                <w:sz w:val="24"/>
                <w:szCs w:val="24"/>
              </w:rPr>
              <w:t>)</w:t>
            </w:r>
          </w:p>
        </w:tc>
        <w:tc>
          <w:tcPr>
            <w:tcW w:w="3477" w:type="dxa"/>
            <w:vAlign w:val="center"/>
          </w:tcPr>
          <w:p w14:paraId="0E8FAA3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Arbre vénéré</w:t>
            </w:r>
          </w:p>
        </w:tc>
        <w:tc>
          <w:tcPr>
            <w:tcW w:w="1961" w:type="dxa"/>
            <w:vAlign w:val="center"/>
          </w:tcPr>
          <w:p w14:paraId="3880FDE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 sécheresse</w:t>
            </w:r>
          </w:p>
        </w:tc>
      </w:tr>
      <w:tr w:rsidR="000761EB" w:rsidRPr="00650F49" w14:paraId="3D6B18E3" w14:textId="77777777" w:rsidTr="00DB5C3A">
        <w:tc>
          <w:tcPr>
            <w:tcW w:w="1985" w:type="dxa"/>
            <w:vAlign w:val="center"/>
          </w:tcPr>
          <w:p w14:paraId="65FE97A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Doufelgou/</w:t>
            </w:r>
          </w:p>
          <w:p w14:paraId="730D099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Kadjalla/Lamba</w:t>
            </w:r>
          </w:p>
          <w:p w14:paraId="5635752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Oti/Nagbéni/</w:t>
            </w:r>
          </w:p>
          <w:p w14:paraId="5BDBC20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Gourma</w:t>
            </w:r>
          </w:p>
        </w:tc>
        <w:tc>
          <w:tcPr>
            <w:tcW w:w="2335" w:type="dxa"/>
            <w:vAlign w:val="center"/>
          </w:tcPr>
          <w:p w14:paraId="18AEE86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Baobab (</w:t>
            </w:r>
            <w:r w:rsidRPr="00650F49">
              <w:rPr>
                <w:rFonts w:ascii="Times New Roman" w:hAnsi="Times New Roman" w:cs="Times New Roman"/>
                <w:i/>
                <w:sz w:val="24"/>
                <w:szCs w:val="24"/>
              </w:rPr>
              <w:t>Adansonia digitata</w:t>
            </w:r>
            <w:r w:rsidRPr="00650F49">
              <w:rPr>
                <w:rFonts w:ascii="Times New Roman" w:hAnsi="Times New Roman" w:cs="Times New Roman"/>
                <w:sz w:val="24"/>
                <w:szCs w:val="24"/>
              </w:rPr>
              <w:t>)</w:t>
            </w:r>
          </w:p>
        </w:tc>
        <w:tc>
          <w:tcPr>
            <w:tcW w:w="3477" w:type="dxa"/>
            <w:vAlign w:val="center"/>
          </w:tcPr>
          <w:p w14:paraId="0917505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Un baobab qui pousse à côté de la maison ne doit pas être arraché, c'est un dieu</w:t>
            </w:r>
          </w:p>
        </w:tc>
        <w:tc>
          <w:tcPr>
            <w:tcW w:w="1961" w:type="dxa"/>
            <w:vAlign w:val="center"/>
          </w:tcPr>
          <w:p w14:paraId="5E7158DE"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Maladies</w:t>
            </w:r>
          </w:p>
        </w:tc>
      </w:tr>
      <w:tr w:rsidR="000761EB" w:rsidRPr="00650F49" w14:paraId="5B16DAEF" w14:textId="77777777" w:rsidTr="00DB5C3A">
        <w:tc>
          <w:tcPr>
            <w:tcW w:w="1985" w:type="dxa"/>
            <w:vAlign w:val="center"/>
          </w:tcPr>
          <w:p w14:paraId="50A686F1"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Doufelgou/</w:t>
            </w:r>
          </w:p>
          <w:p w14:paraId="1F93BA86"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Kadjalla/Lamba</w:t>
            </w:r>
          </w:p>
        </w:tc>
        <w:tc>
          <w:tcPr>
            <w:tcW w:w="2335" w:type="dxa"/>
            <w:vAlign w:val="center"/>
          </w:tcPr>
          <w:p w14:paraId="01675A8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Kapokier (</w:t>
            </w:r>
            <w:r w:rsidRPr="00650F49">
              <w:rPr>
                <w:rFonts w:ascii="Times New Roman" w:hAnsi="Times New Roman" w:cs="Times New Roman"/>
                <w:i/>
                <w:sz w:val="24"/>
                <w:szCs w:val="24"/>
              </w:rPr>
              <w:t>Bombax costatum</w:t>
            </w:r>
            <w:r w:rsidRPr="00650F49">
              <w:rPr>
                <w:rFonts w:ascii="Times New Roman" w:hAnsi="Times New Roman" w:cs="Times New Roman"/>
                <w:sz w:val="24"/>
                <w:szCs w:val="24"/>
              </w:rPr>
              <w:t>)</w:t>
            </w:r>
          </w:p>
        </w:tc>
        <w:tc>
          <w:tcPr>
            <w:tcW w:w="3477" w:type="dxa"/>
            <w:vAlign w:val="center"/>
          </w:tcPr>
          <w:p w14:paraId="7508E18E"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Exactement comme le baobab</w:t>
            </w:r>
          </w:p>
        </w:tc>
        <w:tc>
          <w:tcPr>
            <w:tcW w:w="1961" w:type="dxa"/>
            <w:vAlign w:val="center"/>
          </w:tcPr>
          <w:p w14:paraId="70C1EFBB"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41F9CB88" w14:textId="77777777" w:rsidTr="00DB5C3A">
        <w:tc>
          <w:tcPr>
            <w:tcW w:w="1985" w:type="dxa"/>
            <w:vAlign w:val="center"/>
          </w:tcPr>
          <w:p w14:paraId="16D9E25C"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Yoto/Kouvé/Ewé Avé/Badja/Ewé</w:t>
            </w:r>
          </w:p>
        </w:tc>
        <w:tc>
          <w:tcPr>
            <w:tcW w:w="2335" w:type="dxa"/>
            <w:vAlign w:val="center"/>
          </w:tcPr>
          <w:p w14:paraId="3FCDAD9A"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i/>
                <w:sz w:val="24"/>
                <w:szCs w:val="24"/>
              </w:rPr>
              <w:t>Sida linearifolia</w:t>
            </w:r>
            <w:r w:rsidRPr="00650F49">
              <w:rPr>
                <w:rFonts w:ascii="Times New Roman" w:hAnsi="Times New Roman" w:cs="Times New Roman"/>
                <w:sz w:val="24"/>
                <w:szCs w:val="24"/>
              </w:rPr>
              <w:t xml:space="preserve"> (Wodoegbugbo)</w:t>
            </w:r>
          </w:p>
        </w:tc>
        <w:tc>
          <w:tcPr>
            <w:tcW w:w="3477" w:type="dxa"/>
            <w:vAlign w:val="center"/>
          </w:tcPr>
          <w:p w14:paraId="5089C00A"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coupée au moment du sarclage</w:t>
            </w:r>
          </w:p>
        </w:tc>
        <w:tc>
          <w:tcPr>
            <w:tcW w:w="1961" w:type="dxa"/>
            <w:vAlign w:val="center"/>
          </w:tcPr>
          <w:p w14:paraId="4F992A54"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36A29708" w14:textId="77777777" w:rsidTr="00DB5C3A">
        <w:tc>
          <w:tcPr>
            <w:tcW w:w="1985" w:type="dxa"/>
            <w:vAlign w:val="center"/>
          </w:tcPr>
          <w:p w14:paraId="2701F34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Yoto/Ahépé/</w:t>
            </w:r>
          </w:p>
          <w:p w14:paraId="10DEC09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Ouatchi</w:t>
            </w:r>
          </w:p>
        </w:tc>
        <w:tc>
          <w:tcPr>
            <w:tcW w:w="2335" w:type="dxa"/>
            <w:vAlign w:val="center"/>
          </w:tcPr>
          <w:p w14:paraId="4C8F138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Logo azagu (</w:t>
            </w:r>
            <w:r w:rsidRPr="00650F49">
              <w:rPr>
                <w:rFonts w:ascii="Times New Roman" w:hAnsi="Times New Roman" w:cs="Times New Roman"/>
                <w:i/>
                <w:sz w:val="24"/>
                <w:szCs w:val="24"/>
              </w:rPr>
              <w:t>Milicia excelsa</w:t>
            </w:r>
            <w:r w:rsidRPr="00650F49">
              <w:rPr>
                <w:rFonts w:ascii="Times New Roman" w:hAnsi="Times New Roman" w:cs="Times New Roman"/>
                <w:sz w:val="24"/>
                <w:szCs w:val="24"/>
              </w:rPr>
              <w:t>)</w:t>
            </w:r>
          </w:p>
        </w:tc>
        <w:tc>
          <w:tcPr>
            <w:tcW w:w="3477" w:type="dxa"/>
            <w:vAlign w:val="center"/>
          </w:tcPr>
          <w:p w14:paraId="27EC33FA"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coupée au moment du défrichement</w:t>
            </w:r>
          </w:p>
        </w:tc>
        <w:tc>
          <w:tcPr>
            <w:tcW w:w="1961" w:type="dxa"/>
            <w:vAlign w:val="center"/>
          </w:tcPr>
          <w:p w14:paraId="2B92B7D1"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0602F0F4" w14:textId="77777777" w:rsidTr="00DB5C3A">
        <w:tc>
          <w:tcPr>
            <w:tcW w:w="1985" w:type="dxa"/>
            <w:vAlign w:val="center"/>
          </w:tcPr>
          <w:p w14:paraId="1688DA0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Yoto/Ahépé/</w:t>
            </w:r>
          </w:p>
          <w:p w14:paraId="1B2153BA"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Ouatchi</w:t>
            </w:r>
          </w:p>
        </w:tc>
        <w:tc>
          <w:tcPr>
            <w:tcW w:w="2335" w:type="dxa"/>
            <w:vAlign w:val="center"/>
          </w:tcPr>
          <w:p w14:paraId="6895D2D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Mitsritu (</w:t>
            </w:r>
            <w:r w:rsidRPr="00650F49">
              <w:rPr>
                <w:rFonts w:ascii="Times New Roman" w:hAnsi="Times New Roman" w:cs="Times New Roman"/>
                <w:i/>
                <w:sz w:val="24"/>
                <w:szCs w:val="24"/>
              </w:rPr>
              <w:t>Securidaca longepedunculata</w:t>
            </w:r>
            <w:r w:rsidRPr="00650F49">
              <w:rPr>
                <w:rFonts w:ascii="Times New Roman" w:hAnsi="Times New Roman" w:cs="Times New Roman"/>
                <w:sz w:val="24"/>
                <w:szCs w:val="24"/>
              </w:rPr>
              <w:t>)</w:t>
            </w:r>
          </w:p>
        </w:tc>
        <w:tc>
          <w:tcPr>
            <w:tcW w:w="3477" w:type="dxa"/>
            <w:vAlign w:val="center"/>
          </w:tcPr>
          <w:p w14:paraId="56C6A53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 pas arracher l'arbuste ni uriner au pied</w:t>
            </w:r>
          </w:p>
        </w:tc>
        <w:tc>
          <w:tcPr>
            <w:tcW w:w="1961" w:type="dxa"/>
            <w:vAlign w:val="center"/>
          </w:tcPr>
          <w:p w14:paraId="1DBD661C"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Stérilité</w:t>
            </w:r>
          </w:p>
        </w:tc>
      </w:tr>
      <w:tr w:rsidR="000761EB" w:rsidRPr="00650F49" w14:paraId="2B78050E" w14:textId="77777777" w:rsidTr="00DB5C3A">
        <w:tc>
          <w:tcPr>
            <w:tcW w:w="1985" w:type="dxa"/>
            <w:vAlign w:val="center"/>
          </w:tcPr>
          <w:p w14:paraId="39E27DA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Avé/Badja/Ewé</w:t>
            </w:r>
          </w:p>
        </w:tc>
        <w:tc>
          <w:tcPr>
            <w:tcW w:w="2335" w:type="dxa"/>
            <w:vAlign w:val="center"/>
          </w:tcPr>
          <w:p w14:paraId="40FA8425"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Fefe (</w:t>
            </w:r>
            <w:r w:rsidRPr="00650F49">
              <w:rPr>
                <w:rFonts w:ascii="Times New Roman" w:hAnsi="Times New Roman" w:cs="Times New Roman"/>
                <w:i/>
                <w:sz w:val="24"/>
                <w:szCs w:val="24"/>
              </w:rPr>
              <w:t>Gardenia</w:t>
            </w:r>
            <w:r w:rsidRPr="00650F49">
              <w:rPr>
                <w:rFonts w:ascii="Times New Roman" w:hAnsi="Times New Roman" w:cs="Times New Roman"/>
                <w:sz w:val="24"/>
                <w:szCs w:val="24"/>
              </w:rPr>
              <w:t xml:space="preserve"> spp.)</w:t>
            </w:r>
          </w:p>
        </w:tc>
        <w:tc>
          <w:tcPr>
            <w:tcW w:w="3477" w:type="dxa"/>
            <w:vAlign w:val="center"/>
          </w:tcPr>
          <w:p w14:paraId="65AC668A"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Protège la faune sauvage contre les chasseurs, très utilisée contre la foudre</w:t>
            </w:r>
          </w:p>
        </w:tc>
        <w:tc>
          <w:tcPr>
            <w:tcW w:w="1961" w:type="dxa"/>
            <w:vAlign w:val="center"/>
          </w:tcPr>
          <w:p w14:paraId="21E6B9F1"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727747B3" w14:textId="77777777" w:rsidTr="00DB5C3A">
        <w:tc>
          <w:tcPr>
            <w:tcW w:w="1985" w:type="dxa"/>
            <w:vAlign w:val="center"/>
          </w:tcPr>
          <w:p w14:paraId="3666ADE6" w14:textId="77777777" w:rsidR="000761EB" w:rsidRPr="00650F49" w:rsidRDefault="000761EB" w:rsidP="00650F49">
            <w:pPr>
              <w:spacing w:after="0" w:line="240" w:lineRule="auto"/>
              <w:rPr>
                <w:rFonts w:ascii="Times New Roman" w:hAnsi="Times New Roman" w:cs="Times New Roman"/>
                <w:sz w:val="24"/>
                <w:szCs w:val="24"/>
                <w:lang w:val="nl-NL"/>
              </w:rPr>
            </w:pPr>
            <w:r w:rsidRPr="00650F49">
              <w:rPr>
                <w:rFonts w:ascii="Times New Roman" w:hAnsi="Times New Roman" w:cs="Times New Roman"/>
                <w:sz w:val="24"/>
                <w:szCs w:val="24"/>
                <w:lang w:val="nl-NL"/>
              </w:rPr>
              <w:t>Avé/Badja/Ewé</w:t>
            </w:r>
          </w:p>
        </w:tc>
        <w:tc>
          <w:tcPr>
            <w:tcW w:w="2335" w:type="dxa"/>
            <w:vAlign w:val="center"/>
          </w:tcPr>
          <w:p w14:paraId="1C2A12CB" w14:textId="77777777" w:rsidR="000761EB" w:rsidRPr="00650F49" w:rsidRDefault="000761EB" w:rsidP="00650F49">
            <w:pPr>
              <w:spacing w:after="0" w:line="240" w:lineRule="auto"/>
              <w:rPr>
                <w:rFonts w:ascii="Times New Roman" w:hAnsi="Times New Roman" w:cs="Times New Roman"/>
                <w:sz w:val="24"/>
                <w:szCs w:val="24"/>
                <w:lang w:val="en-GB"/>
              </w:rPr>
            </w:pPr>
            <w:r w:rsidRPr="00650F49">
              <w:rPr>
                <w:rFonts w:ascii="Times New Roman" w:hAnsi="Times New Roman" w:cs="Times New Roman"/>
                <w:sz w:val="24"/>
                <w:szCs w:val="24"/>
                <w:lang w:val="en-GB"/>
              </w:rPr>
              <w:t>Atidjin (</w:t>
            </w:r>
            <w:r w:rsidRPr="00650F49">
              <w:rPr>
                <w:rFonts w:ascii="Times New Roman" w:hAnsi="Times New Roman" w:cs="Times New Roman"/>
                <w:i/>
                <w:sz w:val="24"/>
                <w:szCs w:val="24"/>
                <w:lang w:val="en-GB"/>
              </w:rPr>
              <w:t>Hymenocardia acida</w:t>
            </w:r>
            <w:r w:rsidRPr="00650F49">
              <w:rPr>
                <w:rFonts w:ascii="Times New Roman" w:hAnsi="Times New Roman" w:cs="Times New Roman"/>
                <w:sz w:val="24"/>
                <w:szCs w:val="24"/>
                <w:lang w:val="en-GB"/>
              </w:rPr>
              <w:t>)</w:t>
            </w:r>
          </w:p>
        </w:tc>
        <w:tc>
          <w:tcPr>
            <w:tcW w:w="3477" w:type="dxa"/>
            <w:vAlign w:val="center"/>
          </w:tcPr>
          <w:p w14:paraId="151FBF1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 peut être utilisée comme bois de feu, des rameaux sont utilisées pour barrer la route du village en cas d'épidémie</w:t>
            </w:r>
          </w:p>
        </w:tc>
        <w:tc>
          <w:tcPr>
            <w:tcW w:w="1961" w:type="dxa"/>
            <w:vAlign w:val="center"/>
          </w:tcPr>
          <w:p w14:paraId="7DF31B9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Malédiction sur le village</w:t>
            </w:r>
          </w:p>
        </w:tc>
      </w:tr>
      <w:tr w:rsidR="000761EB" w:rsidRPr="00650F49" w14:paraId="49CEC116" w14:textId="77777777" w:rsidTr="00DB5C3A">
        <w:tc>
          <w:tcPr>
            <w:tcW w:w="1985" w:type="dxa"/>
            <w:vAlign w:val="center"/>
          </w:tcPr>
          <w:p w14:paraId="65068CF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Assoli/Bafilo/</w:t>
            </w:r>
          </w:p>
          <w:p w14:paraId="475BECE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Kotoli</w:t>
            </w:r>
          </w:p>
          <w:p w14:paraId="2C9D153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Oti/Nagbéni/</w:t>
            </w:r>
          </w:p>
          <w:p w14:paraId="2143C60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Gourma</w:t>
            </w:r>
          </w:p>
        </w:tc>
        <w:tc>
          <w:tcPr>
            <w:tcW w:w="2335" w:type="dxa"/>
            <w:vAlign w:val="center"/>
          </w:tcPr>
          <w:p w14:paraId="40100B3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Néré (</w:t>
            </w:r>
            <w:r w:rsidRPr="00650F49">
              <w:rPr>
                <w:rFonts w:ascii="Times New Roman" w:hAnsi="Times New Roman" w:cs="Times New Roman"/>
                <w:i/>
                <w:sz w:val="24"/>
                <w:szCs w:val="24"/>
              </w:rPr>
              <w:t>Parkia biglobosa</w:t>
            </w:r>
            <w:r w:rsidRPr="00650F49">
              <w:rPr>
                <w:rFonts w:ascii="Times New Roman" w:hAnsi="Times New Roman" w:cs="Times New Roman"/>
                <w:sz w:val="24"/>
                <w:szCs w:val="24"/>
              </w:rPr>
              <w:t>)</w:t>
            </w:r>
          </w:p>
        </w:tc>
        <w:tc>
          <w:tcPr>
            <w:tcW w:w="3477" w:type="dxa"/>
            <w:vAlign w:val="center"/>
          </w:tcPr>
          <w:p w14:paraId="428A808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Protégé dans les champs, fruits consommés</w:t>
            </w:r>
          </w:p>
        </w:tc>
        <w:tc>
          <w:tcPr>
            <w:tcW w:w="1961" w:type="dxa"/>
            <w:vAlign w:val="center"/>
          </w:tcPr>
          <w:p w14:paraId="56710B6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Foudre cont</w:t>
            </w:r>
            <w:r w:rsidR="00E809EF">
              <w:rPr>
                <w:rFonts w:ascii="Times New Roman" w:hAnsi="Times New Roman" w:cs="Times New Roman"/>
                <w:sz w:val="24"/>
                <w:szCs w:val="24"/>
              </w:rPr>
              <w:t>re quiconque vole dans un champ</w:t>
            </w:r>
            <w:r w:rsidRPr="00650F49">
              <w:rPr>
                <w:rFonts w:ascii="Times New Roman" w:hAnsi="Times New Roman" w:cs="Times New Roman"/>
                <w:sz w:val="24"/>
                <w:szCs w:val="24"/>
              </w:rPr>
              <w:t xml:space="preserve"> dans lequel les feuilles de cette plante sont attachées à un bâton</w:t>
            </w:r>
          </w:p>
        </w:tc>
      </w:tr>
      <w:tr w:rsidR="000761EB" w:rsidRPr="00650F49" w14:paraId="17D6A034" w14:textId="77777777" w:rsidTr="00DB5C3A">
        <w:tc>
          <w:tcPr>
            <w:tcW w:w="1985" w:type="dxa"/>
            <w:vAlign w:val="center"/>
          </w:tcPr>
          <w:p w14:paraId="1BD246F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Oti/Nagbéni/</w:t>
            </w:r>
          </w:p>
          <w:p w14:paraId="6CF8CFE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Gourma</w:t>
            </w:r>
          </w:p>
        </w:tc>
        <w:tc>
          <w:tcPr>
            <w:tcW w:w="2335" w:type="dxa"/>
            <w:vAlign w:val="center"/>
          </w:tcPr>
          <w:p w14:paraId="204E071A"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Karité (</w:t>
            </w:r>
            <w:r w:rsidRPr="00650F49">
              <w:rPr>
                <w:rFonts w:ascii="Times New Roman" w:hAnsi="Times New Roman" w:cs="Times New Roman"/>
                <w:i/>
                <w:sz w:val="24"/>
                <w:szCs w:val="24"/>
              </w:rPr>
              <w:t>Vitellaria paradoxa</w:t>
            </w:r>
            <w:r w:rsidRPr="00650F49">
              <w:rPr>
                <w:rFonts w:ascii="Times New Roman" w:hAnsi="Times New Roman" w:cs="Times New Roman"/>
                <w:sz w:val="24"/>
                <w:szCs w:val="24"/>
              </w:rPr>
              <w:t>)</w:t>
            </w:r>
          </w:p>
        </w:tc>
        <w:tc>
          <w:tcPr>
            <w:tcW w:w="3477" w:type="dxa"/>
            <w:vAlign w:val="center"/>
          </w:tcPr>
          <w:p w14:paraId="6C732CE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 xml:space="preserve">Epargné lors du défrichement et on lui apporte des offrandes en fin de moissons, graines commercialisées </w:t>
            </w:r>
          </w:p>
        </w:tc>
        <w:tc>
          <w:tcPr>
            <w:tcW w:w="1961" w:type="dxa"/>
            <w:vAlign w:val="center"/>
          </w:tcPr>
          <w:p w14:paraId="198ED6E4" w14:textId="77777777" w:rsidR="000761EB" w:rsidRPr="00650F49" w:rsidRDefault="000761EB" w:rsidP="00650F49">
            <w:pPr>
              <w:spacing w:after="0" w:line="240" w:lineRule="auto"/>
              <w:rPr>
                <w:rFonts w:ascii="Times New Roman" w:hAnsi="Times New Roman" w:cs="Times New Roman"/>
                <w:sz w:val="24"/>
                <w:szCs w:val="24"/>
              </w:rPr>
            </w:pPr>
          </w:p>
        </w:tc>
      </w:tr>
    </w:tbl>
    <w:p w14:paraId="1FCCA749" w14:textId="77777777" w:rsidR="000761EB" w:rsidRPr="00650F49" w:rsidRDefault="000761EB" w:rsidP="00650F49">
      <w:pPr>
        <w:spacing w:after="0" w:line="240" w:lineRule="auto"/>
        <w:rPr>
          <w:rFonts w:ascii="Times New Roman" w:hAnsi="Times New Roman" w:cs="Times New Roman"/>
          <w:b/>
          <w:sz w:val="24"/>
          <w:szCs w:val="24"/>
        </w:rPr>
      </w:pPr>
    </w:p>
    <w:p w14:paraId="093A5E6F" w14:textId="5EBB292D" w:rsidR="00E809EF" w:rsidRPr="007B41EE" w:rsidRDefault="007B41EE" w:rsidP="007B41EE">
      <w:pPr>
        <w:pStyle w:val="Lgende"/>
        <w:rPr>
          <w:rFonts w:ascii="Times New Roman" w:hAnsi="Times New Roman"/>
          <w:b w:val="0"/>
          <w:sz w:val="24"/>
          <w:szCs w:val="24"/>
        </w:rPr>
      </w:pPr>
      <w:bookmarkStart w:id="97" w:name="_Toc533413484"/>
      <w:r w:rsidRPr="00F72AC1">
        <w:rPr>
          <w:rFonts w:ascii="Times New Roman" w:hAnsi="Times New Roman"/>
          <w:sz w:val="24"/>
          <w:szCs w:val="24"/>
          <w:u w:val="single"/>
        </w:rPr>
        <w:t xml:space="preserve">Tableau </w:t>
      </w:r>
      <w:r w:rsidR="00620BEA" w:rsidRPr="00F72AC1">
        <w:rPr>
          <w:rFonts w:ascii="Times New Roman" w:hAnsi="Times New Roman"/>
          <w:sz w:val="24"/>
          <w:szCs w:val="24"/>
          <w:u w:val="single"/>
        </w:rPr>
        <w:fldChar w:fldCharType="begin"/>
      </w:r>
      <w:r w:rsidRPr="00F72AC1">
        <w:rPr>
          <w:rFonts w:ascii="Times New Roman" w:hAnsi="Times New Roman"/>
          <w:sz w:val="24"/>
          <w:szCs w:val="24"/>
          <w:u w:val="single"/>
        </w:rPr>
        <w:instrText xml:space="preserve"> SEQ Tableau \* ARABIC </w:instrText>
      </w:r>
      <w:r w:rsidR="00620BEA" w:rsidRPr="00F72AC1">
        <w:rPr>
          <w:rFonts w:ascii="Times New Roman" w:hAnsi="Times New Roman"/>
          <w:sz w:val="24"/>
          <w:szCs w:val="24"/>
          <w:u w:val="single"/>
        </w:rPr>
        <w:fldChar w:fldCharType="separate"/>
      </w:r>
      <w:r w:rsidR="00C47BFF">
        <w:rPr>
          <w:rFonts w:ascii="Times New Roman" w:hAnsi="Times New Roman"/>
          <w:noProof/>
          <w:sz w:val="24"/>
          <w:szCs w:val="24"/>
          <w:u w:val="single"/>
        </w:rPr>
        <w:t>13</w:t>
      </w:r>
      <w:r w:rsidR="00620BEA" w:rsidRPr="00F72AC1">
        <w:rPr>
          <w:rFonts w:ascii="Times New Roman" w:hAnsi="Times New Roman"/>
          <w:sz w:val="24"/>
          <w:szCs w:val="24"/>
          <w:u w:val="single"/>
        </w:rPr>
        <w:fldChar w:fldCharType="end"/>
      </w:r>
      <w:r w:rsidRPr="007B41EE">
        <w:rPr>
          <w:rFonts w:ascii="Times New Roman" w:hAnsi="Times New Roman"/>
          <w:sz w:val="24"/>
          <w:szCs w:val="24"/>
        </w:rPr>
        <w:t>: Quelques espèces animales protégées par les communautés locales au Togo</w:t>
      </w:r>
      <w:bookmarkEnd w:id="97"/>
    </w:p>
    <w:tbl>
      <w:tblPr>
        <w:tblW w:w="9758" w:type="dxa"/>
        <w:tblInd w:w="-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10"/>
        <w:gridCol w:w="1560"/>
        <w:gridCol w:w="3902"/>
        <w:gridCol w:w="2386"/>
      </w:tblGrid>
      <w:tr w:rsidR="000761EB" w:rsidRPr="00650F49" w14:paraId="3BE18EF7" w14:textId="77777777" w:rsidTr="007D4365">
        <w:tc>
          <w:tcPr>
            <w:tcW w:w="1910" w:type="dxa"/>
            <w:vAlign w:val="center"/>
          </w:tcPr>
          <w:p w14:paraId="1F4583AB"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Préfecture/</w:t>
            </w:r>
          </w:p>
          <w:p w14:paraId="48D90B91"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Localité/Ethnie</w:t>
            </w:r>
          </w:p>
        </w:tc>
        <w:tc>
          <w:tcPr>
            <w:tcW w:w="1560" w:type="dxa"/>
            <w:vAlign w:val="center"/>
          </w:tcPr>
          <w:p w14:paraId="499D885A"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Espèce</w:t>
            </w:r>
          </w:p>
        </w:tc>
        <w:tc>
          <w:tcPr>
            <w:tcW w:w="3902" w:type="dxa"/>
            <w:vAlign w:val="center"/>
          </w:tcPr>
          <w:p w14:paraId="3B84B3E5"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Raison de la protection</w:t>
            </w:r>
          </w:p>
        </w:tc>
        <w:tc>
          <w:tcPr>
            <w:tcW w:w="2386" w:type="dxa"/>
            <w:vAlign w:val="center"/>
          </w:tcPr>
          <w:p w14:paraId="6CF631CE" w14:textId="77777777" w:rsidR="000761EB" w:rsidRPr="00650F49" w:rsidRDefault="000761EB" w:rsidP="00650F49">
            <w:pPr>
              <w:spacing w:after="0" w:line="240" w:lineRule="auto"/>
              <w:rPr>
                <w:rFonts w:ascii="Times New Roman" w:hAnsi="Times New Roman" w:cs="Times New Roman"/>
                <w:b/>
                <w:sz w:val="24"/>
                <w:szCs w:val="24"/>
              </w:rPr>
            </w:pPr>
            <w:r w:rsidRPr="00650F49">
              <w:rPr>
                <w:rFonts w:ascii="Times New Roman" w:hAnsi="Times New Roman" w:cs="Times New Roman"/>
                <w:b/>
                <w:sz w:val="24"/>
                <w:szCs w:val="24"/>
              </w:rPr>
              <w:t>Punition divine en cas de tuerie</w:t>
            </w:r>
          </w:p>
        </w:tc>
      </w:tr>
      <w:tr w:rsidR="000761EB" w:rsidRPr="00650F49" w14:paraId="76CA1333" w14:textId="77777777" w:rsidTr="007D4365">
        <w:tc>
          <w:tcPr>
            <w:tcW w:w="1910" w:type="dxa"/>
            <w:vAlign w:val="center"/>
          </w:tcPr>
          <w:p w14:paraId="57367F8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Kozah/Tchitchao/kabyè</w:t>
            </w:r>
          </w:p>
          <w:p w14:paraId="60C8650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Doufelgou/Lamba</w:t>
            </w:r>
          </w:p>
        </w:tc>
        <w:tc>
          <w:tcPr>
            <w:tcW w:w="1560" w:type="dxa"/>
            <w:vAlign w:val="center"/>
          </w:tcPr>
          <w:p w14:paraId="02D8430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Caméléon</w:t>
            </w:r>
          </w:p>
        </w:tc>
        <w:tc>
          <w:tcPr>
            <w:tcW w:w="3902" w:type="dxa"/>
            <w:vAlign w:val="center"/>
          </w:tcPr>
          <w:p w14:paraId="3D8FADE5"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Rencontrer cet animal annonce un malheur dans la famille</w:t>
            </w:r>
          </w:p>
        </w:tc>
        <w:tc>
          <w:tcPr>
            <w:tcW w:w="2386" w:type="dxa"/>
            <w:vAlign w:val="center"/>
          </w:tcPr>
          <w:p w14:paraId="4C0F01E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 xml:space="preserve">Mérite des obsèques tout comme un être humain </w:t>
            </w:r>
          </w:p>
        </w:tc>
      </w:tr>
      <w:tr w:rsidR="000761EB" w:rsidRPr="00650F49" w14:paraId="211624FB" w14:textId="77777777" w:rsidTr="007D4365">
        <w:tc>
          <w:tcPr>
            <w:tcW w:w="1910" w:type="dxa"/>
            <w:vAlign w:val="center"/>
          </w:tcPr>
          <w:p w14:paraId="414F828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Kozah/Tchitchao/kabyè</w:t>
            </w:r>
          </w:p>
        </w:tc>
        <w:tc>
          <w:tcPr>
            <w:tcW w:w="1560" w:type="dxa"/>
            <w:vAlign w:val="center"/>
          </w:tcPr>
          <w:p w14:paraId="224EC68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Lièvre</w:t>
            </w:r>
          </w:p>
        </w:tc>
        <w:tc>
          <w:tcPr>
            <w:tcW w:w="3902" w:type="dxa"/>
            <w:vAlign w:val="center"/>
          </w:tcPr>
          <w:p w14:paraId="43227126"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L'animal était un symbole pour les ancêtres, premiers occupants des lieux</w:t>
            </w:r>
          </w:p>
        </w:tc>
        <w:tc>
          <w:tcPr>
            <w:tcW w:w="2386" w:type="dxa"/>
            <w:vAlign w:val="center"/>
          </w:tcPr>
          <w:p w14:paraId="1B5B8551"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On fait la maladie dite de "lièvre" qui se manifeste par des boutons sur tous le corps</w:t>
            </w:r>
          </w:p>
        </w:tc>
      </w:tr>
      <w:tr w:rsidR="000761EB" w:rsidRPr="00650F49" w14:paraId="029A5884" w14:textId="77777777" w:rsidTr="007D4365">
        <w:tc>
          <w:tcPr>
            <w:tcW w:w="1910" w:type="dxa"/>
            <w:vAlign w:val="center"/>
          </w:tcPr>
          <w:p w14:paraId="69957FA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Kozah/Tchitchao/kabyè</w:t>
            </w:r>
          </w:p>
        </w:tc>
        <w:tc>
          <w:tcPr>
            <w:tcW w:w="1560" w:type="dxa"/>
            <w:vAlign w:val="center"/>
          </w:tcPr>
          <w:p w14:paraId="274E4A8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Singe</w:t>
            </w:r>
          </w:p>
        </w:tc>
        <w:tc>
          <w:tcPr>
            <w:tcW w:w="3902" w:type="dxa"/>
            <w:vAlign w:val="center"/>
          </w:tcPr>
          <w:p w14:paraId="018D4335"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Le singe est considéré comme un être humain</w:t>
            </w:r>
          </w:p>
        </w:tc>
        <w:tc>
          <w:tcPr>
            <w:tcW w:w="2386" w:type="dxa"/>
            <w:vAlign w:val="center"/>
          </w:tcPr>
          <w:p w14:paraId="235803E6"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Maladies</w:t>
            </w:r>
          </w:p>
        </w:tc>
      </w:tr>
      <w:tr w:rsidR="000761EB" w:rsidRPr="00650F49" w14:paraId="3EF792BC" w14:textId="77777777" w:rsidTr="007D4365">
        <w:tc>
          <w:tcPr>
            <w:tcW w:w="1910" w:type="dxa"/>
            <w:vAlign w:val="center"/>
          </w:tcPr>
          <w:p w14:paraId="7642634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Kozah/Tchitchao/kabyè</w:t>
            </w:r>
          </w:p>
        </w:tc>
        <w:tc>
          <w:tcPr>
            <w:tcW w:w="1560" w:type="dxa"/>
            <w:vAlign w:val="center"/>
          </w:tcPr>
          <w:p w14:paraId="6BE7A081"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Hirondelle</w:t>
            </w:r>
          </w:p>
        </w:tc>
        <w:tc>
          <w:tcPr>
            <w:tcW w:w="3902" w:type="dxa"/>
            <w:vAlign w:val="center"/>
          </w:tcPr>
          <w:p w14:paraId="300557D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Nidifie librement dans le toit des maisons car l'oiseau est un porte-bonheur</w:t>
            </w:r>
          </w:p>
        </w:tc>
        <w:tc>
          <w:tcPr>
            <w:tcW w:w="2386" w:type="dxa"/>
            <w:vAlign w:val="center"/>
          </w:tcPr>
          <w:p w14:paraId="5807D15C"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5C3656F1" w14:textId="77777777" w:rsidTr="007D4365">
        <w:tc>
          <w:tcPr>
            <w:tcW w:w="1910" w:type="dxa"/>
            <w:vAlign w:val="center"/>
          </w:tcPr>
          <w:p w14:paraId="3AC507B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Tandjoaré/Nano/Moba</w:t>
            </w:r>
          </w:p>
        </w:tc>
        <w:tc>
          <w:tcPr>
            <w:tcW w:w="1560" w:type="dxa"/>
            <w:vAlign w:val="center"/>
          </w:tcPr>
          <w:p w14:paraId="33C6EED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Python géant</w:t>
            </w:r>
          </w:p>
        </w:tc>
        <w:tc>
          <w:tcPr>
            <w:tcW w:w="3902" w:type="dxa"/>
            <w:vAlign w:val="center"/>
          </w:tcPr>
          <w:p w14:paraId="71C6BB9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Dieu protecteur de la communauté</w:t>
            </w:r>
          </w:p>
        </w:tc>
        <w:tc>
          <w:tcPr>
            <w:tcW w:w="2386" w:type="dxa"/>
            <w:vAlign w:val="center"/>
          </w:tcPr>
          <w:p w14:paraId="7017CD9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Maladies</w:t>
            </w:r>
          </w:p>
        </w:tc>
      </w:tr>
      <w:tr w:rsidR="000761EB" w:rsidRPr="00650F49" w14:paraId="4BA4DA9B" w14:textId="77777777" w:rsidTr="007D4365">
        <w:tc>
          <w:tcPr>
            <w:tcW w:w="1910" w:type="dxa"/>
            <w:vAlign w:val="center"/>
          </w:tcPr>
          <w:p w14:paraId="2BB253F6"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Doufelgou/</w:t>
            </w:r>
          </w:p>
          <w:p w14:paraId="734BDA3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Kadjalla/Lamba</w:t>
            </w:r>
          </w:p>
          <w:p w14:paraId="40000FC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Zio/kpogamé/</w:t>
            </w:r>
          </w:p>
          <w:p w14:paraId="5D6A395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Ewé</w:t>
            </w:r>
          </w:p>
        </w:tc>
        <w:tc>
          <w:tcPr>
            <w:tcW w:w="1560" w:type="dxa"/>
            <w:vAlign w:val="center"/>
          </w:tcPr>
          <w:p w14:paraId="4F273FC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Python</w:t>
            </w:r>
          </w:p>
        </w:tc>
        <w:tc>
          <w:tcPr>
            <w:tcW w:w="3902" w:type="dxa"/>
            <w:vAlign w:val="center"/>
          </w:tcPr>
          <w:p w14:paraId="2FC5DE4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Dieu protecteur de la communauté, incarne le dieu serpent</w:t>
            </w:r>
          </w:p>
        </w:tc>
        <w:tc>
          <w:tcPr>
            <w:tcW w:w="2386" w:type="dxa"/>
            <w:vAlign w:val="center"/>
          </w:tcPr>
          <w:p w14:paraId="54EE0E3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Maladies</w:t>
            </w:r>
          </w:p>
        </w:tc>
      </w:tr>
      <w:tr w:rsidR="000761EB" w:rsidRPr="00650F49" w14:paraId="4B1B05EE" w14:textId="77777777" w:rsidTr="007D4365">
        <w:tc>
          <w:tcPr>
            <w:tcW w:w="1910" w:type="dxa"/>
            <w:vAlign w:val="center"/>
          </w:tcPr>
          <w:p w14:paraId="0E6338B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Yoto/Ahépé/</w:t>
            </w:r>
          </w:p>
          <w:p w14:paraId="0F8468A1"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Ouatchi</w:t>
            </w:r>
          </w:p>
        </w:tc>
        <w:tc>
          <w:tcPr>
            <w:tcW w:w="1560" w:type="dxa"/>
            <w:vAlign w:val="center"/>
          </w:tcPr>
          <w:p w14:paraId="65AEA44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Grenouille</w:t>
            </w:r>
          </w:p>
        </w:tc>
        <w:tc>
          <w:tcPr>
            <w:tcW w:w="3902" w:type="dxa"/>
            <w:vAlign w:val="center"/>
          </w:tcPr>
          <w:p w14:paraId="77E1360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tué ni consommée car une colonie de grenouilles aurait effacé les traces des ancêtres en fuite</w:t>
            </w:r>
          </w:p>
        </w:tc>
        <w:tc>
          <w:tcPr>
            <w:tcW w:w="2386" w:type="dxa"/>
            <w:vAlign w:val="center"/>
          </w:tcPr>
          <w:p w14:paraId="15E346AD"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Maladies</w:t>
            </w:r>
          </w:p>
        </w:tc>
      </w:tr>
      <w:tr w:rsidR="000761EB" w:rsidRPr="00650F49" w14:paraId="6699E652" w14:textId="77777777" w:rsidTr="007D4365">
        <w:tc>
          <w:tcPr>
            <w:tcW w:w="1910" w:type="dxa"/>
            <w:vAlign w:val="center"/>
          </w:tcPr>
          <w:p w14:paraId="66BF664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Yoto/Kouvé/Ewé</w:t>
            </w:r>
          </w:p>
        </w:tc>
        <w:tc>
          <w:tcPr>
            <w:tcW w:w="1560" w:type="dxa"/>
            <w:vAlign w:val="center"/>
          </w:tcPr>
          <w:p w14:paraId="57C4BF4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Souris raillée</w:t>
            </w:r>
          </w:p>
        </w:tc>
        <w:tc>
          <w:tcPr>
            <w:tcW w:w="3902" w:type="dxa"/>
            <w:vAlign w:val="center"/>
          </w:tcPr>
          <w:p w14:paraId="31EB448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tué ni consommée</w:t>
            </w:r>
          </w:p>
        </w:tc>
        <w:tc>
          <w:tcPr>
            <w:tcW w:w="2386" w:type="dxa"/>
            <w:vAlign w:val="center"/>
          </w:tcPr>
          <w:p w14:paraId="29B02C22"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0928E311" w14:textId="77777777" w:rsidTr="007D4365">
        <w:tc>
          <w:tcPr>
            <w:tcW w:w="1910" w:type="dxa"/>
            <w:vAlign w:val="center"/>
          </w:tcPr>
          <w:p w14:paraId="3925CD0D" w14:textId="77777777" w:rsidR="000761EB" w:rsidRPr="00650F49" w:rsidRDefault="000761EB" w:rsidP="00650F49">
            <w:pPr>
              <w:spacing w:after="0" w:line="240" w:lineRule="auto"/>
              <w:rPr>
                <w:rFonts w:ascii="Times New Roman" w:hAnsi="Times New Roman" w:cs="Times New Roman"/>
                <w:sz w:val="24"/>
                <w:szCs w:val="24"/>
                <w:lang w:val="en-GB"/>
              </w:rPr>
            </w:pPr>
            <w:r w:rsidRPr="00650F49">
              <w:rPr>
                <w:rFonts w:ascii="Times New Roman" w:hAnsi="Times New Roman" w:cs="Times New Roman"/>
                <w:sz w:val="24"/>
                <w:szCs w:val="24"/>
                <w:lang w:val="en-GB"/>
              </w:rPr>
              <w:t>Tandjoaré/Nano/Moba</w:t>
            </w:r>
          </w:p>
        </w:tc>
        <w:tc>
          <w:tcPr>
            <w:tcW w:w="1560" w:type="dxa"/>
            <w:vAlign w:val="center"/>
          </w:tcPr>
          <w:p w14:paraId="7A384FD3" w14:textId="77777777" w:rsidR="000761EB" w:rsidRPr="00650F49" w:rsidRDefault="000761EB" w:rsidP="00650F49">
            <w:pPr>
              <w:spacing w:after="0" w:line="240" w:lineRule="auto"/>
              <w:rPr>
                <w:rFonts w:ascii="Times New Roman" w:hAnsi="Times New Roman" w:cs="Times New Roman"/>
                <w:sz w:val="24"/>
                <w:szCs w:val="24"/>
                <w:lang w:val="en-GB"/>
              </w:rPr>
            </w:pPr>
            <w:r w:rsidRPr="00650F49">
              <w:rPr>
                <w:rFonts w:ascii="Times New Roman" w:hAnsi="Times New Roman" w:cs="Times New Roman"/>
                <w:sz w:val="24"/>
                <w:szCs w:val="24"/>
                <w:lang w:val="en-GB"/>
              </w:rPr>
              <w:t>Escargot</w:t>
            </w:r>
          </w:p>
        </w:tc>
        <w:tc>
          <w:tcPr>
            <w:tcW w:w="3902" w:type="dxa"/>
            <w:vAlign w:val="center"/>
          </w:tcPr>
          <w:p w14:paraId="5D5B4544"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consommé</w:t>
            </w:r>
          </w:p>
        </w:tc>
        <w:tc>
          <w:tcPr>
            <w:tcW w:w="2386" w:type="dxa"/>
            <w:vAlign w:val="center"/>
          </w:tcPr>
          <w:p w14:paraId="117D2609"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Risque de devenir lépreux</w:t>
            </w:r>
          </w:p>
        </w:tc>
      </w:tr>
      <w:tr w:rsidR="000761EB" w:rsidRPr="00650F49" w14:paraId="6BB94A65" w14:textId="77777777" w:rsidTr="007D4365">
        <w:tc>
          <w:tcPr>
            <w:tcW w:w="1910" w:type="dxa"/>
            <w:vAlign w:val="center"/>
          </w:tcPr>
          <w:p w14:paraId="009BB4B5"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Tandjoaré/Nano/Moba</w:t>
            </w:r>
          </w:p>
        </w:tc>
        <w:tc>
          <w:tcPr>
            <w:tcW w:w="1560" w:type="dxa"/>
            <w:vAlign w:val="center"/>
          </w:tcPr>
          <w:p w14:paraId="707039B3"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Varan</w:t>
            </w:r>
          </w:p>
        </w:tc>
        <w:tc>
          <w:tcPr>
            <w:tcW w:w="3902" w:type="dxa"/>
            <w:vAlign w:val="center"/>
          </w:tcPr>
          <w:p w14:paraId="1C627FD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consommé</w:t>
            </w:r>
          </w:p>
        </w:tc>
        <w:tc>
          <w:tcPr>
            <w:tcW w:w="2386" w:type="dxa"/>
            <w:vAlign w:val="center"/>
          </w:tcPr>
          <w:p w14:paraId="09CF2B35"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Maladie de la peau</w:t>
            </w:r>
          </w:p>
        </w:tc>
      </w:tr>
      <w:tr w:rsidR="000761EB" w:rsidRPr="00650F49" w14:paraId="58909000" w14:textId="77777777" w:rsidTr="007D4365">
        <w:tc>
          <w:tcPr>
            <w:tcW w:w="1910" w:type="dxa"/>
            <w:vAlign w:val="center"/>
          </w:tcPr>
          <w:p w14:paraId="3E680319" w14:textId="5A1405B2" w:rsidR="000761EB" w:rsidRPr="00650F49" w:rsidRDefault="000761EB" w:rsidP="00650F49">
            <w:pPr>
              <w:spacing w:after="0" w:line="240" w:lineRule="auto"/>
              <w:rPr>
                <w:rFonts w:ascii="Times New Roman" w:hAnsi="Times New Roman" w:cs="Times New Roman"/>
                <w:sz w:val="24"/>
                <w:szCs w:val="24"/>
                <w:lang w:val="de-DE"/>
              </w:rPr>
            </w:pPr>
            <w:r w:rsidRPr="00650F49">
              <w:rPr>
                <w:rFonts w:ascii="Times New Roman" w:hAnsi="Times New Roman" w:cs="Times New Roman"/>
                <w:sz w:val="24"/>
                <w:szCs w:val="24"/>
                <w:lang w:val="de-DE"/>
              </w:rPr>
              <w:t>Binah/Konfess/</w:t>
            </w:r>
            <w:r w:rsidR="007D4365">
              <w:rPr>
                <w:rFonts w:ascii="Times New Roman" w:hAnsi="Times New Roman" w:cs="Times New Roman"/>
                <w:sz w:val="24"/>
                <w:szCs w:val="24"/>
                <w:lang w:val="de-DE"/>
              </w:rPr>
              <w:t xml:space="preserve"> </w:t>
            </w:r>
            <w:r w:rsidRPr="00650F49">
              <w:rPr>
                <w:rFonts w:ascii="Times New Roman" w:hAnsi="Times New Roman" w:cs="Times New Roman"/>
                <w:sz w:val="24"/>
                <w:szCs w:val="24"/>
                <w:lang w:val="de-DE"/>
              </w:rPr>
              <w:t>Kabyè</w:t>
            </w:r>
          </w:p>
        </w:tc>
        <w:tc>
          <w:tcPr>
            <w:tcW w:w="1560" w:type="dxa"/>
            <w:vAlign w:val="center"/>
          </w:tcPr>
          <w:p w14:paraId="374B9A0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Hibou</w:t>
            </w:r>
          </w:p>
        </w:tc>
        <w:tc>
          <w:tcPr>
            <w:tcW w:w="3902" w:type="dxa"/>
            <w:vAlign w:val="center"/>
          </w:tcPr>
          <w:p w14:paraId="6A61682B"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chassée, son chant annonce une mort dans la maison</w:t>
            </w:r>
          </w:p>
        </w:tc>
        <w:tc>
          <w:tcPr>
            <w:tcW w:w="2386" w:type="dxa"/>
            <w:vAlign w:val="center"/>
          </w:tcPr>
          <w:p w14:paraId="35E62119" w14:textId="77777777" w:rsidR="000761EB" w:rsidRPr="00650F49" w:rsidRDefault="000761EB" w:rsidP="00650F49">
            <w:pPr>
              <w:spacing w:after="0" w:line="240" w:lineRule="auto"/>
              <w:rPr>
                <w:rFonts w:ascii="Times New Roman" w:hAnsi="Times New Roman" w:cs="Times New Roman"/>
                <w:sz w:val="24"/>
                <w:szCs w:val="24"/>
              </w:rPr>
            </w:pPr>
          </w:p>
        </w:tc>
      </w:tr>
      <w:tr w:rsidR="000761EB" w:rsidRPr="00650F49" w14:paraId="5439F0D7" w14:textId="77777777" w:rsidTr="007D4365">
        <w:tc>
          <w:tcPr>
            <w:tcW w:w="1910" w:type="dxa"/>
            <w:vAlign w:val="center"/>
          </w:tcPr>
          <w:p w14:paraId="3CF13AA0"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Dankpen/Nabouré/Konkomba</w:t>
            </w:r>
          </w:p>
          <w:p w14:paraId="0D62D1D0"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Oti/Nagbéni/</w:t>
            </w:r>
          </w:p>
          <w:p w14:paraId="2317C931"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Gourma</w:t>
            </w:r>
          </w:p>
        </w:tc>
        <w:tc>
          <w:tcPr>
            <w:tcW w:w="1560" w:type="dxa"/>
            <w:vAlign w:val="center"/>
          </w:tcPr>
          <w:p w14:paraId="628E3238"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Crocodile</w:t>
            </w:r>
          </w:p>
        </w:tc>
        <w:tc>
          <w:tcPr>
            <w:tcW w:w="3902" w:type="dxa"/>
            <w:vAlign w:val="center"/>
          </w:tcPr>
          <w:p w14:paraId="04296AE2"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 pas l'insulter, n'est pas tué ni consommé, incarne le dieu des eaux</w:t>
            </w:r>
          </w:p>
        </w:tc>
        <w:tc>
          <w:tcPr>
            <w:tcW w:w="2386" w:type="dxa"/>
            <w:vAlign w:val="center"/>
          </w:tcPr>
          <w:p w14:paraId="43F6201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Malédiction sur le village (sécheresse, vents violents, mort, envahissement des champs par les insectes nuisibles)</w:t>
            </w:r>
          </w:p>
        </w:tc>
      </w:tr>
      <w:tr w:rsidR="000761EB" w:rsidRPr="00650F49" w14:paraId="526442B4" w14:textId="77777777" w:rsidTr="007D4365">
        <w:tc>
          <w:tcPr>
            <w:tcW w:w="1910" w:type="dxa"/>
            <w:vAlign w:val="center"/>
          </w:tcPr>
          <w:p w14:paraId="4DD943D1" w14:textId="77777777" w:rsidR="000761EB" w:rsidRPr="00650F49" w:rsidRDefault="000761EB" w:rsidP="00650F49">
            <w:pPr>
              <w:spacing w:after="0" w:line="240" w:lineRule="auto"/>
              <w:rPr>
                <w:rFonts w:ascii="Times New Roman" w:hAnsi="Times New Roman" w:cs="Times New Roman"/>
                <w:sz w:val="24"/>
                <w:szCs w:val="24"/>
                <w:lang w:val="en-GB"/>
              </w:rPr>
            </w:pPr>
            <w:r w:rsidRPr="00650F49">
              <w:rPr>
                <w:rFonts w:ascii="Times New Roman" w:hAnsi="Times New Roman" w:cs="Times New Roman"/>
                <w:sz w:val="24"/>
                <w:szCs w:val="24"/>
                <w:lang w:val="en-GB"/>
              </w:rPr>
              <w:t>Agou/Agotimé/</w:t>
            </w:r>
          </w:p>
          <w:p w14:paraId="230B8F5B" w14:textId="77777777" w:rsidR="000761EB" w:rsidRPr="00650F49" w:rsidRDefault="000761EB" w:rsidP="00650F49">
            <w:pPr>
              <w:spacing w:after="0" w:line="240" w:lineRule="auto"/>
              <w:rPr>
                <w:rFonts w:ascii="Times New Roman" w:hAnsi="Times New Roman" w:cs="Times New Roman"/>
                <w:sz w:val="24"/>
                <w:szCs w:val="24"/>
                <w:lang w:val="en-GB"/>
              </w:rPr>
            </w:pPr>
            <w:r w:rsidRPr="00650F49">
              <w:rPr>
                <w:rFonts w:ascii="Times New Roman" w:hAnsi="Times New Roman" w:cs="Times New Roman"/>
                <w:sz w:val="24"/>
                <w:szCs w:val="24"/>
                <w:lang w:val="en-GB"/>
              </w:rPr>
              <w:t>Ewé</w:t>
            </w:r>
          </w:p>
        </w:tc>
        <w:tc>
          <w:tcPr>
            <w:tcW w:w="1560" w:type="dxa"/>
            <w:vAlign w:val="center"/>
          </w:tcPr>
          <w:p w14:paraId="0D875527"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Charognard</w:t>
            </w:r>
          </w:p>
        </w:tc>
        <w:tc>
          <w:tcPr>
            <w:tcW w:w="3902" w:type="dxa"/>
            <w:vAlign w:val="center"/>
          </w:tcPr>
          <w:p w14:paraId="1BDA6A66"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N'est pas tué, mérite des obsèques comme un être humain en cas de mort naturelle, avait joué un rôle de nettoyeur au moment des guerres tribales</w:t>
            </w:r>
          </w:p>
        </w:tc>
        <w:tc>
          <w:tcPr>
            <w:tcW w:w="2386" w:type="dxa"/>
            <w:vAlign w:val="center"/>
          </w:tcPr>
          <w:p w14:paraId="25308B7F" w14:textId="77777777" w:rsidR="000761EB" w:rsidRPr="00650F49" w:rsidRDefault="000761EB" w:rsidP="00650F49">
            <w:pPr>
              <w:spacing w:after="0" w:line="240" w:lineRule="auto"/>
              <w:rPr>
                <w:rFonts w:ascii="Times New Roman" w:hAnsi="Times New Roman" w:cs="Times New Roman"/>
                <w:sz w:val="24"/>
                <w:szCs w:val="24"/>
              </w:rPr>
            </w:pPr>
            <w:r w:rsidRPr="00650F49">
              <w:rPr>
                <w:rFonts w:ascii="Times New Roman" w:hAnsi="Times New Roman" w:cs="Times New Roman"/>
                <w:sz w:val="24"/>
                <w:szCs w:val="24"/>
              </w:rPr>
              <w:t>Perte de cheveux et de poils</w:t>
            </w:r>
          </w:p>
        </w:tc>
      </w:tr>
    </w:tbl>
    <w:p w14:paraId="6B5FDCBD" w14:textId="77777777" w:rsidR="000761EB" w:rsidRPr="00650F49" w:rsidRDefault="000761EB" w:rsidP="00650F49">
      <w:pPr>
        <w:spacing w:after="0" w:line="240" w:lineRule="auto"/>
        <w:rPr>
          <w:rFonts w:ascii="Times New Roman" w:hAnsi="Times New Roman" w:cs="Times New Roman"/>
          <w:sz w:val="24"/>
          <w:szCs w:val="24"/>
        </w:rPr>
      </w:pPr>
    </w:p>
    <w:p w14:paraId="57A42755" w14:textId="77777777" w:rsidR="007C0AD7" w:rsidRPr="000E66C9" w:rsidRDefault="007C0AD7" w:rsidP="002C24B8">
      <w:pPr>
        <w:spacing w:line="360" w:lineRule="auto"/>
        <w:jc w:val="both"/>
        <w:rPr>
          <w:rFonts w:ascii="Times New Roman" w:hAnsi="Times New Roman" w:cs="Times New Roman"/>
          <w:b/>
          <w:color w:val="000000"/>
          <w:sz w:val="24"/>
          <w:szCs w:val="24"/>
        </w:rPr>
      </w:pPr>
      <w:r w:rsidRPr="000E66C9">
        <w:rPr>
          <w:rFonts w:ascii="Times New Roman" w:hAnsi="Times New Roman" w:cs="Times New Roman"/>
          <w:b/>
          <w:color w:val="000000"/>
          <w:sz w:val="24"/>
          <w:szCs w:val="24"/>
        </w:rPr>
        <w:br w:type="page"/>
      </w:r>
    </w:p>
    <w:p w14:paraId="4F85DEA4" w14:textId="77777777" w:rsidR="00893992" w:rsidRPr="00AD6D69" w:rsidRDefault="00272416" w:rsidP="00AD6D69">
      <w:pPr>
        <w:autoSpaceDE w:val="0"/>
        <w:autoSpaceDN w:val="0"/>
        <w:adjustRightInd w:val="0"/>
        <w:spacing w:after="0" w:line="240" w:lineRule="auto"/>
        <w:jc w:val="center"/>
        <w:outlineLvl w:val="0"/>
        <w:rPr>
          <w:rFonts w:ascii="Times New Roman Gras" w:eastAsiaTheme="majorEastAsia" w:hAnsi="Times New Roman Gras" w:cs="Times New Roman"/>
          <w:b/>
          <w:bCs/>
          <w:caps/>
          <w:color w:val="2E74B5" w:themeColor="accent1" w:themeShade="BF"/>
          <w:sz w:val="28"/>
          <w:szCs w:val="28"/>
        </w:rPr>
      </w:pPr>
      <w:bookmarkStart w:id="98" w:name="_Toc533413774"/>
      <w:r w:rsidRPr="00AD6D69">
        <w:rPr>
          <w:rFonts w:ascii="Times New Roman Gras" w:eastAsiaTheme="majorEastAsia" w:hAnsi="Times New Roman Gras" w:cs="Times New Roman"/>
          <w:b/>
          <w:bCs/>
          <w:caps/>
          <w:color w:val="2E74B5" w:themeColor="accent1" w:themeShade="BF"/>
          <w:sz w:val="28"/>
          <w:szCs w:val="28"/>
        </w:rPr>
        <w:t>VII. Mise à jour du p</w:t>
      </w:r>
      <w:r w:rsidR="00EE306F" w:rsidRPr="00AD6D69">
        <w:rPr>
          <w:rFonts w:ascii="Times New Roman Gras" w:eastAsiaTheme="majorEastAsia" w:hAnsi="Times New Roman Gras" w:cs="Times New Roman"/>
          <w:b/>
          <w:bCs/>
          <w:caps/>
          <w:color w:val="2E74B5" w:themeColor="accent1" w:themeShade="BF"/>
          <w:sz w:val="28"/>
          <w:szCs w:val="28"/>
        </w:rPr>
        <w:t>rofil</w:t>
      </w:r>
      <w:r w:rsidR="00893992" w:rsidRPr="00AD6D69">
        <w:rPr>
          <w:rFonts w:ascii="Times New Roman Gras" w:eastAsiaTheme="majorEastAsia" w:hAnsi="Times New Roman Gras" w:cs="Times New Roman"/>
          <w:b/>
          <w:bCs/>
          <w:caps/>
          <w:color w:val="2E74B5" w:themeColor="accent1" w:themeShade="BF"/>
          <w:sz w:val="28"/>
          <w:szCs w:val="28"/>
        </w:rPr>
        <w:t xml:space="preserve"> de la biodiversité</w:t>
      </w:r>
      <w:bookmarkEnd w:id="98"/>
    </w:p>
    <w:p w14:paraId="5DBB0F98" w14:textId="77777777" w:rsidR="00CD0979" w:rsidRPr="008063D4" w:rsidRDefault="00CD0979"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6C522823" w14:textId="77777777" w:rsidR="00F52EF3" w:rsidRPr="008063D4" w:rsidRDefault="00F52EF3" w:rsidP="00555B83">
      <w:pPr>
        <w:autoSpaceDE w:val="0"/>
        <w:autoSpaceDN w:val="0"/>
        <w:adjustRightInd w:val="0"/>
        <w:spacing w:after="0" w:line="240" w:lineRule="auto"/>
        <w:outlineLvl w:val="1"/>
        <w:rPr>
          <w:rFonts w:ascii="Times New Roman" w:hAnsi="Times New Roman" w:cs="Times New Roman"/>
          <w:b/>
          <w:color w:val="000000"/>
          <w:sz w:val="24"/>
          <w:szCs w:val="24"/>
        </w:rPr>
      </w:pPr>
      <w:bookmarkStart w:id="99" w:name="_Toc533413775"/>
      <w:r w:rsidRPr="008063D4">
        <w:rPr>
          <w:rFonts w:ascii="Times New Roman" w:hAnsi="Times New Roman" w:cs="Times New Roman"/>
          <w:b/>
          <w:color w:val="000000"/>
          <w:sz w:val="24"/>
          <w:szCs w:val="24"/>
        </w:rPr>
        <w:t>7.1. Faits relatifs à la biodiversité</w:t>
      </w:r>
      <w:bookmarkEnd w:id="99"/>
    </w:p>
    <w:p w14:paraId="26DAB277"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2EFD3A80"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00" w:name="_Toc533413776"/>
      <w:r w:rsidRPr="008063D4">
        <w:rPr>
          <w:rFonts w:ascii="Times New Roman" w:hAnsi="Times New Roman" w:cs="Times New Roman"/>
          <w:b/>
          <w:color w:val="000000"/>
          <w:sz w:val="24"/>
          <w:szCs w:val="24"/>
        </w:rPr>
        <w:t>7.1.1. Statuts et tendance de la biodiversité, avantages de la biodiversité et des services écosystémiques compris</w:t>
      </w:r>
      <w:bookmarkEnd w:id="100"/>
    </w:p>
    <w:p w14:paraId="43BA0DFA" w14:textId="77777777" w:rsidR="00F52EF3" w:rsidRPr="008063D4" w:rsidRDefault="00F52EF3" w:rsidP="00254C9C">
      <w:pPr>
        <w:spacing w:after="0" w:line="240" w:lineRule="auto"/>
        <w:jc w:val="both"/>
        <w:rPr>
          <w:rFonts w:ascii="Times New Roman" w:hAnsi="Times New Roman" w:cs="Times New Roman"/>
          <w:sz w:val="24"/>
          <w:szCs w:val="24"/>
        </w:rPr>
      </w:pPr>
    </w:p>
    <w:p w14:paraId="53B7029D" w14:textId="6F60C0A2"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lang w:eastAsia="fr-FR"/>
        </w:rPr>
      </w:pPr>
      <w:r w:rsidRPr="008063D4">
        <w:rPr>
          <w:rFonts w:ascii="Times New Roman" w:hAnsi="Times New Roman" w:cs="Times New Roman"/>
          <w:sz w:val="24"/>
          <w:szCs w:val="24"/>
          <w:lang w:eastAsia="fr-FR"/>
        </w:rPr>
        <w:t>La Convention sur la diversité biologique définit la biodiversité comme étant « la variabilité des êtres vivants de toutes origines », acception qui comprend la diversité au sein des espèces et entre espèces, la diversité génétique, de même que la variabilité à d’autres niveaux d’organisation, par exemple entre écosystèmes et paysages (CAC, 2010). La conservation et l’utilisation durable de la biodiversité ne peut être effective qu’à travers la connaissanc</w:t>
      </w:r>
      <w:r w:rsidR="001B78B9">
        <w:rPr>
          <w:rFonts w:ascii="Times New Roman" w:hAnsi="Times New Roman" w:cs="Times New Roman"/>
          <w:sz w:val="24"/>
          <w:szCs w:val="24"/>
          <w:lang w:eastAsia="fr-FR"/>
        </w:rPr>
        <w:t xml:space="preserve">e de l’état de cette dernière. </w:t>
      </w:r>
      <w:r w:rsidRPr="008063D4">
        <w:rPr>
          <w:rFonts w:ascii="Times New Roman" w:hAnsi="Times New Roman" w:cs="Times New Roman"/>
          <w:sz w:val="24"/>
          <w:szCs w:val="24"/>
          <w:lang w:eastAsia="fr-FR"/>
        </w:rPr>
        <w:t xml:space="preserve">L’état de la biodiversité au Togo est perçu à travers ses composantes que sont les écosystèmes </w:t>
      </w:r>
      <w:r w:rsidR="00BE487B">
        <w:rPr>
          <w:rFonts w:ascii="Times New Roman" w:hAnsi="Times New Roman" w:cs="Times New Roman"/>
          <w:sz w:val="24"/>
          <w:szCs w:val="24"/>
          <w:lang w:eastAsia="fr-FR"/>
        </w:rPr>
        <w:t>(</w:t>
      </w:r>
      <w:r w:rsidRPr="008063D4">
        <w:rPr>
          <w:rFonts w:ascii="Times New Roman" w:hAnsi="Times New Roman" w:cs="Times New Roman"/>
          <w:sz w:val="24"/>
          <w:szCs w:val="24"/>
          <w:lang w:eastAsia="fr-FR"/>
        </w:rPr>
        <w:t xml:space="preserve">aquatiques  </w:t>
      </w:r>
      <w:r w:rsidR="00F72AC1">
        <w:rPr>
          <w:rFonts w:ascii="Times New Roman" w:hAnsi="Times New Roman" w:cs="Times New Roman"/>
          <w:sz w:val="24"/>
          <w:szCs w:val="24"/>
          <w:lang w:eastAsia="fr-FR"/>
        </w:rPr>
        <w:t xml:space="preserve">et </w:t>
      </w:r>
      <w:r w:rsidR="00BE487B">
        <w:rPr>
          <w:rFonts w:ascii="Times New Roman" w:hAnsi="Times New Roman" w:cs="Times New Roman"/>
          <w:sz w:val="24"/>
          <w:szCs w:val="24"/>
          <w:lang w:eastAsia="fr-FR"/>
        </w:rPr>
        <w:t>terrestres),</w:t>
      </w:r>
      <w:r w:rsidRPr="008063D4">
        <w:rPr>
          <w:rFonts w:ascii="Times New Roman" w:hAnsi="Times New Roman" w:cs="Times New Roman"/>
          <w:sz w:val="24"/>
          <w:szCs w:val="24"/>
          <w:lang w:eastAsia="fr-FR"/>
        </w:rPr>
        <w:t xml:space="preserve"> la flore et la faune, l’utilisation que la population en fait et les différentes pressions qu’elle subit.</w:t>
      </w:r>
    </w:p>
    <w:p w14:paraId="2EEC3639" w14:textId="77777777" w:rsidR="00F52EF3" w:rsidRPr="008063D4" w:rsidRDefault="00F52EF3" w:rsidP="00254C9C">
      <w:pPr>
        <w:autoSpaceDE w:val="0"/>
        <w:autoSpaceDN w:val="0"/>
        <w:adjustRightInd w:val="0"/>
        <w:spacing w:after="0" w:line="240" w:lineRule="auto"/>
        <w:rPr>
          <w:rFonts w:ascii="Times New Roman" w:hAnsi="Times New Roman" w:cs="Times New Roman"/>
          <w:sz w:val="24"/>
          <w:szCs w:val="24"/>
          <w:lang w:eastAsia="fr-FR"/>
        </w:rPr>
      </w:pPr>
    </w:p>
    <w:p w14:paraId="36E905D8" w14:textId="77777777" w:rsidR="00F52EF3" w:rsidRPr="008063D4" w:rsidRDefault="00F52EF3" w:rsidP="00254C9C">
      <w:pPr>
        <w:autoSpaceDE w:val="0"/>
        <w:autoSpaceDN w:val="0"/>
        <w:adjustRightInd w:val="0"/>
        <w:spacing w:after="0" w:line="240" w:lineRule="auto"/>
        <w:rPr>
          <w:rFonts w:ascii="Times New Roman" w:hAnsi="Times New Roman" w:cs="Times New Roman"/>
          <w:b/>
          <w:sz w:val="24"/>
          <w:szCs w:val="24"/>
          <w:lang w:eastAsia="fr-FR"/>
        </w:rPr>
      </w:pPr>
      <w:r w:rsidRPr="008063D4">
        <w:rPr>
          <w:rFonts w:ascii="Times New Roman" w:hAnsi="Times New Roman" w:cs="Times New Roman"/>
          <w:b/>
          <w:sz w:val="24"/>
          <w:szCs w:val="24"/>
          <w:lang w:eastAsia="fr-FR"/>
        </w:rPr>
        <w:t>7.1.1.1. Etat et tendance de la diversité biologique au Togo</w:t>
      </w:r>
    </w:p>
    <w:p w14:paraId="249200D8" w14:textId="77777777" w:rsidR="00F52EF3" w:rsidRPr="008063D4" w:rsidRDefault="00F52EF3" w:rsidP="00254C9C">
      <w:pPr>
        <w:autoSpaceDE w:val="0"/>
        <w:autoSpaceDN w:val="0"/>
        <w:adjustRightInd w:val="0"/>
        <w:spacing w:after="0" w:line="240" w:lineRule="auto"/>
        <w:rPr>
          <w:rFonts w:ascii="Times New Roman" w:hAnsi="Times New Roman" w:cs="Times New Roman"/>
          <w:sz w:val="24"/>
          <w:szCs w:val="24"/>
          <w:lang w:eastAsia="fr-FR"/>
        </w:rPr>
      </w:pPr>
    </w:p>
    <w:p w14:paraId="10371BFD" w14:textId="77777777" w:rsidR="00F52EF3" w:rsidRPr="008063D4" w:rsidRDefault="00EA4B21" w:rsidP="00254C9C">
      <w:pPr>
        <w:autoSpaceDE w:val="0"/>
        <w:autoSpaceDN w:val="0"/>
        <w:adjustRightInd w:val="0"/>
        <w:spacing w:after="0" w:line="240" w:lineRule="auto"/>
        <w:rPr>
          <w:rFonts w:ascii="Times New Roman" w:hAnsi="Times New Roman" w:cs="Times New Roman"/>
          <w:b/>
          <w:sz w:val="24"/>
          <w:szCs w:val="24"/>
          <w:lang w:eastAsia="fr-FR"/>
        </w:rPr>
      </w:pPr>
      <w:r>
        <w:rPr>
          <w:rFonts w:ascii="Times New Roman" w:hAnsi="Times New Roman" w:cs="Times New Roman"/>
          <w:b/>
          <w:sz w:val="24"/>
          <w:szCs w:val="24"/>
          <w:lang w:eastAsia="fr-FR"/>
        </w:rPr>
        <w:t>a)</w:t>
      </w:r>
      <w:r w:rsidR="00F52EF3" w:rsidRPr="008063D4">
        <w:rPr>
          <w:rFonts w:ascii="Times New Roman" w:hAnsi="Times New Roman" w:cs="Times New Roman"/>
          <w:b/>
          <w:sz w:val="24"/>
          <w:szCs w:val="24"/>
          <w:lang w:eastAsia="fr-FR"/>
        </w:rPr>
        <w:t xml:space="preserve"> Diversité des écosystèmes</w:t>
      </w:r>
    </w:p>
    <w:p w14:paraId="2D397142" w14:textId="77777777" w:rsidR="00F52EF3" w:rsidRPr="008063D4" w:rsidRDefault="00F52EF3" w:rsidP="00254C9C">
      <w:pPr>
        <w:autoSpaceDE w:val="0"/>
        <w:autoSpaceDN w:val="0"/>
        <w:adjustRightInd w:val="0"/>
        <w:spacing w:after="0" w:line="240" w:lineRule="auto"/>
        <w:rPr>
          <w:rFonts w:ascii="Times New Roman" w:hAnsi="Times New Roman" w:cs="Times New Roman"/>
          <w:sz w:val="24"/>
          <w:szCs w:val="24"/>
          <w:lang w:eastAsia="fr-FR"/>
        </w:rPr>
      </w:pPr>
    </w:p>
    <w:p w14:paraId="0FBABB3C" w14:textId="2AF6295D"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lang w:eastAsia="fr-FR"/>
        </w:rPr>
        <w:t>Les écosystèmes togolais sont très divers</w:t>
      </w:r>
      <w:r w:rsidRPr="008063D4">
        <w:rPr>
          <w:rFonts w:ascii="Times New Roman" w:hAnsi="Times New Roman" w:cs="Times New Roman"/>
          <w:sz w:val="24"/>
          <w:szCs w:val="24"/>
        </w:rPr>
        <w:t xml:space="preserve"> et sont répartis en écosystèmes terrestres</w:t>
      </w:r>
      <w:r w:rsidR="001A3677">
        <w:rPr>
          <w:rFonts w:ascii="Times New Roman" w:hAnsi="Times New Roman" w:cs="Times New Roman"/>
          <w:sz w:val="24"/>
          <w:szCs w:val="24"/>
        </w:rPr>
        <w:t xml:space="preserve"> et </w:t>
      </w:r>
      <w:r w:rsidRPr="008063D4">
        <w:rPr>
          <w:rFonts w:ascii="Times New Roman" w:hAnsi="Times New Roman" w:cs="Times New Roman"/>
          <w:sz w:val="24"/>
          <w:szCs w:val="24"/>
        </w:rPr>
        <w:t xml:space="preserve"> aquatiques.</w:t>
      </w:r>
    </w:p>
    <w:p w14:paraId="09ADA080" w14:textId="77777777" w:rsidR="001B78B9" w:rsidRPr="00DB5C3A" w:rsidRDefault="001B78B9" w:rsidP="00254C9C">
      <w:pPr>
        <w:autoSpaceDE w:val="0"/>
        <w:autoSpaceDN w:val="0"/>
        <w:adjustRightInd w:val="0"/>
        <w:spacing w:after="0" w:line="240" w:lineRule="auto"/>
        <w:rPr>
          <w:rFonts w:ascii="Times New Roman" w:hAnsi="Times New Roman" w:cs="Times New Roman"/>
          <w:sz w:val="24"/>
          <w:szCs w:val="24"/>
        </w:rPr>
      </w:pPr>
    </w:p>
    <w:p w14:paraId="64F30EB6" w14:textId="77777777" w:rsidR="00F52EF3" w:rsidRPr="00EA4B21" w:rsidRDefault="00EA4B21" w:rsidP="00254C9C">
      <w:pPr>
        <w:autoSpaceDE w:val="0"/>
        <w:autoSpaceDN w:val="0"/>
        <w:adjustRightInd w:val="0"/>
        <w:spacing w:after="0" w:line="240" w:lineRule="auto"/>
        <w:rPr>
          <w:rFonts w:ascii="Times New Roman" w:hAnsi="Times New Roman" w:cs="Times New Roman"/>
          <w:b/>
          <w:i/>
          <w:sz w:val="24"/>
          <w:szCs w:val="24"/>
        </w:rPr>
      </w:pPr>
      <w:r w:rsidRPr="00EA4B21">
        <w:rPr>
          <w:rFonts w:ascii="Times New Roman" w:hAnsi="Times New Roman" w:cs="Times New Roman"/>
          <w:b/>
          <w:i/>
          <w:sz w:val="24"/>
          <w:szCs w:val="24"/>
        </w:rPr>
        <w:t>E</w:t>
      </w:r>
      <w:r w:rsidR="00F52EF3" w:rsidRPr="00EA4B21">
        <w:rPr>
          <w:rFonts w:ascii="Times New Roman" w:hAnsi="Times New Roman" w:cs="Times New Roman"/>
          <w:b/>
          <w:i/>
          <w:sz w:val="24"/>
          <w:szCs w:val="24"/>
        </w:rPr>
        <w:t>cosystèmes terrestres</w:t>
      </w:r>
    </w:p>
    <w:p w14:paraId="5B884F81" w14:textId="77777777" w:rsidR="001B78B9" w:rsidRDefault="001B78B9" w:rsidP="00254C9C">
      <w:pPr>
        <w:autoSpaceDE w:val="0"/>
        <w:autoSpaceDN w:val="0"/>
        <w:adjustRightInd w:val="0"/>
        <w:spacing w:after="0" w:line="240" w:lineRule="auto"/>
        <w:rPr>
          <w:rFonts w:ascii="Times New Roman" w:hAnsi="Times New Roman" w:cs="Times New Roman"/>
          <w:sz w:val="24"/>
          <w:szCs w:val="24"/>
          <w:lang w:eastAsia="fr-FR"/>
        </w:rPr>
      </w:pPr>
    </w:p>
    <w:p w14:paraId="175EFD94" w14:textId="77777777" w:rsidR="001B78B9" w:rsidRDefault="00F52EF3" w:rsidP="00254C9C">
      <w:pPr>
        <w:autoSpaceDE w:val="0"/>
        <w:autoSpaceDN w:val="0"/>
        <w:adjustRightInd w:val="0"/>
        <w:spacing w:after="0" w:line="240" w:lineRule="auto"/>
        <w:rPr>
          <w:rFonts w:ascii="Times New Roman" w:hAnsi="Times New Roman" w:cs="Times New Roman"/>
          <w:sz w:val="24"/>
          <w:szCs w:val="24"/>
          <w:lang w:eastAsia="fr-FR"/>
        </w:rPr>
      </w:pPr>
      <w:r w:rsidRPr="008063D4">
        <w:rPr>
          <w:rFonts w:ascii="Times New Roman" w:hAnsi="Times New Roman" w:cs="Times New Roman"/>
          <w:sz w:val="24"/>
          <w:szCs w:val="24"/>
          <w:lang w:eastAsia="fr-FR"/>
        </w:rPr>
        <w:t>Les écosystème</w:t>
      </w:r>
      <w:r w:rsidR="001B78B9">
        <w:rPr>
          <w:rFonts w:ascii="Times New Roman" w:hAnsi="Times New Roman" w:cs="Times New Roman"/>
          <w:sz w:val="24"/>
          <w:szCs w:val="24"/>
          <w:lang w:eastAsia="fr-FR"/>
        </w:rPr>
        <w:t xml:space="preserve">s terrestres sont constitués de : </w:t>
      </w:r>
    </w:p>
    <w:p w14:paraId="3232D7F4" w14:textId="7D707C23" w:rsidR="001B78B9" w:rsidRPr="001B78B9"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Forêts semi-décidues</w:t>
      </w:r>
      <w:r w:rsidR="001B78B9">
        <w:rPr>
          <w:rFonts w:ascii="Times New Roman" w:hAnsi="Times New Roman" w:cs="Times New Roman"/>
          <w:b/>
          <w:sz w:val="24"/>
          <w:szCs w:val="24"/>
        </w:rPr>
        <w:t xml:space="preserve"> : </w:t>
      </w:r>
      <w:r w:rsidR="001B78B9" w:rsidRPr="001B78B9">
        <w:rPr>
          <w:rFonts w:ascii="Times New Roman" w:hAnsi="Times New Roman" w:cs="Times New Roman"/>
          <w:sz w:val="24"/>
          <w:szCs w:val="24"/>
        </w:rPr>
        <w:t>e</w:t>
      </w:r>
      <w:r w:rsidRPr="001B78B9">
        <w:rPr>
          <w:rFonts w:ascii="Times New Roman" w:hAnsi="Times New Roman" w:cs="Times New Roman"/>
          <w:color w:val="000000"/>
          <w:sz w:val="24"/>
          <w:szCs w:val="24"/>
          <w:lang w:eastAsia="fr-FR"/>
        </w:rPr>
        <w:t xml:space="preserve">lles se localisent dans la zone écologique IV (Ern, 1979). Dans la partie septentrionale de la zone (Adélé), on distingue des forêts à Meliaceae et Sapotaceae caractérisées par les espèces suivantes: </w:t>
      </w:r>
      <w:r w:rsidRPr="001B78B9">
        <w:rPr>
          <w:rFonts w:ascii="Times New Roman" w:hAnsi="Times New Roman" w:cs="Times New Roman"/>
          <w:i/>
          <w:color w:val="000000"/>
          <w:sz w:val="24"/>
          <w:szCs w:val="24"/>
          <w:lang w:eastAsia="fr-FR"/>
        </w:rPr>
        <w:t>Sterculia tragacantha, Cola gigantea, Manilkara obovata, M. multinervis, Aningera altissima.</w:t>
      </w:r>
      <w:r w:rsidRPr="001B78B9">
        <w:rPr>
          <w:rFonts w:ascii="Times New Roman" w:hAnsi="Times New Roman" w:cs="Times New Roman"/>
          <w:color w:val="000000"/>
          <w:sz w:val="24"/>
          <w:szCs w:val="24"/>
          <w:lang w:eastAsia="fr-FR"/>
        </w:rPr>
        <w:t xml:space="preserve"> Dans la partie méridionale, on distingue plusieurs types de forêts telles que les forêts à </w:t>
      </w:r>
      <w:r w:rsidRPr="001B78B9">
        <w:rPr>
          <w:rFonts w:ascii="Times New Roman" w:hAnsi="Times New Roman" w:cs="Times New Roman"/>
          <w:i/>
          <w:color w:val="000000"/>
          <w:sz w:val="24"/>
          <w:szCs w:val="24"/>
          <w:lang w:eastAsia="fr-FR"/>
        </w:rPr>
        <w:t>Celtis</w:t>
      </w:r>
      <w:r w:rsidRPr="001B78B9">
        <w:rPr>
          <w:rFonts w:ascii="Times New Roman" w:hAnsi="Times New Roman" w:cs="Times New Roman"/>
          <w:color w:val="000000"/>
          <w:sz w:val="24"/>
          <w:szCs w:val="24"/>
          <w:lang w:eastAsia="fr-FR"/>
        </w:rPr>
        <w:t xml:space="preserve"> ; les forêts à </w:t>
      </w:r>
      <w:r w:rsidRPr="001B78B9">
        <w:rPr>
          <w:rFonts w:ascii="Times New Roman" w:hAnsi="Times New Roman" w:cs="Times New Roman"/>
          <w:i/>
          <w:color w:val="000000"/>
          <w:sz w:val="24"/>
          <w:szCs w:val="24"/>
          <w:lang w:eastAsia="fr-FR"/>
        </w:rPr>
        <w:t>Terminalia superba</w:t>
      </w:r>
      <w:r w:rsidRPr="001B78B9">
        <w:rPr>
          <w:rFonts w:ascii="Times New Roman" w:hAnsi="Times New Roman" w:cs="Times New Roman"/>
          <w:color w:val="000000"/>
          <w:sz w:val="24"/>
          <w:szCs w:val="24"/>
          <w:lang w:eastAsia="fr-FR"/>
        </w:rPr>
        <w:t xml:space="preserve"> ; les forêts à Meliaceae et Moraceae et les forêts à </w:t>
      </w:r>
      <w:r w:rsidRPr="001B78B9">
        <w:rPr>
          <w:rFonts w:ascii="Times New Roman" w:hAnsi="Times New Roman" w:cs="Times New Roman"/>
          <w:i/>
          <w:color w:val="000000"/>
          <w:sz w:val="24"/>
          <w:szCs w:val="24"/>
          <w:lang w:eastAsia="fr-FR"/>
        </w:rPr>
        <w:t>Parinari excelsa</w:t>
      </w:r>
      <w:r w:rsidRPr="001B78B9">
        <w:rPr>
          <w:rFonts w:ascii="Times New Roman" w:hAnsi="Times New Roman" w:cs="Times New Roman"/>
          <w:color w:val="000000"/>
          <w:sz w:val="24"/>
          <w:szCs w:val="24"/>
          <w:lang w:eastAsia="fr-FR"/>
        </w:rPr>
        <w:t xml:space="preserve">, </w:t>
      </w:r>
      <w:r w:rsidRPr="001B78B9">
        <w:rPr>
          <w:rFonts w:ascii="Times New Roman" w:hAnsi="Times New Roman" w:cs="Times New Roman"/>
          <w:i/>
          <w:color w:val="000000"/>
          <w:sz w:val="24"/>
          <w:szCs w:val="24"/>
          <w:lang w:eastAsia="fr-FR"/>
        </w:rPr>
        <w:t>P. glabra</w:t>
      </w:r>
      <w:r w:rsidRPr="001B78B9">
        <w:rPr>
          <w:rFonts w:ascii="Times New Roman" w:hAnsi="Times New Roman" w:cs="Times New Roman"/>
          <w:color w:val="000000"/>
          <w:sz w:val="24"/>
          <w:szCs w:val="24"/>
          <w:lang w:eastAsia="fr-FR"/>
        </w:rPr>
        <w:t xml:space="preserve"> et Polyscias fulva. Selon MERF (2014), le sous-bois des forêts semi-décidues de la zone forestière du pays est aujourd’hui occupé presque totalement par des cultures de rente (caféiers et cacaoyers) qui contribuent à la dégradation de ces écosystèmes. Dans les îlots reliques, le sous-bois est dominé par </w:t>
      </w:r>
      <w:r w:rsidRPr="001B78B9">
        <w:rPr>
          <w:rFonts w:ascii="Times New Roman" w:hAnsi="Times New Roman" w:cs="Times New Roman"/>
          <w:i/>
          <w:color w:val="000000"/>
          <w:sz w:val="24"/>
          <w:szCs w:val="24"/>
          <w:lang w:eastAsia="fr-FR"/>
        </w:rPr>
        <w:t>Piper umbellatum, Dicranolepis grandiflora, Lea guineensis, Rothmania longiflora, Pteris togoensis</w:t>
      </w:r>
      <w:r w:rsidR="00933BB6">
        <w:rPr>
          <w:rFonts w:ascii="Times New Roman" w:hAnsi="Times New Roman" w:cs="Times New Roman"/>
          <w:i/>
          <w:color w:val="000000"/>
          <w:sz w:val="24"/>
          <w:szCs w:val="24"/>
          <w:lang w:eastAsia="fr-FR"/>
        </w:rPr>
        <w:t>,</w:t>
      </w:r>
      <w:r w:rsidRPr="001B78B9">
        <w:rPr>
          <w:rFonts w:ascii="Times New Roman" w:hAnsi="Times New Roman" w:cs="Times New Roman"/>
          <w:color w:val="000000"/>
          <w:sz w:val="24"/>
          <w:szCs w:val="24"/>
          <w:lang w:eastAsia="fr-FR"/>
        </w:rPr>
        <w:t xml:space="preserve"> etc. Sous la forte pression anthropique, ces forêts se transforment en formations graminéennes continues, régulièrement parcouru</w:t>
      </w:r>
      <w:r w:rsidR="00933BB6">
        <w:rPr>
          <w:rFonts w:ascii="Times New Roman" w:hAnsi="Times New Roman" w:cs="Times New Roman"/>
          <w:color w:val="000000"/>
          <w:sz w:val="24"/>
          <w:szCs w:val="24"/>
          <w:lang w:eastAsia="fr-FR"/>
        </w:rPr>
        <w:t>e</w:t>
      </w:r>
      <w:r w:rsidRPr="001B78B9">
        <w:rPr>
          <w:rFonts w:ascii="Times New Roman" w:hAnsi="Times New Roman" w:cs="Times New Roman"/>
          <w:color w:val="000000"/>
          <w:sz w:val="24"/>
          <w:szCs w:val="24"/>
          <w:lang w:eastAsia="fr-FR"/>
        </w:rPr>
        <w:t xml:space="preserve">s par les feux de végétation. Ailleurs, d’autres forêts de type semi-décidu ont été signalées, notamment les vestiges de forêts littorales sur les anciennes dunes marines ou les variantes sèches de forêts semi-décidues sur la terre de barre et sur socle granito-gneissique dans la réserve de faune de Togodo. Ces formations sont aussi sous forme des forêts sacrées renfermant </w:t>
      </w:r>
      <w:r w:rsidRPr="001B78B9">
        <w:rPr>
          <w:rFonts w:ascii="Times New Roman" w:hAnsi="Times New Roman" w:cs="Times New Roman"/>
          <w:i/>
          <w:color w:val="000000"/>
          <w:sz w:val="24"/>
          <w:szCs w:val="24"/>
          <w:lang w:eastAsia="fr-FR"/>
        </w:rPr>
        <w:t>Milicia excelsa</w:t>
      </w:r>
      <w:r w:rsidRPr="001B78B9">
        <w:rPr>
          <w:rFonts w:ascii="Times New Roman" w:hAnsi="Times New Roman" w:cs="Times New Roman"/>
          <w:color w:val="000000"/>
          <w:sz w:val="24"/>
          <w:szCs w:val="24"/>
          <w:lang w:eastAsia="fr-FR"/>
        </w:rPr>
        <w:t xml:space="preserve"> et </w:t>
      </w:r>
      <w:r w:rsidRPr="001B78B9">
        <w:rPr>
          <w:rFonts w:ascii="Times New Roman" w:hAnsi="Times New Roman" w:cs="Times New Roman"/>
          <w:i/>
          <w:color w:val="000000"/>
          <w:sz w:val="24"/>
          <w:szCs w:val="24"/>
          <w:lang w:eastAsia="fr-FR"/>
        </w:rPr>
        <w:t>Antiaris africana,</w:t>
      </w:r>
      <w:r w:rsidRPr="001B78B9">
        <w:rPr>
          <w:rFonts w:ascii="Times New Roman" w:hAnsi="Times New Roman" w:cs="Times New Roman"/>
          <w:color w:val="000000"/>
          <w:sz w:val="24"/>
          <w:szCs w:val="24"/>
          <w:lang w:eastAsia="fr-FR"/>
        </w:rPr>
        <w:t xml:space="preserve"> espèces souvent vénérées.</w:t>
      </w:r>
    </w:p>
    <w:p w14:paraId="63938687" w14:textId="4E91B05D" w:rsidR="001B78B9" w:rsidRPr="001B78B9"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Forêts sèches</w:t>
      </w:r>
      <w:r w:rsidR="001B78B9">
        <w:rPr>
          <w:rFonts w:ascii="Times New Roman" w:hAnsi="Times New Roman" w:cs="Times New Roman"/>
          <w:b/>
          <w:sz w:val="24"/>
          <w:szCs w:val="24"/>
        </w:rPr>
        <w:t xml:space="preserve"> : </w:t>
      </w:r>
      <w:r w:rsidR="001B78B9" w:rsidRPr="001B78B9">
        <w:rPr>
          <w:rFonts w:ascii="Times New Roman" w:hAnsi="Times New Roman" w:cs="Times New Roman"/>
          <w:sz w:val="24"/>
          <w:szCs w:val="24"/>
        </w:rPr>
        <w:t>l</w:t>
      </w:r>
      <w:r w:rsidRPr="001B78B9">
        <w:rPr>
          <w:rFonts w:ascii="Times New Roman" w:hAnsi="Times New Roman" w:cs="Times New Roman"/>
          <w:sz w:val="24"/>
          <w:szCs w:val="24"/>
        </w:rPr>
        <w:t xml:space="preserve">es forêts denses sèches s’observent dans les zones écologiques I, II et III. Les formations les plus spectaculaires se caractérisent par des peuplements purs et denses à </w:t>
      </w:r>
      <w:r w:rsidRPr="001B78B9">
        <w:rPr>
          <w:rFonts w:ascii="Times New Roman" w:hAnsi="Times New Roman" w:cs="Times New Roman"/>
          <w:i/>
          <w:sz w:val="24"/>
          <w:szCs w:val="24"/>
        </w:rPr>
        <w:t>Anogeissus leiocarpa</w:t>
      </w:r>
      <w:r w:rsidRPr="001B78B9">
        <w:rPr>
          <w:rFonts w:ascii="Times New Roman" w:hAnsi="Times New Roman" w:cs="Times New Roman"/>
          <w:sz w:val="24"/>
          <w:szCs w:val="24"/>
        </w:rPr>
        <w:t xml:space="preserve"> dans les forêts </w:t>
      </w:r>
      <w:r w:rsidR="00933BB6">
        <w:rPr>
          <w:rFonts w:ascii="Times New Roman" w:hAnsi="Times New Roman" w:cs="Times New Roman"/>
          <w:sz w:val="24"/>
          <w:szCs w:val="24"/>
        </w:rPr>
        <w:t xml:space="preserve">classées d’Abdoulaye, de Kpessi, </w:t>
      </w:r>
      <w:r w:rsidRPr="001B78B9">
        <w:rPr>
          <w:rFonts w:ascii="Times New Roman" w:hAnsi="Times New Roman" w:cs="Times New Roman"/>
          <w:sz w:val="24"/>
          <w:szCs w:val="24"/>
        </w:rPr>
        <w:t xml:space="preserve">dans le Parc Oti-Kéran, ou à dominance des espèces telles que </w:t>
      </w:r>
      <w:r w:rsidRPr="001B78B9">
        <w:rPr>
          <w:rFonts w:ascii="Times New Roman" w:hAnsi="Times New Roman" w:cs="Times New Roman"/>
          <w:i/>
          <w:sz w:val="24"/>
          <w:szCs w:val="24"/>
        </w:rPr>
        <w:t>Monotes kerstingii, Khaya grandifliola, Aubrevillea kestingii, Parinari glabbra, Dialium guineense et Pseudospondias microcarpa, Cola gigantea</w:t>
      </w:r>
      <w:r w:rsidRPr="001B78B9">
        <w:rPr>
          <w:rFonts w:ascii="Times New Roman" w:hAnsi="Times New Roman" w:cs="Times New Roman"/>
          <w:sz w:val="24"/>
          <w:szCs w:val="24"/>
        </w:rPr>
        <w:t xml:space="preserve"> et </w:t>
      </w:r>
      <w:r w:rsidRPr="001B78B9">
        <w:rPr>
          <w:rFonts w:ascii="Times New Roman" w:hAnsi="Times New Roman" w:cs="Times New Roman"/>
          <w:i/>
          <w:sz w:val="24"/>
          <w:szCs w:val="24"/>
        </w:rPr>
        <w:t>Cola millenii</w:t>
      </w:r>
      <w:r w:rsidRPr="001B78B9">
        <w:rPr>
          <w:rFonts w:ascii="Times New Roman" w:hAnsi="Times New Roman" w:cs="Times New Roman"/>
          <w:sz w:val="24"/>
          <w:szCs w:val="24"/>
        </w:rPr>
        <w:t xml:space="preserve"> dans le Parc de Fazao-Malfakassa.</w:t>
      </w:r>
    </w:p>
    <w:p w14:paraId="2D9CCF8C" w14:textId="77777777" w:rsidR="001B78B9" w:rsidRPr="001B78B9"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Forêts claires</w:t>
      </w:r>
      <w:r w:rsidR="001B78B9">
        <w:rPr>
          <w:rFonts w:ascii="Times New Roman" w:hAnsi="Times New Roman" w:cs="Times New Roman"/>
          <w:b/>
          <w:sz w:val="24"/>
          <w:szCs w:val="24"/>
        </w:rPr>
        <w:t> :</w:t>
      </w:r>
      <w:r w:rsidR="001B78B9">
        <w:rPr>
          <w:rFonts w:ascii="Times New Roman" w:hAnsi="Times New Roman" w:cs="Times New Roman"/>
          <w:sz w:val="24"/>
          <w:szCs w:val="24"/>
        </w:rPr>
        <w:t xml:space="preserve"> c</w:t>
      </w:r>
      <w:r w:rsidRPr="001B78B9">
        <w:rPr>
          <w:rFonts w:ascii="Times New Roman" w:hAnsi="Times New Roman" w:cs="Times New Roman"/>
          <w:sz w:val="24"/>
          <w:szCs w:val="24"/>
        </w:rPr>
        <w:t xml:space="preserve">e sont des formations forestières dont le sous-bois est occupé par une strate graminéenne, consumée chaque année par les feux de végétation. Ces forêts sont généralement installées sur les flancs des collines dans les zones écologiques I, II, III et IV. Elles se caractérisent par des peuplements denses à </w:t>
      </w:r>
      <w:r w:rsidRPr="001B78B9">
        <w:rPr>
          <w:rFonts w:ascii="Times New Roman" w:hAnsi="Times New Roman" w:cs="Times New Roman"/>
          <w:i/>
          <w:sz w:val="24"/>
          <w:szCs w:val="24"/>
        </w:rPr>
        <w:t>Isoberlinia doka et/ou I. tomentosa, ou à Anogeissus leoicarpa</w:t>
      </w:r>
      <w:r w:rsidRPr="001B78B9">
        <w:rPr>
          <w:rFonts w:ascii="Times New Roman" w:hAnsi="Times New Roman" w:cs="Times New Roman"/>
          <w:sz w:val="24"/>
          <w:szCs w:val="24"/>
        </w:rPr>
        <w:t xml:space="preserve"> ou à </w:t>
      </w:r>
      <w:r w:rsidRPr="001B78B9">
        <w:rPr>
          <w:rFonts w:ascii="Times New Roman" w:hAnsi="Times New Roman" w:cs="Times New Roman"/>
          <w:i/>
          <w:sz w:val="24"/>
          <w:szCs w:val="24"/>
        </w:rPr>
        <w:t>Uapaca togoensis</w:t>
      </w:r>
      <w:r w:rsidRPr="001B78B9">
        <w:rPr>
          <w:rFonts w:ascii="Times New Roman" w:hAnsi="Times New Roman" w:cs="Times New Roman"/>
          <w:sz w:val="24"/>
          <w:szCs w:val="24"/>
        </w:rPr>
        <w:t xml:space="preserve"> ou encore à </w:t>
      </w:r>
      <w:r w:rsidRPr="001B78B9">
        <w:rPr>
          <w:rFonts w:ascii="Times New Roman" w:hAnsi="Times New Roman" w:cs="Times New Roman"/>
          <w:i/>
          <w:sz w:val="24"/>
          <w:szCs w:val="24"/>
        </w:rPr>
        <w:t>Monotes kerstingii.</w:t>
      </w:r>
    </w:p>
    <w:p w14:paraId="73D2F3EA" w14:textId="77777777" w:rsidR="001B78B9" w:rsidRPr="001B78B9"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Forêts galeries et ripicoles</w:t>
      </w:r>
      <w:r w:rsidR="001B78B9">
        <w:rPr>
          <w:rFonts w:ascii="Times New Roman" w:hAnsi="Times New Roman" w:cs="Times New Roman"/>
          <w:b/>
          <w:sz w:val="24"/>
          <w:szCs w:val="24"/>
        </w:rPr>
        <w:t xml:space="preserve"> : </w:t>
      </w:r>
      <w:r w:rsidR="001B78B9" w:rsidRPr="001B78B9">
        <w:rPr>
          <w:rFonts w:ascii="Times New Roman" w:hAnsi="Times New Roman" w:cs="Times New Roman"/>
          <w:sz w:val="24"/>
          <w:szCs w:val="24"/>
        </w:rPr>
        <w:t>l</w:t>
      </w:r>
      <w:r w:rsidRPr="001B78B9">
        <w:rPr>
          <w:rFonts w:ascii="Times New Roman" w:hAnsi="Times New Roman" w:cs="Times New Roman"/>
          <w:sz w:val="24"/>
          <w:szCs w:val="24"/>
        </w:rPr>
        <w:t xml:space="preserve">e pays est parcouru par un réseau hydrographique dense le long duquel se développent des forêts riveraines. Les forêts galeries ou forêts ripicoles sont des bandes de formations forestières le long des cours d’eau traversant les zones de savanes ou de forêts. Le cortège floristique de ces forêts comprend </w:t>
      </w:r>
      <w:r w:rsidRPr="001B78B9">
        <w:rPr>
          <w:rFonts w:ascii="Times New Roman" w:hAnsi="Times New Roman" w:cs="Times New Roman"/>
          <w:i/>
          <w:sz w:val="24"/>
          <w:szCs w:val="24"/>
        </w:rPr>
        <w:t xml:space="preserve">Berlinia grandiflora, Uapaca </w:t>
      </w:r>
      <w:r w:rsidRPr="001B78B9">
        <w:rPr>
          <w:rFonts w:ascii="Times New Roman" w:hAnsi="Times New Roman" w:cs="Times New Roman"/>
          <w:sz w:val="24"/>
          <w:szCs w:val="24"/>
        </w:rPr>
        <w:t>spp</w:t>
      </w:r>
      <w:r w:rsidRPr="001B78B9">
        <w:rPr>
          <w:rFonts w:ascii="Times New Roman" w:hAnsi="Times New Roman" w:cs="Times New Roman"/>
          <w:i/>
          <w:sz w:val="24"/>
          <w:szCs w:val="24"/>
        </w:rPr>
        <w:t>., Pentadesma butyracea, Erythrophleum suaveolens, Canarium schweinfurthii</w:t>
      </w:r>
      <w:r w:rsidRPr="001B78B9">
        <w:rPr>
          <w:rFonts w:ascii="Times New Roman" w:hAnsi="Times New Roman" w:cs="Times New Roman"/>
          <w:sz w:val="24"/>
          <w:szCs w:val="24"/>
        </w:rPr>
        <w:t xml:space="preserve">, etc. On distingue aussi des forêts marécageuses caractérisées par </w:t>
      </w:r>
      <w:r w:rsidRPr="001B78B9">
        <w:rPr>
          <w:rFonts w:ascii="Times New Roman" w:hAnsi="Times New Roman" w:cs="Times New Roman"/>
          <w:i/>
          <w:sz w:val="24"/>
          <w:szCs w:val="24"/>
        </w:rPr>
        <w:t xml:space="preserve">Symphonia globulifera, Mitragyna stipulosa, Raphia hookeri, R. sudanica, </w:t>
      </w:r>
      <w:r w:rsidRPr="001B78B9">
        <w:rPr>
          <w:rFonts w:ascii="Times New Roman" w:hAnsi="Times New Roman" w:cs="Times New Roman"/>
          <w:sz w:val="24"/>
          <w:szCs w:val="24"/>
        </w:rPr>
        <w:t>etc.</w:t>
      </w:r>
    </w:p>
    <w:p w14:paraId="7EE451D6" w14:textId="5F574F90" w:rsidR="001B78B9" w:rsidRPr="001B78B9"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Savanes</w:t>
      </w:r>
      <w:r w:rsidR="001B78B9">
        <w:rPr>
          <w:rFonts w:ascii="Times New Roman" w:hAnsi="Times New Roman" w:cs="Times New Roman"/>
          <w:b/>
          <w:sz w:val="24"/>
          <w:szCs w:val="24"/>
        </w:rPr>
        <w:t> :</w:t>
      </w:r>
      <w:r w:rsidR="00933BB6">
        <w:rPr>
          <w:rFonts w:ascii="Times New Roman" w:hAnsi="Times New Roman" w:cs="Times New Roman"/>
          <w:b/>
          <w:sz w:val="24"/>
          <w:szCs w:val="24"/>
        </w:rPr>
        <w:t xml:space="preserve"> </w:t>
      </w:r>
      <w:r w:rsidRPr="001B78B9">
        <w:rPr>
          <w:rFonts w:ascii="Times New Roman" w:hAnsi="Times New Roman" w:cs="Times New Roman"/>
          <w:color w:val="000000"/>
          <w:sz w:val="24"/>
          <w:szCs w:val="24"/>
          <w:lang w:eastAsia="fr-FR"/>
        </w:rPr>
        <w:t xml:space="preserve">on distingue (i) </w:t>
      </w:r>
      <w:r w:rsidRPr="001B78B9">
        <w:rPr>
          <w:rFonts w:ascii="Times New Roman" w:hAnsi="Times New Roman" w:cs="Times New Roman"/>
          <w:bCs/>
          <w:color w:val="000000"/>
          <w:sz w:val="24"/>
          <w:szCs w:val="24"/>
          <w:lang w:eastAsia="fr-FR"/>
        </w:rPr>
        <w:t xml:space="preserve">les savanes guinéennes de montagnes </w:t>
      </w:r>
      <w:r w:rsidRPr="001B78B9">
        <w:rPr>
          <w:rFonts w:ascii="Times New Roman" w:hAnsi="Times New Roman" w:cs="Times New Roman"/>
          <w:color w:val="000000"/>
          <w:sz w:val="24"/>
          <w:szCs w:val="24"/>
          <w:lang w:eastAsia="fr-FR"/>
        </w:rPr>
        <w:t xml:space="preserve">caractérisées par </w:t>
      </w:r>
      <w:r w:rsidRPr="001B78B9">
        <w:rPr>
          <w:rFonts w:ascii="Times New Roman" w:hAnsi="Times New Roman" w:cs="Times New Roman"/>
          <w:i/>
          <w:color w:val="000000"/>
          <w:sz w:val="24"/>
          <w:szCs w:val="24"/>
          <w:lang w:eastAsia="fr-FR"/>
        </w:rPr>
        <w:t>Lophira lanceolata</w:t>
      </w:r>
      <w:r w:rsidRPr="001B78B9">
        <w:rPr>
          <w:rFonts w:ascii="Times New Roman" w:hAnsi="Times New Roman" w:cs="Times New Roman"/>
          <w:color w:val="000000"/>
          <w:sz w:val="24"/>
          <w:szCs w:val="24"/>
          <w:lang w:eastAsia="fr-FR"/>
        </w:rPr>
        <w:t xml:space="preserve"> sur sommet des collines, par </w:t>
      </w:r>
      <w:r w:rsidRPr="001B78B9">
        <w:rPr>
          <w:rFonts w:ascii="Times New Roman" w:hAnsi="Times New Roman" w:cs="Times New Roman"/>
          <w:i/>
          <w:color w:val="000000"/>
          <w:sz w:val="24"/>
          <w:szCs w:val="24"/>
          <w:lang w:eastAsia="fr-FR"/>
        </w:rPr>
        <w:t>Andropogon macrophyllus et Chasmopodium afzeli</w:t>
      </w:r>
      <w:r w:rsidRPr="001B78B9">
        <w:rPr>
          <w:rFonts w:ascii="Times New Roman" w:hAnsi="Times New Roman" w:cs="Times New Roman"/>
          <w:color w:val="000000"/>
          <w:sz w:val="24"/>
          <w:szCs w:val="24"/>
          <w:lang w:eastAsia="fr-FR"/>
        </w:rPr>
        <w:t xml:space="preserve"> en bas de pente où les sols sont relativement profonds. On y retrouve les arbres tels que </w:t>
      </w:r>
      <w:r w:rsidRPr="001B78B9">
        <w:rPr>
          <w:rFonts w:ascii="Times New Roman" w:hAnsi="Times New Roman" w:cs="Times New Roman"/>
          <w:i/>
          <w:color w:val="000000"/>
          <w:sz w:val="24"/>
          <w:szCs w:val="24"/>
          <w:lang w:eastAsia="fr-FR"/>
        </w:rPr>
        <w:t xml:space="preserve">Daniellia oliveri, Terminalia glaucesens, Pterocarpus erinaceus, Lannea kerstingii, Vitex doniana, etc ; </w:t>
      </w:r>
      <w:r w:rsidRPr="001B78B9">
        <w:rPr>
          <w:rFonts w:ascii="Times New Roman" w:hAnsi="Times New Roman" w:cs="Times New Roman"/>
          <w:color w:val="000000"/>
          <w:sz w:val="24"/>
          <w:szCs w:val="24"/>
          <w:lang w:eastAsia="fr-FR"/>
        </w:rPr>
        <w:t xml:space="preserve">(ii) </w:t>
      </w:r>
      <w:r w:rsidRPr="001B78B9">
        <w:rPr>
          <w:rFonts w:ascii="Times New Roman" w:hAnsi="Times New Roman" w:cs="Times New Roman"/>
          <w:bCs/>
          <w:color w:val="000000"/>
          <w:sz w:val="24"/>
          <w:szCs w:val="24"/>
          <w:lang w:eastAsia="fr-FR"/>
        </w:rPr>
        <w:t>les savanes de la zone guinéenne de la plaine centrale et du littoral dont l</w:t>
      </w:r>
      <w:r w:rsidRPr="001B78B9">
        <w:rPr>
          <w:rFonts w:ascii="Times New Roman" w:hAnsi="Times New Roman" w:cs="Times New Roman"/>
          <w:color w:val="000000"/>
          <w:sz w:val="24"/>
          <w:szCs w:val="24"/>
          <w:lang w:eastAsia="fr-FR"/>
        </w:rPr>
        <w:t xml:space="preserve">e cortège floristique très riche est dominé par </w:t>
      </w:r>
      <w:r w:rsidRPr="001B78B9">
        <w:rPr>
          <w:rFonts w:ascii="Times New Roman" w:hAnsi="Times New Roman" w:cs="Times New Roman"/>
          <w:i/>
          <w:color w:val="000000"/>
          <w:sz w:val="24"/>
          <w:szCs w:val="24"/>
          <w:lang w:eastAsia="fr-FR"/>
        </w:rPr>
        <w:t>Daniellia oliveri, Terminalia macroptera, Combretum spp, Pterocarpus erinaceus, Parkia biglobosa, Vitellaria paradoxa,</w:t>
      </w:r>
      <w:r w:rsidRPr="001B78B9">
        <w:rPr>
          <w:rFonts w:ascii="Times New Roman" w:hAnsi="Times New Roman" w:cs="Times New Roman"/>
          <w:color w:val="000000"/>
          <w:sz w:val="24"/>
          <w:szCs w:val="24"/>
          <w:lang w:eastAsia="fr-FR"/>
        </w:rPr>
        <w:t xml:space="preserve"> etc. On distingue sur le littoral, de vastes étendues de savanes à </w:t>
      </w:r>
      <w:r w:rsidRPr="001B78B9">
        <w:rPr>
          <w:rFonts w:ascii="Times New Roman" w:hAnsi="Times New Roman" w:cs="Times New Roman"/>
          <w:i/>
          <w:color w:val="000000"/>
          <w:sz w:val="24"/>
          <w:szCs w:val="24"/>
          <w:lang w:eastAsia="fr-FR"/>
        </w:rPr>
        <w:t>Borassus</w:t>
      </w:r>
      <w:r w:rsidRPr="001B78B9">
        <w:rPr>
          <w:rFonts w:ascii="Times New Roman" w:hAnsi="Times New Roman" w:cs="Times New Roman"/>
          <w:color w:val="000000"/>
          <w:sz w:val="24"/>
          <w:szCs w:val="24"/>
          <w:lang w:eastAsia="fr-FR"/>
        </w:rPr>
        <w:t xml:space="preserve"> et de </w:t>
      </w:r>
      <w:r w:rsidRPr="001B78B9">
        <w:rPr>
          <w:rFonts w:ascii="Times New Roman" w:hAnsi="Times New Roman" w:cs="Times New Roman"/>
          <w:i/>
          <w:color w:val="000000"/>
          <w:sz w:val="24"/>
          <w:szCs w:val="24"/>
          <w:lang w:eastAsia="fr-FR"/>
        </w:rPr>
        <w:t>Adansonia digitata</w:t>
      </w:r>
      <w:r w:rsidRPr="001B78B9">
        <w:rPr>
          <w:rFonts w:ascii="Times New Roman" w:hAnsi="Times New Roman" w:cs="Times New Roman"/>
          <w:color w:val="000000"/>
          <w:sz w:val="24"/>
          <w:szCs w:val="24"/>
          <w:lang w:eastAsia="fr-FR"/>
        </w:rPr>
        <w:t xml:space="preserve"> fortement perturbées; (iii) </w:t>
      </w:r>
      <w:r w:rsidRPr="001B78B9">
        <w:rPr>
          <w:rFonts w:ascii="Times New Roman" w:hAnsi="Times New Roman" w:cs="Times New Roman"/>
          <w:bCs/>
          <w:color w:val="000000"/>
          <w:sz w:val="24"/>
          <w:szCs w:val="24"/>
          <w:lang w:eastAsia="fr-FR"/>
        </w:rPr>
        <w:t>les savanes soudaniennes</w:t>
      </w:r>
      <w:r w:rsidR="007D4365">
        <w:rPr>
          <w:rFonts w:ascii="Times New Roman" w:hAnsi="Times New Roman" w:cs="Times New Roman"/>
          <w:bCs/>
          <w:color w:val="000000"/>
          <w:sz w:val="24"/>
          <w:szCs w:val="24"/>
          <w:lang w:eastAsia="fr-FR"/>
        </w:rPr>
        <w:t xml:space="preserve"> </w:t>
      </w:r>
      <w:r w:rsidRPr="001B78B9">
        <w:rPr>
          <w:rFonts w:ascii="Times New Roman" w:hAnsi="Times New Roman" w:cs="Times New Roman"/>
          <w:color w:val="000000"/>
          <w:sz w:val="24"/>
          <w:szCs w:val="24"/>
          <w:lang w:eastAsia="fr-FR"/>
        </w:rPr>
        <w:t xml:space="preserve">généralement arbustives dominées parfois par </w:t>
      </w:r>
      <w:r w:rsidRPr="001B78B9">
        <w:rPr>
          <w:rFonts w:ascii="Times New Roman" w:hAnsi="Times New Roman" w:cs="Times New Roman"/>
          <w:i/>
          <w:color w:val="000000"/>
          <w:sz w:val="24"/>
          <w:szCs w:val="24"/>
          <w:lang w:eastAsia="fr-FR"/>
        </w:rPr>
        <w:t xml:space="preserve">Terminalia macroptera, </w:t>
      </w:r>
      <w:r w:rsidRPr="007D4365">
        <w:rPr>
          <w:rFonts w:ascii="Times New Roman" w:hAnsi="Times New Roman" w:cs="Times New Roman"/>
          <w:i/>
          <w:color w:val="000000"/>
          <w:sz w:val="24"/>
          <w:szCs w:val="24"/>
          <w:lang w:eastAsia="fr-FR"/>
        </w:rPr>
        <w:t>Combretum spp.,</w:t>
      </w:r>
      <w:r w:rsidRPr="001B78B9">
        <w:rPr>
          <w:rFonts w:ascii="Times New Roman" w:hAnsi="Times New Roman" w:cs="Times New Roman"/>
          <w:color w:val="000000"/>
          <w:sz w:val="24"/>
          <w:szCs w:val="24"/>
          <w:lang w:eastAsia="fr-FR"/>
        </w:rPr>
        <w:t xml:space="preserve"> mais aussi, des épineux comme </w:t>
      </w:r>
      <w:r w:rsidRPr="007D4365">
        <w:rPr>
          <w:rFonts w:ascii="Times New Roman" w:hAnsi="Times New Roman" w:cs="Times New Roman"/>
          <w:i/>
          <w:color w:val="000000"/>
          <w:sz w:val="24"/>
          <w:szCs w:val="24"/>
          <w:lang w:eastAsia="fr-FR"/>
        </w:rPr>
        <w:t>Acacia gourmaensis</w:t>
      </w:r>
      <w:r w:rsidRPr="001B78B9">
        <w:rPr>
          <w:rFonts w:ascii="Times New Roman" w:hAnsi="Times New Roman" w:cs="Times New Roman"/>
          <w:i/>
          <w:color w:val="000000"/>
          <w:sz w:val="24"/>
          <w:szCs w:val="24"/>
          <w:lang w:eastAsia="fr-FR"/>
        </w:rPr>
        <w:t>, A. dudgeonii, Balanites aegyptiaca</w:t>
      </w:r>
      <w:r w:rsidRPr="001B78B9">
        <w:rPr>
          <w:rFonts w:ascii="Times New Roman" w:hAnsi="Times New Roman" w:cs="Times New Roman"/>
          <w:color w:val="000000"/>
          <w:sz w:val="24"/>
          <w:szCs w:val="24"/>
          <w:lang w:eastAsia="fr-FR"/>
        </w:rPr>
        <w:t xml:space="preserve">, avec une strate graminéenne dominée par </w:t>
      </w:r>
      <w:r w:rsidRPr="001B78B9">
        <w:rPr>
          <w:rFonts w:ascii="Times New Roman" w:hAnsi="Times New Roman" w:cs="Times New Roman"/>
          <w:i/>
          <w:color w:val="000000"/>
          <w:sz w:val="24"/>
          <w:szCs w:val="24"/>
          <w:lang w:eastAsia="fr-FR"/>
        </w:rPr>
        <w:t>Aristida adscencionis, Loudetia simplex, Lou</w:t>
      </w:r>
      <w:r w:rsidR="007D4365">
        <w:rPr>
          <w:rFonts w:ascii="Times New Roman" w:hAnsi="Times New Roman" w:cs="Times New Roman"/>
          <w:i/>
          <w:color w:val="000000"/>
          <w:sz w:val="24"/>
          <w:szCs w:val="24"/>
          <w:lang w:eastAsia="fr-FR"/>
        </w:rPr>
        <w:t>detia togoensis, Andropogon spp.,</w:t>
      </w:r>
      <w:r w:rsidRPr="001B78B9">
        <w:rPr>
          <w:rFonts w:ascii="Times New Roman" w:hAnsi="Times New Roman" w:cs="Times New Roman"/>
          <w:i/>
          <w:color w:val="000000"/>
          <w:sz w:val="24"/>
          <w:szCs w:val="24"/>
          <w:lang w:eastAsia="fr-FR"/>
        </w:rPr>
        <w:t xml:space="preserve"> Pennisetum pedicelatum</w:t>
      </w:r>
      <w:r w:rsidRPr="001B78B9">
        <w:rPr>
          <w:rFonts w:ascii="Times New Roman" w:hAnsi="Times New Roman" w:cs="Times New Roman"/>
          <w:color w:val="000000"/>
          <w:sz w:val="24"/>
          <w:szCs w:val="24"/>
          <w:lang w:eastAsia="fr-FR"/>
        </w:rPr>
        <w:t xml:space="preserve"> etc. </w:t>
      </w:r>
    </w:p>
    <w:p w14:paraId="18248C6F" w14:textId="06D448E3" w:rsidR="001B78B9" w:rsidRPr="001B78B9"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Mangroves</w:t>
      </w:r>
      <w:r w:rsidR="001B78B9">
        <w:rPr>
          <w:rFonts w:ascii="Times New Roman" w:hAnsi="Times New Roman" w:cs="Times New Roman"/>
          <w:b/>
          <w:sz w:val="24"/>
          <w:szCs w:val="24"/>
        </w:rPr>
        <w:t> :</w:t>
      </w:r>
      <w:r w:rsidR="001B78B9">
        <w:rPr>
          <w:rFonts w:ascii="Times New Roman" w:hAnsi="Times New Roman" w:cs="Times New Roman"/>
          <w:color w:val="000000"/>
          <w:sz w:val="24"/>
          <w:szCs w:val="24"/>
        </w:rPr>
        <w:t xml:space="preserve"> elles </w:t>
      </w:r>
      <w:r w:rsidRPr="001B78B9">
        <w:rPr>
          <w:rFonts w:ascii="Times New Roman" w:hAnsi="Times New Roman" w:cs="Times New Roman"/>
          <w:color w:val="000000"/>
          <w:sz w:val="24"/>
          <w:szCs w:val="24"/>
        </w:rPr>
        <w:t xml:space="preserve">sont localisées  exclusivement dans la zone </w:t>
      </w:r>
      <w:r w:rsidR="007D4365" w:rsidRPr="001B78B9">
        <w:rPr>
          <w:rFonts w:ascii="Times New Roman" w:hAnsi="Times New Roman" w:cs="Times New Roman"/>
          <w:color w:val="000000"/>
          <w:sz w:val="24"/>
          <w:szCs w:val="24"/>
        </w:rPr>
        <w:t>côtière</w:t>
      </w:r>
      <w:r w:rsidR="00933BB6">
        <w:rPr>
          <w:rFonts w:ascii="Times New Roman" w:hAnsi="Times New Roman" w:cs="Times New Roman"/>
          <w:color w:val="000000"/>
          <w:sz w:val="24"/>
          <w:szCs w:val="24"/>
        </w:rPr>
        <w:t xml:space="preserve"> du Sud-E</w:t>
      </w:r>
      <w:r w:rsidRPr="001B78B9">
        <w:rPr>
          <w:rFonts w:ascii="Times New Roman" w:hAnsi="Times New Roman" w:cs="Times New Roman"/>
          <w:color w:val="000000"/>
          <w:sz w:val="24"/>
          <w:szCs w:val="24"/>
        </w:rPr>
        <w:t>st du pays. Elles couvraient une superficie de 1000 ha (Afidegnon et al.</w:t>
      </w:r>
      <w:r w:rsidRPr="001B78B9">
        <w:rPr>
          <w:rStyle w:val="Accentuation"/>
          <w:rFonts w:ascii="Times New Roman" w:hAnsi="Times New Roman" w:cs="Times New Roman"/>
          <w:color w:val="000000"/>
          <w:sz w:val="24"/>
          <w:szCs w:val="24"/>
        </w:rPr>
        <w:t>,</w:t>
      </w:r>
      <w:r w:rsidRPr="001B78B9">
        <w:rPr>
          <w:rFonts w:ascii="Times New Roman" w:hAnsi="Times New Roman" w:cs="Times New Roman"/>
          <w:color w:val="000000"/>
          <w:sz w:val="24"/>
          <w:szCs w:val="24"/>
        </w:rPr>
        <w:t>1998). L'une des rares formations végétales et le lieu de reproduction de la faune aquatique (poissons, crustacées, planctons et autres organismes marins) et de production de bois de services et d’énergie, les mangroves togolaises constituent ainsi un patrimoine naturel de grande valeur de part leurs multiples fonctions écologiques et leurs importance économique pour les populations locales.</w:t>
      </w:r>
      <w:r w:rsidRPr="001B78B9">
        <w:rPr>
          <w:rFonts w:ascii="Times New Roman" w:hAnsi="Times New Roman" w:cs="Times New Roman"/>
          <w:sz w:val="24"/>
          <w:szCs w:val="24"/>
        </w:rPr>
        <w:t xml:space="preserve"> On y recense deux espèces de palétuviers</w:t>
      </w:r>
      <w:r w:rsidR="00F816BA">
        <w:rPr>
          <w:rFonts w:ascii="Times New Roman" w:hAnsi="Times New Roman" w:cs="Times New Roman"/>
          <w:sz w:val="24"/>
          <w:szCs w:val="24"/>
        </w:rPr>
        <w:t xml:space="preserve"> </w:t>
      </w:r>
      <w:r w:rsidRPr="001B78B9">
        <w:rPr>
          <w:rFonts w:ascii="Times New Roman" w:hAnsi="Times New Roman" w:cs="Times New Roman"/>
          <w:sz w:val="24"/>
          <w:szCs w:val="24"/>
        </w:rPr>
        <w:t xml:space="preserve">: </w:t>
      </w:r>
      <w:r w:rsidRPr="001B78B9">
        <w:rPr>
          <w:rFonts w:ascii="Times New Roman" w:hAnsi="Times New Roman" w:cs="Times New Roman"/>
          <w:i/>
          <w:sz w:val="24"/>
          <w:szCs w:val="24"/>
        </w:rPr>
        <w:t>Rhizophora racemosa et Avicennia germinans,</w:t>
      </w:r>
      <w:r w:rsidRPr="001B78B9">
        <w:rPr>
          <w:rFonts w:ascii="Times New Roman" w:hAnsi="Times New Roman" w:cs="Times New Roman"/>
          <w:sz w:val="24"/>
          <w:szCs w:val="24"/>
        </w:rPr>
        <w:t xml:space="preserve"> auxquelles sont associées </w:t>
      </w:r>
      <w:r w:rsidRPr="001B78B9">
        <w:rPr>
          <w:rFonts w:ascii="Times New Roman" w:hAnsi="Times New Roman" w:cs="Times New Roman"/>
          <w:i/>
          <w:sz w:val="24"/>
          <w:szCs w:val="24"/>
        </w:rPr>
        <w:t>Drepanocarpus lunatus, Pterocarpus santalinoides et la fougère Achrostichum aureum.</w:t>
      </w:r>
      <w:r w:rsidRPr="001B78B9">
        <w:rPr>
          <w:rFonts w:ascii="Times New Roman" w:hAnsi="Times New Roman" w:cs="Times New Roman"/>
          <w:sz w:val="24"/>
          <w:szCs w:val="24"/>
        </w:rPr>
        <w:t xml:space="preserve"> Les mangroves, soumises aux pressions humaines ont vu leur superficie réduite alors qu’elles semblent occuper dans le passé, tout le pourtour du système lagunaire côtier. De plus, la construction du barrage de Nangbéto a profondément perturbé le fonctionnement hydrologique des mangroves réduites à des reliques en voie de disparition. On estime à 30%, la réduction de la</w:t>
      </w:r>
      <w:r w:rsidR="00F816BA">
        <w:rPr>
          <w:rFonts w:ascii="Times New Roman" w:hAnsi="Times New Roman" w:cs="Times New Roman"/>
          <w:sz w:val="24"/>
          <w:szCs w:val="24"/>
        </w:rPr>
        <w:t xml:space="preserve"> superficie de cet écosystème due</w:t>
      </w:r>
      <w:r w:rsidRPr="001B78B9">
        <w:rPr>
          <w:rFonts w:ascii="Times New Roman" w:hAnsi="Times New Roman" w:cs="Times New Roman"/>
          <w:sz w:val="24"/>
          <w:szCs w:val="24"/>
        </w:rPr>
        <w:t xml:space="preserve"> principalement aux pressions humaines très sévères.</w:t>
      </w:r>
    </w:p>
    <w:p w14:paraId="4D2C4462" w14:textId="708A5B0F" w:rsidR="00F52EF3" w:rsidRPr="00F545CC" w:rsidRDefault="00F52EF3" w:rsidP="00E50666">
      <w:pPr>
        <w:pStyle w:val="Paragraphedeliste"/>
        <w:numPr>
          <w:ilvl w:val="0"/>
          <w:numId w:val="3"/>
        </w:numPr>
        <w:autoSpaceDE w:val="0"/>
        <w:autoSpaceDN w:val="0"/>
        <w:adjustRightInd w:val="0"/>
        <w:spacing w:after="0" w:line="240" w:lineRule="auto"/>
        <w:jc w:val="both"/>
        <w:rPr>
          <w:rFonts w:ascii="Times New Roman" w:hAnsi="Times New Roman" w:cs="Times New Roman"/>
          <w:b/>
          <w:sz w:val="24"/>
          <w:szCs w:val="24"/>
        </w:rPr>
      </w:pPr>
      <w:r w:rsidRPr="001B78B9">
        <w:rPr>
          <w:rFonts w:ascii="Times New Roman" w:hAnsi="Times New Roman" w:cs="Times New Roman"/>
          <w:b/>
          <w:sz w:val="24"/>
          <w:szCs w:val="24"/>
        </w:rPr>
        <w:t>Plantations forestières</w:t>
      </w:r>
      <w:r w:rsidR="001B78B9">
        <w:rPr>
          <w:rFonts w:ascii="Times New Roman" w:hAnsi="Times New Roman" w:cs="Times New Roman"/>
          <w:b/>
          <w:sz w:val="24"/>
          <w:szCs w:val="24"/>
        </w:rPr>
        <w:t> :</w:t>
      </w:r>
      <w:r w:rsidR="001B78B9">
        <w:rPr>
          <w:rFonts w:ascii="Times New Roman" w:hAnsi="Times New Roman" w:cs="Times New Roman"/>
          <w:sz w:val="24"/>
          <w:szCs w:val="24"/>
        </w:rPr>
        <w:t xml:space="preserve"> p</w:t>
      </w:r>
      <w:r w:rsidRPr="001B78B9">
        <w:rPr>
          <w:rFonts w:ascii="Times New Roman" w:hAnsi="Times New Roman" w:cs="Times New Roman"/>
          <w:sz w:val="24"/>
          <w:szCs w:val="24"/>
        </w:rPr>
        <w:t>our faire face aux problèmes de déforestation</w:t>
      </w:r>
      <w:r w:rsidR="00F816BA">
        <w:rPr>
          <w:rFonts w:ascii="Times New Roman" w:hAnsi="Times New Roman" w:cs="Times New Roman"/>
          <w:sz w:val="24"/>
          <w:szCs w:val="24"/>
        </w:rPr>
        <w:t>, la politique forestière de l’Etat t</w:t>
      </w:r>
      <w:r w:rsidRPr="001B78B9">
        <w:rPr>
          <w:rFonts w:ascii="Times New Roman" w:hAnsi="Times New Roman" w:cs="Times New Roman"/>
          <w:sz w:val="24"/>
          <w:szCs w:val="24"/>
        </w:rPr>
        <w:t>ogolais est surtout basée sur le reboisement depuis la colonisation allemande jusqu’à nos jours. A cet effet, des plantations et des reboisements à grande échelle ont été entreprises au Togo. L’Office de Développement et d’Exploitation des Forêts (ODEF), est chargé d’étendre la superficie boisée du territoire par de nouvelles plantations qui jouent aujourd’hui un rôle fondamental dans l’économie du pays (Kokutse et al 2004). Plus de 200 espèces aussi bien exotiques que locales (</w:t>
      </w:r>
      <w:r w:rsidRPr="001B78B9">
        <w:rPr>
          <w:rFonts w:ascii="Times New Roman" w:hAnsi="Times New Roman" w:cs="Times New Roman"/>
          <w:i/>
          <w:sz w:val="24"/>
          <w:szCs w:val="24"/>
        </w:rPr>
        <w:t>Tectona grandis</w:t>
      </w:r>
      <w:r w:rsidRPr="001B78B9">
        <w:rPr>
          <w:rFonts w:ascii="Times New Roman" w:hAnsi="Times New Roman" w:cs="Times New Roman"/>
          <w:sz w:val="24"/>
          <w:szCs w:val="24"/>
        </w:rPr>
        <w:t xml:space="preserve">, </w:t>
      </w:r>
      <w:r w:rsidRPr="001B78B9">
        <w:rPr>
          <w:rFonts w:ascii="Times New Roman" w:hAnsi="Times New Roman" w:cs="Times New Roman"/>
          <w:i/>
          <w:sz w:val="24"/>
          <w:szCs w:val="24"/>
        </w:rPr>
        <w:t xml:space="preserve">Erythrophleum suaveolens, Khaya grandifoliola, K. senegalensis etc. et plus tard, Eucalyptus </w:t>
      </w:r>
      <w:r w:rsidRPr="00E17A45">
        <w:rPr>
          <w:rFonts w:ascii="Times New Roman" w:hAnsi="Times New Roman" w:cs="Times New Roman"/>
          <w:sz w:val="24"/>
          <w:szCs w:val="24"/>
        </w:rPr>
        <w:t>spp.,</w:t>
      </w:r>
      <w:r w:rsidRPr="001B78B9">
        <w:rPr>
          <w:rFonts w:ascii="Times New Roman" w:hAnsi="Times New Roman" w:cs="Times New Roman"/>
          <w:i/>
          <w:sz w:val="24"/>
          <w:szCs w:val="24"/>
        </w:rPr>
        <w:t xml:space="preserve"> Terminalia superba)</w:t>
      </w:r>
      <w:r w:rsidRPr="001B78B9">
        <w:rPr>
          <w:rFonts w:ascii="Times New Roman" w:hAnsi="Times New Roman" w:cs="Times New Roman"/>
          <w:sz w:val="24"/>
          <w:szCs w:val="24"/>
        </w:rPr>
        <w:t xml:space="preserve"> ont été plantées avec l'aide d'organismes internationaux.</w:t>
      </w:r>
    </w:p>
    <w:p w14:paraId="3CBC6FB8" w14:textId="77777777" w:rsidR="001A3677" w:rsidRPr="001B78B9" w:rsidRDefault="001A3677" w:rsidP="00F816BA">
      <w:pPr>
        <w:pStyle w:val="Paragraphedeliste"/>
        <w:autoSpaceDE w:val="0"/>
        <w:autoSpaceDN w:val="0"/>
        <w:adjustRightInd w:val="0"/>
        <w:spacing w:after="0" w:line="240" w:lineRule="auto"/>
        <w:jc w:val="both"/>
        <w:rPr>
          <w:rFonts w:ascii="Times New Roman" w:hAnsi="Times New Roman" w:cs="Times New Roman"/>
          <w:b/>
          <w:sz w:val="24"/>
          <w:szCs w:val="24"/>
        </w:rPr>
      </w:pPr>
    </w:p>
    <w:p w14:paraId="36483713" w14:textId="7925B9DD" w:rsidR="00F52EF3" w:rsidRDefault="001A3677" w:rsidP="00254C9C">
      <w:pPr>
        <w:autoSpaceDE w:val="0"/>
        <w:autoSpaceDN w:val="0"/>
        <w:adjustRightInd w:val="0"/>
        <w:spacing w:after="0" w:line="240" w:lineRule="auto"/>
        <w:jc w:val="both"/>
        <w:rPr>
          <w:rFonts w:ascii="Times New Roman" w:hAnsi="Times New Roman" w:cs="Times New Roman"/>
          <w:b/>
          <w:i/>
          <w:sz w:val="24"/>
          <w:szCs w:val="24"/>
        </w:rPr>
      </w:pPr>
      <w:r w:rsidRPr="00EA4B21">
        <w:rPr>
          <w:rFonts w:ascii="Times New Roman" w:hAnsi="Times New Roman" w:cs="Times New Roman"/>
          <w:b/>
          <w:i/>
          <w:sz w:val="24"/>
          <w:szCs w:val="24"/>
        </w:rPr>
        <w:t xml:space="preserve">Ecosystèmes </w:t>
      </w:r>
      <w:r>
        <w:rPr>
          <w:rFonts w:ascii="Times New Roman" w:hAnsi="Times New Roman" w:cs="Times New Roman"/>
          <w:b/>
          <w:i/>
          <w:sz w:val="24"/>
          <w:szCs w:val="24"/>
        </w:rPr>
        <w:t xml:space="preserve">aquatiques </w:t>
      </w:r>
    </w:p>
    <w:p w14:paraId="37583BBC" w14:textId="77777777" w:rsidR="001A3677" w:rsidRDefault="001A3677" w:rsidP="00254C9C">
      <w:pPr>
        <w:autoSpaceDE w:val="0"/>
        <w:autoSpaceDN w:val="0"/>
        <w:adjustRightInd w:val="0"/>
        <w:spacing w:after="0" w:line="240" w:lineRule="auto"/>
        <w:jc w:val="both"/>
        <w:rPr>
          <w:rFonts w:ascii="Times New Roman" w:hAnsi="Times New Roman" w:cs="Times New Roman"/>
          <w:b/>
          <w:i/>
          <w:sz w:val="24"/>
          <w:szCs w:val="24"/>
        </w:rPr>
      </w:pPr>
    </w:p>
    <w:p w14:paraId="41002E45" w14:textId="409DA15D" w:rsidR="001A3677" w:rsidRPr="00F545CC" w:rsidRDefault="001A3677"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F545CC">
        <w:rPr>
          <w:rFonts w:ascii="Times New Roman" w:hAnsi="Times New Roman" w:cs="Times New Roman"/>
          <w:color w:val="000000"/>
          <w:sz w:val="24"/>
          <w:szCs w:val="24"/>
          <w:lang w:eastAsia="fr-FR"/>
        </w:rPr>
        <w:t xml:space="preserve">Ces ecosystèmes regroupent les écosystèmes aquatiques marins et les </w:t>
      </w:r>
      <w:r>
        <w:rPr>
          <w:rFonts w:ascii="Times New Roman" w:hAnsi="Times New Roman" w:cs="Times New Roman"/>
          <w:color w:val="000000"/>
          <w:sz w:val="24"/>
          <w:szCs w:val="24"/>
          <w:lang w:eastAsia="fr-FR"/>
        </w:rPr>
        <w:t>é</w:t>
      </w:r>
      <w:r w:rsidRPr="00F545CC">
        <w:rPr>
          <w:rFonts w:ascii="Times New Roman" w:hAnsi="Times New Roman" w:cs="Times New Roman"/>
          <w:color w:val="000000"/>
          <w:sz w:val="24"/>
          <w:szCs w:val="24"/>
          <w:lang w:eastAsia="fr-FR"/>
        </w:rPr>
        <w:t>cosystèmes aquatiques continentaux.</w:t>
      </w:r>
    </w:p>
    <w:p w14:paraId="66138E85" w14:textId="77777777" w:rsidR="001A3677" w:rsidRPr="00F545CC" w:rsidRDefault="001A3677"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B7594B8" w14:textId="152B6E8D" w:rsidR="00F52EF3" w:rsidRPr="00F816BA" w:rsidRDefault="00F52EF3" w:rsidP="00E50666">
      <w:pPr>
        <w:pStyle w:val="Paragraphedeliste"/>
        <w:numPr>
          <w:ilvl w:val="0"/>
          <w:numId w:val="43"/>
        </w:numPr>
        <w:autoSpaceDE w:val="0"/>
        <w:autoSpaceDN w:val="0"/>
        <w:adjustRightInd w:val="0"/>
        <w:spacing w:after="0" w:line="240" w:lineRule="auto"/>
        <w:jc w:val="both"/>
        <w:rPr>
          <w:rFonts w:ascii="Times New Roman" w:hAnsi="Times New Roman" w:cs="Times New Roman"/>
          <w:i/>
          <w:color w:val="000000"/>
          <w:sz w:val="24"/>
          <w:szCs w:val="24"/>
          <w:lang w:eastAsia="fr-FR"/>
        </w:rPr>
      </w:pPr>
      <w:r w:rsidRPr="00F816BA">
        <w:rPr>
          <w:rFonts w:ascii="Times New Roman" w:hAnsi="Times New Roman" w:cs="Times New Roman"/>
          <w:b/>
          <w:bCs/>
          <w:i/>
          <w:color w:val="000000"/>
          <w:sz w:val="24"/>
          <w:szCs w:val="24"/>
          <w:lang w:eastAsia="fr-FR"/>
        </w:rPr>
        <w:t>Ecosystèmes</w:t>
      </w:r>
      <w:r w:rsidR="001A3677" w:rsidRPr="00F816BA">
        <w:rPr>
          <w:rFonts w:ascii="Times New Roman" w:hAnsi="Times New Roman" w:cs="Times New Roman"/>
          <w:b/>
          <w:bCs/>
          <w:i/>
          <w:color w:val="000000"/>
          <w:sz w:val="24"/>
          <w:szCs w:val="24"/>
          <w:lang w:eastAsia="fr-FR"/>
        </w:rPr>
        <w:t xml:space="preserve"> aquatiques</w:t>
      </w:r>
      <w:r w:rsidRPr="00F816BA">
        <w:rPr>
          <w:rFonts w:ascii="Times New Roman" w:hAnsi="Times New Roman" w:cs="Times New Roman"/>
          <w:b/>
          <w:bCs/>
          <w:i/>
          <w:color w:val="000000"/>
          <w:sz w:val="24"/>
          <w:szCs w:val="24"/>
          <w:lang w:eastAsia="fr-FR"/>
        </w:rPr>
        <w:t xml:space="preserve"> marins</w:t>
      </w:r>
    </w:p>
    <w:p w14:paraId="38D70EE4" w14:textId="77777777" w:rsidR="001B78B9" w:rsidRDefault="001B78B9"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2D631593" w14:textId="38407AF1"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Ce sont des milieux considérés comme un écosystème à part, bien qu’il n’y ait pas de frontières entre le milieu marin et la plupart des autres milieux aquatiques cités. Les fonds marins togolais sont constitués essentiellement de sables, avec deux zones rocheuses. La flore sous-marine est très mal connue, à l’exception des algues dont quelques peuplements du beach-rock ont fait l’objet d’inventaires (Issifou et al., 2014). Des investigations entreprises par l’Université de Lomé sont actuellement en cours et les résultats permettront d’améliorer les connaissances sur la richesse floristique de ces milieux marins. La faune est très diversifiée avec </w:t>
      </w:r>
      <w:r w:rsidR="00A12628">
        <w:rPr>
          <w:rFonts w:ascii="Times New Roman" w:hAnsi="Times New Roman" w:cs="Times New Roman"/>
          <w:color w:val="000000"/>
          <w:sz w:val="24"/>
          <w:szCs w:val="24"/>
          <w:lang w:eastAsia="fr-FR"/>
        </w:rPr>
        <w:t>d</w:t>
      </w:r>
      <w:r w:rsidRPr="008063D4">
        <w:rPr>
          <w:rFonts w:ascii="Times New Roman" w:hAnsi="Times New Roman" w:cs="Times New Roman"/>
          <w:color w:val="000000"/>
          <w:sz w:val="24"/>
          <w:szCs w:val="24"/>
          <w:lang w:eastAsia="fr-FR"/>
        </w:rPr>
        <w:t xml:space="preserve">es Poissons </w:t>
      </w:r>
      <w:r w:rsidR="00A12628">
        <w:rPr>
          <w:rFonts w:ascii="Times New Roman" w:hAnsi="Times New Roman" w:cs="Times New Roman"/>
          <w:color w:val="000000"/>
          <w:sz w:val="24"/>
          <w:szCs w:val="24"/>
          <w:lang w:eastAsia="fr-FR"/>
        </w:rPr>
        <w:t>(</w:t>
      </w:r>
      <w:r w:rsidRPr="008063D4">
        <w:rPr>
          <w:rFonts w:ascii="Times New Roman" w:hAnsi="Times New Roman" w:cs="Times New Roman"/>
          <w:color w:val="000000"/>
          <w:sz w:val="24"/>
          <w:szCs w:val="24"/>
          <w:lang w:eastAsia="fr-FR"/>
        </w:rPr>
        <w:t>Requins, Raies</w:t>
      </w:r>
      <w:r w:rsidR="00A12628">
        <w:rPr>
          <w:rFonts w:ascii="Times New Roman" w:hAnsi="Times New Roman" w:cs="Times New Roman"/>
          <w:color w:val="000000"/>
          <w:sz w:val="24"/>
          <w:szCs w:val="24"/>
          <w:lang w:eastAsia="fr-FR"/>
        </w:rPr>
        <w:t>,</w:t>
      </w:r>
      <w:r w:rsidRPr="008063D4">
        <w:rPr>
          <w:rFonts w:ascii="Times New Roman" w:hAnsi="Times New Roman" w:cs="Times New Roman"/>
          <w:color w:val="000000"/>
          <w:sz w:val="24"/>
          <w:szCs w:val="24"/>
          <w:lang w:eastAsia="fr-FR"/>
        </w:rPr>
        <w:t xml:space="preserve"> Batroides</w:t>
      </w:r>
      <w:r w:rsidR="00F816BA">
        <w:rPr>
          <w:rFonts w:ascii="Times New Roman" w:hAnsi="Times New Roman" w:cs="Times New Roman"/>
          <w:color w:val="000000"/>
          <w:sz w:val="24"/>
          <w:szCs w:val="24"/>
          <w:lang w:eastAsia="fr-FR"/>
        </w:rPr>
        <w:t>,</w:t>
      </w:r>
      <w:r w:rsidR="00A12628">
        <w:rPr>
          <w:rFonts w:ascii="Times New Roman" w:hAnsi="Times New Roman" w:cs="Times New Roman"/>
          <w:color w:val="000000"/>
          <w:sz w:val="24"/>
          <w:szCs w:val="24"/>
          <w:lang w:eastAsia="fr-FR"/>
        </w:rPr>
        <w:t xml:space="preserve"> etc.)d</w:t>
      </w:r>
      <w:r w:rsidRPr="008063D4">
        <w:rPr>
          <w:rFonts w:ascii="Times New Roman" w:hAnsi="Times New Roman" w:cs="Times New Roman"/>
          <w:color w:val="000000"/>
          <w:sz w:val="24"/>
          <w:szCs w:val="24"/>
          <w:lang w:eastAsia="fr-FR"/>
        </w:rPr>
        <w:t xml:space="preserve">es Mammifères marins, </w:t>
      </w:r>
      <w:r w:rsidR="00A12628">
        <w:rPr>
          <w:rFonts w:ascii="Times New Roman" w:hAnsi="Times New Roman" w:cs="Times New Roman"/>
          <w:color w:val="000000"/>
          <w:sz w:val="24"/>
          <w:szCs w:val="24"/>
          <w:lang w:eastAsia="fr-FR"/>
        </w:rPr>
        <w:t>d</w:t>
      </w:r>
      <w:r w:rsidRPr="008063D4">
        <w:rPr>
          <w:rFonts w:ascii="Times New Roman" w:hAnsi="Times New Roman" w:cs="Times New Roman"/>
          <w:color w:val="000000"/>
          <w:sz w:val="24"/>
          <w:szCs w:val="24"/>
          <w:lang w:eastAsia="fr-FR"/>
        </w:rPr>
        <w:t xml:space="preserve">es Tortues marines, </w:t>
      </w:r>
      <w:r w:rsidR="00A12628">
        <w:rPr>
          <w:rFonts w:ascii="Times New Roman" w:hAnsi="Times New Roman" w:cs="Times New Roman"/>
          <w:color w:val="000000"/>
          <w:sz w:val="24"/>
          <w:szCs w:val="24"/>
          <w:lang w:eastAsia="fr-FR"/>
        </w:rPr>
        <w:t>d</w:t>
      </w:r>
      <w:r w:rsidRPr="008063D4">
        <w:rPr>
          <w:rFonts w:ascii="Times New Roman" w:hAnsi="Times New Roman" w:cs="Times New Roman"/>
          <w:color w:val="000000"/>
          <w:sz w:val="24"/>
          <w:szCs w:val="24"/>
          <w:lang w:eastAsia="fr-FR"/>
        </w:rPr>
        <w:t xml:space="preserve">es Oiseaux et </w:t>
      </w:r>
      <w:r w:rsidR="00A12628">
        <w:rPr>
          <w:rFonts w:ascii="Times New Roman" w:hAnsi="Times New Roman" w:cs="Times New Roman"/>
          <w:color w:val="000000"/>
          <w:sz w:val="24"/>
          <w:szCs w:val="24"/>
          <w:lang w:eastAsia="fr-FR"/>
        </w:rPr>
        <w:t>d</w:t>
      </w:r>
      <w:r w:rsidRPr="008063D4">
        <w:rPr>
          <w:rFonts w:ascii="Times New Roman" w:hAnsi="Times New Roman" w:cs="Times New Roman"/>
          <w:color w:val="000000"/>
          <w:sz w:val="24"/>
          <w:szCs w:val="24"/>
          <w:lang w:eastAsia="fr-FR"/>
        </w:rPr>
        <w:t>es Invertébrés marins,</w:t>
      </w:r>
      <w:r w:rsidR="00A12628">
        <w:rPr>
          <w:rFonts w:ascii="Times New Roman" w:hAnsi="Times New Roman" w:cs="Times New Roman"/>
          <w:color w:val="000000"/>
          <w:sz w:val="24"/>
          <w:szCs w:val="24"/>
          <w:lang w:eastAsia="fr-FR"/>
        </w:rPr>
        <w:t xml:space="preserve"> des crustacés</w:t>
      </w:r>
      <w:r w:rsidRPr="008063D4">
        <w:rPr>
          <w:rFonts w:ascii="Times New Roman" w:hAnsi="Times New Roman" w:cs="Times New Roman"/>
          <w:color w:val="000000"/>
          <w:sz w:val="24"/>
          <w:szCs w:val="24"/>
          <w:lang w:eastAsia="fr-FR"/>
        </w:rPr>
        <w:t xml:space="preserve"> etc.</w:t>
      </w:r>
    </w:p>
    <w:p w14:paraId="4D3F6C96"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lang w:eastAsia="fr-FR"/>
        </w:rPr>
      </w:pPr>
    </w:p>
    <w:p w14:paraId="15359B93" w14:textId="640C1F75" w:rsidR="00F52EF3" w:rsidRPr="00EA4B21" w:rsidRDefault="00F52EF3" w:rsidP="0038037D">
      <w:pPr>
        <w:pStyle w:val="Paragraphedeliste"/>
        <w:numPr>
          <w:ilvl w:val="0"/>
          <w:numId w:val="43"/>
        </w:numPr>
        <w:autoSpaceDE w:val="0"/>
        <w:autoSpaceDN w:val="0"/>
        <w:adjustRightInd w:val="0"/>
        <w:spacing w:after="0" w:line="240" w:lineRule="auto"/>
        <w:jc w:val="both"/>
        <w:rPr>
          <w:rFonts w:ascii="Times New Roman" w:hAnsi="Times New Roman" w:cs="Times New Roman"/>
          <w:b/>
          <w:i/>
          <w:sz w:val="24"/>
          <w:szCs w:val="24"/>
        </w:rPr>
      </w:pPr>
      <w:r w:rsidRPr="0038037D">
        <w:rPr>
          <w:rFonts w:ascii="Times New Roman" w:hAnsi="Times New Roman" w:cs="Times New Roman"/>
          <w:b/>
          <w:bCs/>
          <w:i/>
          <w:color w:val="000000"/>
          <w:sz w:val="24"/>
          <w:szCs w:val="24"/>
          <w:lang w:eastAsia="fr-FR"/>
        </w:rPr>
        <w:t>Ecosystèmes aquatiques</w:t>
      </w:r>
      <w:r w:rsidR="001A3677" w:rsidRPr="0038037D">
        <w:rPr>
          <w:rFonts w:ascii="Times New Roman" w:hAnsi="Times New Roman" w:cs="Times New Roman"/>
          <w:b/>
          <w:bCs/>
          <w:i/>
          <w:color w:val="000000"/>
          <w:sz w:val="24"/>
          <w:szCs w:val="24"/>
          <w:lang w:eastAsia="fr-FR"/>
        </w:rPr>
        <w:t xml:space="preserve"> continentaux</w:t>
      </w:r>
    </w:p>
    <w:p w14:paraId="449E0B27" w14:textId="77777777" w:rsidR="001B78B9" w:rsidRDefault="001B78B9" w:rsidP="00254C9C">
      <w:pPr>
        <w:autoSpaceDE w:val="0"/>
        <w:autoSpaceDN w:val="0"/>
        <w:adjustRightInd w:val="0"/>
        <w:spacing w:after="0" w:line="240" w:lineRule="auto"/>
        <w:jc w:val="both"/>
        <w:rPr>
          <w:rFonts w:ascii="Times New Roman" w:hAnsi="Times New Roman" w:cs="Times New Roman"/>
          <w:bCs/>
          <w:sz w:val="24"/>
          <w:szCs w:val="24"/>
        </w:rPr>
      </w:pPr>
    </w:p>
    <w:p w14:paraId="7E1EAC35" w14:textId="7961BF6C" w:rsidR="00F52EF3" w:rsidRDefault="00F52EF3" w:rsidP="00254C9C">
      <w:pPr>
        <w:autoSpaceDE w:val="0"/>
        <w:autoSpaceDN w:val="0"/>
        <w:adjustRightInd w:val="0"/>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Les écosystèmes aquatiques</w:t>
      </w:r>
      <w:r w:rsidR="001A3677">
        <w:rPr>
          <w:rFonts w:ascii="Times New Roman" w:hAnsi="Times New Roman" w:cs="Times New Roman"/>
          <w:bCs/>
          <w:sz w:val="24"/>
          <w:szCs w:val="24"/>
        </w:rPr>
        <w:t xml:space="preserve"> </w:t>
      </w:r>
      <w:r w:rsidR="001A3677" w:rsidRPr="00F816BA">
        <w:rPr>
          <w:rFonts w:ascii="Times New Roman" w:hAnsi="Times New Roman" w:cs="Times New Roman"/>
          <w:bCs/>
          <w:i/>
          <w:sz w:val="24"/>
          <w:szCs w:val="24"/>
        </w:rPr>
        <w:t>continentaux</w:t>
      </w:r>
      <w:r w:rsidRPr="008063D4">
        <w:rPr>
          <w:rFonts w:ascii="Times New Roman" w:hAnsi="Times New Roman" w:cs="Times New Roman"/>
          <w:bCs/>
          <w:sz w:val="24"/>
          <w:szCs w:val="24"/>
        </w:rPr>
        <w:t xml:space="preserve"> regroupent tous les milieux aquatiques continentaux naturels ou artificiels, lentiques ou lotiques. Il s’agit des rivières, des fleuves, des retenues d’eau, des mares, des étangs, des lagunes et des lacs. Les eaux continentales du Togo occupent une superficie totale estimée à 255 000 hectares et se partagent le territoire en trois principaux réseaux: l'Oti et ses affluents, le Mono et ses affluents, le Zio et le Haho et leurs affluents. </w:t>
      </w:r>
    </w:p>
    <w:p w14:paraId="79C173AC" w14:textId="77777777" w:rsidR="00DB5C3A" w:rsidRPr="008063D4" w:rsidRDefault="00DB5C3A" w:rsidP="00254C9C">
      <w:pPr>
        <w:autoSpaceDE w:val="0"/>
        <w:autoSpaceDN w:val="0"/>
        <w:adjustRightInd w:val="0"/>
        <w:spacing w:after="0" w:line="240" w:lineRule="auto"/>
        <w:jc w:val="both"/>
        <w:rPr>
          <w:rFonts w:ascii="Times New Roman" w:hAnsi="Times New Roman" w:cs="Times New Roman"/>
          <w:bCs/>
          <w:sz w:val="24"/>
          <w:szCs w:val="24"/>
        </w:rPr>
      </w:pPr>
    </w:p>
    <w:p w14:paraId="0D7F8898" w14:textId="0BDF6BE4" w:rsidR="00F52EF3" w:rsidRPr="008063D4" w:rsidRDefault="00F52EF3" w:rsidP="00254C9C">
      <w:pPr>
        <w:autoSpaceDE w:val="0"/>
        <w:autoSpaceDN w:val="0"/>
        <w:adjustRightInd w:val="0"/>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Les milieux lentiques continentaux sont constitués de lacs, lagunes et mares. On distingue le Lac Togo avec les poissons suivants fréquemment pêchés (</w:t>
      </w:r>
      <w:r w:rsidRPr="008063D4">
        <w:rPr>
          <w:rFonts w:ascii="Times New Roman" w:hAnsi="Times New Roman" w:cs="Times New Roman"/>
          <w:bCs/>
          <w:i/>
          <w:sz w:val="24"/>
          <w:szCs w:val="24"/>
        </w:rPr>
        <w:t>Chrysichthys nigrodigitatus Caranx hippos, Tilapia dageti, Tilapia guineensis, Hemichromis fasciatus, Lutjanus denta</w:t>
      </w:r>
      <w:r w:rsidR="00A12628">
        <w:rPr>
          <w:rFonts w:ascii="Times New Roman" w:hAnsi="Times New Roman" w:cs="Times New Roman"/>
          <w:bCs/>
          <w:i/>
          <w:sz w:val="24"/>
          <w:szCs w:val="24"/>
        </w:rPr>
        <w:t>t</w:t>
      </w:r>
      <w:r w:rsidRPr="008063D4">
        <w:rPr>
          <w:rFonts w:ascii="Times New Roman" w:hAnsi="Times New Roman" w:cs="Times New Roman"/>
          <w:bCs/>
          <w:i/>
          <w:sz w:val="24"/>
          <w:szCs w:val="24"/>
        </w:rPr>
        <w:t>us, Lutjanus agennes, Mugil curema, Liza falcipinnis et Sarotherodon melanotheron</w:t>
      </w:r>
      <w:r w:rsidRPr="008063D4">
        <w:rPr>
          <w:rFonts w:ascii="Times New Roman" w:hAnsi="Times New Roman" w:cs="Times New Roman"/>
          <w:bCs/>
          <w:sz w:val="24"/>
          <w:szCs w:val="24"/>
        </w:rPr>
        <w:t>, etc.) et la lagune</w:t>
      </w:r>
      <w:r w:rsidR="00F816BA">
        <w:rPr>
          <w:rFonts w:ascii="Times New Roman" w:hAnsi="Times New Roman" w:cs="Times New Roman"/>
          <w:bCs/>
          <w:sz w:val="24"/>
          <w:szCs w:val="24"/>
        </w:rPr>
        <w:t xml:space="preserve"> de Lomé contenant les poissons</w:t>
      </w:r>
      <w:r w:rsidRPr="008063D4">
        <w:rPr>
          <w:rFonts w:ascii="Times New Roman" w:hAnsi="Times New Roman" w:cs="Times New Roman"/>
          <w:bCs/>
          <w:sz w:val="24"/>
          <w:szCs w:val="24"/>
        </w:rPr>
        <w:t xml:space="preserve"> comme </w:t>
      </w:r>
      <w:r w:rsidRPr="008063D4">
        <w:rPr>
          <w:rFonts w:ascii="Times New Roman" w:hAnsi="Times New Roman" w:cs="Times New Roman"/>
          <w:bCs/>
          <w:i/>
          <w:sz w:val="24"/>
          <w:szCs w:val="24"/>
        </w:rPr>
        <w:t>Hemichromis bimaculatus, Hemichromis fasciatus, Oreochromis niloticus, Sarotherodon galilaeus, Sarotherodon melanotheron, Tilapia guineensis, T. louka, T. zillii et Clarias anguillaris</w:t>
      </w:r>
      <w:r w:rsidRPr="008063D4">
        <w:rPr>
          <w:rFonts w:ascii="Times New Roman" w:hAnsi="Times New Roman" w:cs="Times New Roman"/>
          <w:bCs/>
          <w:sz w:val="24"/>
          <w:szCs w:val="24"/>
        </w:rPr>
        <w:t xml:space="preserve">. On y retrouve aussi les oiseaux marins, les tortues d’eaux douces, le crocodile et </w:t>
      </w:r>
      <w:r w:rsidRPr="008063D4">
        <w:rPr>
          <w:rFonts w:ascii="Times New Roman" w:hAnsi="Times New Roman" w:cs="Times New Roman"/>
          <w:bCs/>
          <w:i/>
          <w:sz w:val="24"/>
          <w:szCs w:val="24"/>
        </w:rPr>
        <w:t>Pithon ceba</w:t>
      </w:r>
      <w:r w:rsidRPr="008063D4">
        <w:rPr>
          <w:rFonts w:ascii="Times New Roman" w:hAnsi="Times New Roman" w:cs="Times New Roman"/>
          <w:bCs/>
          <w:sz w:val="24"/>
          <w:szCs w:val="24"/>
        </w:rPr>
        <w:t xml:space="preserve">. </w:t>
      </w:r>
    </w:p>
    <w:p w14:paraId="70A7F37A" w14:textId="77777777" w:rsidR="001B78B9" w:rsidRDefault="001B78B9" w:rsidP="00254C9C">
      <w:pPr>
        <w:autoSpaceDE w:val="0"/>
        <w:autoSpaceDN w:val="0"/>
        <w:adjustRightInd w:val="0"/>
        <w:spacing w:after="0" w:line="240" w:lineRule="auto"/>
        <w:jc w:val="both"/>
        <w:rPr>
          <w:rFonts w:ascii="Times New Roman" w:hAnsi="Times New Roman" w:cs="Times New Roman"/>
          <w:bCs/>
          <w:sz w:val="24"/>
          <w:szCs w:val="24"/>
        </w:rPr>
      </w:pPr>
    </w:p>
    <w:p w14:paraId="76347B5D" w14:textId="77777777" w:rsidR="000C1B26" w:rsidRDefault="00F52EF3" w:rsidP="00254C9C">
      <w:pPr>
        <w:autoSpaceDE w:val="0"/>
        <w:autoSpaceDN w:val="0"/>
        <w:adjustRightInd w:val="0"/>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Le lac artificiel de Nangbéto situé à 35 km à l’Est d’Atakpamé, dans la zone écologique III, est créé à la suite de la construction du barrage</w:t>
      </w:r>
      <w:r w:rsidR="00A12628">
        <w:rPr>
          <w:rFonts w:ascii="Times New Roman" w:hAnsi="Times New Roman" w:cs="Times New Roman"/>
          <w:bCs/>
          <w:sz w:val="24"/>
          <w:szCs w:val="24"/>
        </w:rPr>
        <w:t xml:space="preserve"> hydroélectrique</w:t>
      </w:r>
      <w:r w:rsidRPr="008063D4">
        <w:rPr>
          <w:rFonts w:ascii="Times New Roman" w:hAnsi="Times New Roman" w:cs="Times New Roman"/>
          <w:bCs/>
          <w:sz w:val="24"/>
          <w:szCs w:val="24"/>
        </w:rPr>
        <w:t xml:space="preserve"> de Nangbéto. La mise en eau du barrage et la formation du lac artificiel </w:t>
      </w:r>
      <w:r w:rsidR="00A12628">
        <w:rPr>
          <w:rFonts w:ascii="Times New Roman" w:hAnsi="Times New Roman" w:cs="Times New Roman"/>
          <w:bCs/>
          <w:sz w:val="24"/>
          <w:szCs w:val="24"/>
        </w:rPr>
        <w:t>ont</w:t>
      </w:r>
      <w:r w:rsidRPr="008063D4">
        <w:rPr>
          <w:rFonts w:ascii="Times New Roman" w:hAnsi="Times New Roman" w:cs="Times New Roman"/>
          <w:bCs/>
          <w:sz w:val="24"/>
          <w:szCs w:val="24"/>
        </w:rPr>
        <w:t xml:space="preserve"> d'abord provoqué de nombreux bouleversements écologiques. Les forêts-galeries à </w:t>
      </w:r>
      <w:r w:rsidRPr="008063D4">
        <w:rPr>
          <w:rFonts w:ascii="Times New Roman" w:hAnsi="Times New Roman" w:cs="Times New Roman"/>
          <w:bCs/>
          <w:i/>
          <w:sz w:val="24"/>
          <w:szCs w:val="24"/>
        </w:rPr>
        <w:t>Cynometra megalophylla, Ceiba pentandra, Milicia excelsa, Cola gigantea</w:t>
      </w:r>
      <w:r w:rsidRPr="008063D4">
        <w:rPr>
          <w:rFonts w:ascii="Times New Roman" w:hAnsi="Times New Roman" w:cs="Times New Roman"/>
          <w:bCs/>
          <w:sz w:val="24"/>
          <w:szCs w:val="24"/>
        </w:rPr>
        <w:t xml:space="preserve">, et la savane à </w:t>
      </w:r>
      <w:r w:rsidRPr="008063D4">
        <w:rPr>
          <w:rFonts w:ascii="Times New Roman" w:hAnsi="Times New Roman" w:cs="Times New Roman"/>
          <w:bCs/>
          <w:i/>
          <w:sz w:val="24"/>
          <w:szCs w:val="24"/>
        </w:rPr>
        <w:t>Andropogon gayanus</w:t>
      </w:r>
      <w:r w:rsidRPr="008063D4">
        <w:rPr>
          <w:rFonts w:ascii="Times New Roman" w:hAnsi="Times New Roman" w:cs="Times New Roman"/>
          <w:bCs/>
          <w:sz w:val="24"/>
          <w:szCs w:val="24"/>
        </w:rPr>
        <w:t>, ont été englouties. Avec le dépérissement dans l'eau de plusieurs millions d'arbres, la décomposition de cette biomasse végétale et l'enrichissement organique du lac qu'il a engendré a provoqué la prolifération des ressources halieutiques, essentiellement des poissons, de même que l'arrivée d'espèces nouvelles dont les Hippopotames (</w:t>
      </w:r>
      <w:r w:rsidRPr="008063D4">
        <w:rPr>
          <w:rFonts w:ascii="Times New Roman" w:hAnsi="Times New Roman" w:cs="Times New Roman"/>
          <w:bCs/>
          <w:i/>
          <w:sz w:val="24"/>
          <w:szCs w:val="24"/>
        </w:rPr>
        <w:t>Hyppopotamus amphibus</w:t>
      </w:r>
      <w:r w:rsidRPr="008063D4">
        <w:rPr>
          <w:rFonts w:ascii="Times New Roman" w:hAnsi="Times New Roman" w:cs="Times New Roman"/>
          <w:bCs/>
          <w:sz w:val="24"/>
          <w:szCs w:val="24"/>
        </w:rPr>
        <w:t xml:space="preserve">), et de nombreux oiseaux. Un nouvel écosystème dont la stabilisation a duré 25 ans s’est mis en place. La création du lac artificiel s'est révélée favorable à certaines espèces de poissons, notamment </w:t>
      </w:r>
      <w:r w:rsidRPr="008063D4">
        <w:rPr>
          <w:rFonts w:ascii="Times New Roman" w:hAnsi="Times New Roman" w:cs="Times New Roman"/>
          <w:bCs/>
          <w:i/>
          <w:sz w:val="24"/>
          <w:szCs w:val="24"/>
        </w:rPr>
        <w:t>Sarotherodon galilaeus, Lates niloticus et Clarias gariepinus</w:t>
      </w:r>
      <w:r w:rsidRPr="008063D4">
        <w:rPr>
          <w:rFonts w:ascii="Times New Roman" w:hAnsi="Times New Roman" w:cs="Times New Roman"/>
          <w:bCs/>
          <w:sz w:val="24"/>
          <w:szCs w:val="24"/>
        </w:rPr>
        <w:t>.</w:t>
      </w:r>
    </w:p>
    <w:p w14:paraId="566D9C4A" w14:textId="77777777" w:rsidR="000C1B26" w:rsidRDefault="000C1B26" w:rsidP="00254C9C">
      <w:pPr>
        <w:autoSpaceDE w:val="0"/>
        <w:autoSpaceDN w:val="0"/>
        <w:adjustRightInd w:val="0"/>
        <w:spacing w:after="0" w:line="240" w:lineRule="auto"/>
        <w:jc w:val="both"/>
        <w:rPr>
          <w:rFonts w:ascii="Times New Roman" w:hAnsi="Times New Roman" w:cs="Times New Roman"/>
          <w:bCs/>
          <w:sz w:val="24"/>
          <w:szCs w:val="24"/>
        </w:rPr>
      </w:pPr>
    </w:p>
    <w:p w14:paraId="4611A650"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 xml:space="preserve">Par contre, certains poissons semblent avoir disparus du milieu. Il s'agit de </w:t>
      </w:r>
      <w:r w:rsidRPr="008063D4">
        <w:rPr>
          <w:rFonts w:ascii="Times New Roman" w:hAnsi="Times New Roman" w:cs="Times New Roman"/>
          <w:bCs/>
          <w:i/>
          <w:sz w:val="24"/>
          <w:szCs w:val="24"/>
        </w:rPr>
        <w:t>Brycinus longipinnis, Chromidotilapia guntheri et Hemichromis fasciatus</w:t>
      </w:r>
      <w:r w:rsidRPr="008063D4">
        <w:rPr>
          <w:rFonts w:ascii="Times New Roman" w:hAnsi="Times New Roman" w:cs="Times New Roman"/>
          <w:bCs/>
          <w:sz w:val="24"/>
          <w:szCs w:val="24"/>
        </w:rPr>
        <w:t>. S’agissant des mares, peu d’inventaires ont été réalisés au Togo. Néanmoins, dans la Réserve de la Kéran, le fleuve Oti (</w:t>
      </w:r>
      <w:r w:rsidRPr="008063D4">
        <w:rPr>
          <w:rFonts w:ascii="Times New Roman" w:hAnsi="Times New Roman" w:cs="Times New Roman"/>
          <w:bCs/>
          <w:i/>
          <w:sz w:val="24"/>
          <w:szCs w:val="24"/>
        </w:rPr>
        <w:t>Cyclanorbis elegens</w:t>
      </w:r>
      <w:r w:rsidRPr="008063D4">
        <w:rPr>
          <w:rFonts w:ascii="Times New Roman" w:hAnsi="Times New Roman" w:cs="Times New Roman"/>
          <w:bCs/>
          <w:sz w:val="24"/>
          <w:szCs w:val="24"/>
        </w:rPr>
        <w:t xml:space="preserve"> et </w:t>
      </w:r>
      <w:r w:rsidRPr="008063D4">
        <w:rPr>
          <w:rFonts w:ascii="Times New Roman" w:hAnsi="Times New Roman" w:cs="Times New Roman"/>
          <w:bCs/>
          <w:i/>
          <w:sz w:val="24"/>
          <w:szCs w:val="24"/>
        </w:rPr>
        <w:t>C. senegalensis</w:t>
      </w:r>
      <w:r w:rsidRPr="008063D4">
        <w:rPr>
          <w:rFonts w:ascii="Times New Roman" w:hAnsi="Times New Roman" w:cs="Times New Roman"/>
          <w:bCs/>
          <w:sz w:val="24"/>
          <w:szCs w:val="24"/>
        </w:rPr>
        <w:t>) et la rivière Koumongou, de même que leurs affluents, développent dans le bassin de l’Oti, de vastes zones de débordement avec de nombreux bras-morts. Les dépressions fermées sont souvent transformées en mares temporaires, surtout en saison pluvieuse. Quelques mares relativement étendues sont permanentes. Il s’agit de (i) la mare de Kankangbé, creusée dans une ancienne dépression où a été prélevée de la terre pour la construction de piste; (ii) la mare de Famboungou, avec plus d’1 km de long sur 40 m de large et 1 à 2,5 m de profondeur, alimentée directement par les débordements de l’Oti; (iii) la mare aux lions, située dans la zone centrale du Parc National de la Kéran; (iv) la mare aux crocodiles qui est une ancienne dépression entre Tanguenou et Takpamba. Elle couvre une superficie de 400 m</w:t>
      </w:r>
      <w:r w:rsidRPr="00EA4B21">
        <w:rPr>
          <w:rFonts w:ascii="Times New Roman" w:hAnsi="Times New Roman" w:cs="Times New Roman"/>
          <w:bCs/>
          <w:sz w:val="24"/>
          <w:szCs w:val="24"/>
          <w:vertAlign w:val="superscript"/>
        </w:rPr>
        <w:t>2</w:t>
      </w:r>
      <w:r w:rsidRPr="008063D4">
        <w:rPr>
          <w:rFonts w:ascii="Times New Roman" w:hAnsi="Times New Roman" w:cs="Times New Roman"/>
          <w:bCs/>
          <w:sz w:val="24"/>
          <w:szCs w:val="24"/>
        </w:rPr>
        <w:t xml:space="preserve"> et atteint par endroits un</w:t>
      </w:r>
      <w:r w:rsidR="00EA4B21">
        <w:rPr>
          <w:rFonts w:ascii="Times New Roman" w:hAnsi="Times New Roman" w:cs="Times New Roman"/>
          <w:bCs/>
          <w:sz w:val="24"/>
          <w:szCs w:val="24"/>
        </w:rPr>
        <w:t>e profondeur de 2 m et (v)</w:t>
      </w:r>
      <w:r w:rsidRPr="008063D4">
        <w:rPr>
          <w:rFonts w:ascii="Times New Roman" w:hAnsi="Times New Roman" w:cs="Times New Roman"/>
          <w:bCs/>
          <w:sz w:val="24"/>
          <w:szCs w:val="24"/>
        </w:rPr>
        <w:t xml:space="preserve"> la mare aux hippopotames de Koumbeloti.</w:t>
      </w:r>
    </w:p>
    <w:p w14:paraId="2E262654"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Cs/>
          <w:sz w:val="24"/>
          <w:szCs w:val="24"/>
        </w:rPr>
      </w:pPr>
    </w:p>
    <w:p w14:paraId="08992123"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De nombreuses autres mares moins importantes et anonymes sont disséminées à travers toute la plaine de l’Oti. Les travaux réalisés dans cette plaine ont permis de d</w:t>
      </w:r>
      <w:r w:rsidR="00EA4B21">
        <w:rPr>
          <w:rFonts w:ascii="Times New Roman" w:hAnsi="Times New Roman" w:cs="Times New Roman"/>
          <w:bCs/>
          <w:sz w:val="24"/>
          <w:szCs w:val="24"/>
        </w:rPr>
        <w:t>énombrer 64 mares (Etsè, 2012).</w:t>
      </w:r>
      <w:r w:rsidRPr="008063D4">
        <w:rPr>
          <w:rFonts w:ascii="Times New Roman" w:hAnsi="Times New Roman" w:cs="Times New Roman"/>
          <w:bCs/>
          <w:sz w:val="24"/>
          <w:szCs w:val="24"/>
        </w:rPr>
        <w:t xml:space="preserve"> Ces mares constituent également les biotopes de choix pour la pratique de la pêche artisanale de subsistance. Sur le littoral, les principales mares sont celles du sud-est du Parc National de Togodo qui recèlent d’importantes potentialités halieutiques. On y trouve des hippopotames (</w:t>
      </w:r>
      <w:r w:rsidRPr="008063D4">
        <w:rPr>
          <w:rFonts w:ascii="Times New Roman" w:hAnsi="Times New Roman" w:cs="Times New Roman"/>
          <w:bCs/>
          <w:i/>
          <w:sz w:val="24"/>
          <w:szCs w:val="24"/>
        </w:rPr>
        <w:t>Hippopotamus amphibius</w:t>
      </w:r>
      <w:r w:rsidRPr="008063D4">
        <w:rPr>
          <w:rFonts w:ascii="Times New Roman" w:hAnsi="Times New Roman" w:cs="Times New Roman"/>
          <w:bCs/>
          <w:sz w:val="24"/>
          <w:szCs w:val="24"/>
        </w:rPr>
        <w:t>), des crocodiles du Nil (</w:t>
      </w:r>
      <w:r w:rsidRPr="008063D4">
        <w:rPr>
          <w:rFonts w:ascii="Times New Roman" w:hAnsi="Times New Roman" w:cs="Times New Roman"/>
          <w:bCs/>
          <w:i/>
          <w:sz w:val="24"/>
          <w:szCs w:val="24"/>
        </w:rPr>
        <w:t>Crocodylus niloticus),</w:t>
      </w:r>
      <w:r w:rsidRPr="008063D4">
        <w:rPr>
          <w:rFonts w:ascii="Times New Roman" w:hAnsi="Times New Roman" w:cs="Times New Roman"/>
          <w:bCs/>
          <w:sz w:val="24"/>
          <w:szCs w:val="24"/>
        </w:rPr>
        <w:t xml:space="preserve"> une espèce de tortue rare (</w:t>
      </w:r>
      <w:r w:rsidRPr="008063D4">
        <w:rPr>
          <w:rFonts w:ascii="Times New Roman" w:hAnsi="Times New Roman" w:cs="Times New Roman"/>
          <w:bCs/>
          <w:i/>
          <w:sz w:val="24"/>
          <w:szCs w:val="24"/>
        </w:rPr>
        <w:t>Trionyx triunguius</w:t>
      </w:r>
      <w:r w:rsidRPr="008063D4">
        <w:rPr>
          <w:rFonts w:ascii="Times New Roman" w:hAnsi="Times New Roman" w:cs="Times New Roman"/>
          <w:bCs/>
          <w:sz w:val="24"/>
          <w:szCs w:val="24"/>
        </w:rPr>
        <w:t>), d’importantes populations de canards (</w:t>
      </w:r>
      <w:r w:rsidRPr="008063D4">
        <w:rPr>
          <w:rFonts w:ascii="Times New Roman" w:hAnsi="Times New Roman" w:cs="Times New Roman"/>
          <w:bCs/>
          <w:i/>
          <w:sz w:val="24"/>
          <w:szCs w:val="24"/>
        </w:rPr>
        <w:t>Dendrocygna viduata</w:t>
      </w:r>
      <w:r w:rsidRPr="008063D4">
        <w:rPr>
          <w:rFonts w:ascii="Times New Roman" w:hAnsi="Times New Roman" w:cs="Times New Roman"/>
          <w:bCs/>
          <w:sz w:val="24"/>
          <w:szCs w:val="24"/>
        </w:rPr>
        <w:t>), d’anhinga (</w:t>
      </w:r>
      <w:r w:rsidRPr="00EA4B21">
        <w:rPr>
          <w:rFonts w:ascii="Times New Roman" w:hAnsi="Times New Roman" w:cs="Times New Roman"/>
          <w:bCs/>
          <w:i/>
          <w:sz w:val="24"/>
          <w:szCs w:val="24"/>
        </w:rPr>
        <w:t>Anhinga rufa</w:t>
      </w:r>
      <w:r w:rsidRPr="008063D4">
        <w:rPr>
          <w:rFonts w:ascii="Times New Roman" w:hAnsi="Times New Roman" w:cs="Times New Roman"/>
          <w:bCs/>
          <w:sz w:val="24"/>
          <w:szCs w:val="24"/>
        </w:rPr>
        <w:t>), d’aigrette (</w:t>
      </w:r>
      <w:r w:rsidRPr="008063D4">
        <w:rPr>
          <w:rFonts w:ascii="Times New Roman" w:hAnsi="Times New Roman" w:cs="Times New Roman"/>
          <w:bCs/>
          <w:i/>
          <w:sz w:val="24"/>
          <w:szCs w:val="24"/>
        </w:rPr>
        <w:t>Egretta garzetta</w:t>
      </w:r>
      <w:r w:rsidRPr="008063D4">
        <w:rPr>
          <w:rFonts w:ascii="Times New Roman" w:hAnsi="Times New Roman" w:cs="Times New Roman"/>
          <w:bCs/>
          <w:sz w:val="24"/>
          <w:szCs w:val="24"/>
        </w:rPr>
        <w:t xml:space="preserve">, </w:t>
      </w:r>
      <w:r w:rsidRPr="008063D4">
        <w:rPr>
          <w:rFonts w:ascii="Times New Roman" w:hAnsi="Times New Roman" w:cs="Times New Roman"/>
          <w:bCs/>
          <w:i/>
          <w:sz w:val="24"/>
          <w:szCs w:val="24"/>
        </w:rPr>
        <w:t>Egretta gularis</w:t>
      </w:r>
      <w:r w:rsidRPr="008063D4">
        <w:rPr>
          <w:rFonts w:ascii="Times New Roman" w:hAnsi="Times New Roman" w:cs="Times New Roman"/>
          <w:bCs/>
          <w:sz w:val="24"/>
          <w:szCs w:val="24"/>
        </w:rPr>
        <w:t>), différentes espèces de hérons (</w:t>
      </w:r>
      <w:r w:rsidRPr="008063D4">
        <w:rPr>
          <w:rFonts w:ascii="Times New Roman" w:hAnsi="Times New Roman" w:cs="Times New Roman"/>
          <w:bCs/>
          <w:i/>
          <w:sz w:val="24"/>
          <w:szCs w:val="24"/>
        </w:rPr>
        <w:t xml:space="preserve">Ardeola </w:t>
      </w:r>
      <w:r w:rsidRPr="00EA4B21">
        <w:rPr>
          <w:rFonts w:ascii="Times New Roman" w:hAnsi="Times New Roman" w:cs="Times New Roman"/>
          <w:bCs/>
          <w:sz w:val="24"/>
          <w:szCs w:val="24"/>
        </w:rPr>
        <w:t>spp.</w:t>
      </w:r>
      <w:r w:rsidRPr="008063D4">
        <w:rPr>
          <w:rFonts w:ascii="Times New Roman" w:hAnsi="Times New Roman" w:cs="Times New Roman"/>
          <w:bCs/>
          <w:sz w:val="24"/>
          <w:szCs w:val="24"/>
        </w:rPr>
        <w:t xml:space="preserve">), des martins pêcheurs et chasseurs, des échassiers, des limicoles, des sternes, etc., une importante diversité ichtyologique (plus d’une soixantaine d’espèces de poissons) (Segniagbeto et al., 2013a et b) avec la présence d’une espèce piscicole très recherchée, </w:t>
      </w:r>
      <w:r w:rsidRPr="008063D4">
        <w:rPr>
          <w:rFonts w:ascii="Times New Roman" w:hAnsi="Times New Roman" w:cs="Times New Roman"/>
          <w:bCs/>
          <w:i/>
          <w:sz w:val="24"/>
          <w:szCs w:val="24"/>
        </w:rPr>
        <w:t>Gymnarchus monarchus</w:t>
      </w:r>
      <w:r w:rsidRPr="008063D4">
        <w:rPr>
          <w:rFonts w:ascii="Times New Roman" w:hAnsi="Times New Roman" w:cs="Times New Roman"/>
          <w:bCs/>
          <w:sz w:val="24"/>
          <w:szCs w:val="24"/>
        </w:rPr>
        <w:t>. On y rencontre aussi le Lamantin, espèce rare et protégée.</w:t>
      </w:r>
    </w:p>
    <w:p w14:paraId="7598ED2A"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rPr>
      </w:pPr>
    </w:p>
    <w:p w14:paraId="06CF5FF8" w14:textId="77777777" w:rsidR="00F52EF3" w:rsidRPr="008063D4" w:rsidRDefault="00EA4B21" w:rsidP="00254C9C">
      <w:pPr>
        <w:spacing w:after="0" w:line="240" w:lineRule="auto"/>
        <w:jc w:val="both"/>
        <w:rPr>
          <w:rFonts w:ascii="Times New Roman" w:hAnsi="Times New Roman" w:cs="Times New Roman"/>
          <w:b/>
          <w:bCs/>
          <w:sz w:val="24"/>
          <w:szCs w:val="24"/>
        </w:rPr>
      </w:pPr>
      <w:r>
        <w:rPr>
          <w:rFonts w:ascii="Times New Roman" w:hAnsi="Times New Roman" w:cs="Times New Roman"/>
          <w:b/>
          <w:sz w:val="24"/>
          <w:szCs w:val="24"/>
        </w:rPr>
        <w:t xml:space="preserve">b) </w:t>
      </w:r>
      <w:r w:rsidR="00F52EF3" w:rsidRPr="008063D4">
        <w:rPr>
          <w:rFonts w:ascii="Times New Roman" w:hAnsi="Times New Roman" w:cs="Times New Roman"/>
          <w:b/>
          <w:bCs/>
          <w:sz w:val="24"/>
          <w:szCs w:val="24"/>
        </w:rPr>
        <w:t>Sites naturels potentiels de biodiversité au Togo</w:t>
      </w:r>
    </w:p>
    <w:p w14:paraId="5CA15C5F" w14:textId="77777777" w:rsidR="001B78B9" w:rsidRDefault="001B78B9" w:rsidP="00254C9C">
      <w:pPr>
        <w:autoSpaceDE w:val="0"/>
        <w:autoSpaceDN w:val="0"/>
        <w:adjustRightInd w:val="0"/>
        <w:spacing w:after="0" w:line="240" w:lineRule="auto"/>
        <w:rPr>
          <w:rFonts w:ascii="Times New Roman" w:hAnsi="Times New Roman" w:cs="Times New Roman"/>
          <w:b/>
          <w:sz w:val="24"/>
          <w:szCs w:val="24"/>
        </w:rPr>
      </w:pPr>
    </w:p>
    <w:p w14:paraId="356199F4" w14:textId="77777777" w:rsidR="00F52EF3" w:rsidRPr="00C23E0C" w:rsidRDefault="00F52EF3" w:rsidP="00254C9C">
      <w:pPr>
        <w:autoSpaceDE w:val="0"/>
        <w:autoSpaceDN w:val="0"/>
        <w:adjustRightInd w:val="0"/>
        <w:spacing w:after="0" w:line="240" w:lineRule="auto"/>
        <w:rPr>
          <w:rFonts w:ascii="Times New Roman" w:hAnsi="Times New Roman" w:cs="Times New Roman"/>
          <w:i/>
          <w:color w:val="000000"/>
          <w:sz w:val="24"/>
          <w:szCs w:val="24"/>
          <w:lang w:eastAsia="fr-FR"/>
        </w:rPr>
      </w:pPr>
      <w:r w:rsidRPr="00C23E0C">
        <w:rPr>
          <w:rFonts w:ascii="Times New Roman" w:hAnsi="Times New Roman" w:cs="Times New Roman"/>
          <w:b/>
          <w:bCs/>
          <w:i/>
          <w:color w:val="000000"/>
          <w:sz w:val="24"/>
          <w:szCs w:val="24"/>
          <w:lang w:eastAsia="fr-FR"/>
        </w:rPr>
        <w:t>Aires protégées</w:t>
      </w:r>
    </w:p>
    <w:p w14:paraId="7C5BFFA0" w14:textId="77777777" w:rsidR="001B78B9" w:rsidRDefault="001B78B9"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706AA318" w14:textId="47F5BB82"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Jusqu’en 1990, le Togo disposait légalement de 83 aires protégées considérées comme des éc</w:t>
      </w:r>
      <w:r w:rsidR="007B41EE">
        <w:rPr>
          <w:rFonts w:ascii="Times New Roman" w:hAnsi="Times New Roman" w:cs="Times New Roman"/>
          <w:color w:val="000000"/>
          <w:sz w:val="24"/>
          <w:szCs w:val="24"/>
          <w:lang w:eastAsia="fr-FR"/>
        </w:rPr>
        <w:t>osystèmes particuliers (Figure 18</w:t>
      </w:r>
      <w:r w:rsidRPr="008063D4">
        <w:rPr>
          <w:rFonts w:ascii="Times New Roman" w:hAnsi="Times New Roman" w:cs="Times New Roman"/>
          <w:color w:val="000000"/>
          <w:sz w:val="24"/>
          <w:szCs w:val="24"/>
          <w:lang w:eastAsia="fr-FR"/>
        </w:rPr>
        <w:t>). La plupart de ces aires sont partiellement ou totalement envahies avec un taux d’occupation allant de 10 à 100% pour certaines aires protégées. Cependant</w:t>
      </w:r>
      <w:r w:rsidR="00F816BA">
        <w:rPr>
          <w:rFonts w:ascii="Times New Roman" w:hAnsi="Times New Roman" w:cs="Times New Roman"/>
          <w:color w:val="000000"/>
          <w:sz w:val="24"/>
          <w:szCs w:val="24"/>
          <w:lang w:eastAsia="fr-FR"/>
        </w:rPr>
        <w:t>,</w:t>
      </w:r>
      <w:r w:rsidRPr="008063D4">
        <w:rPr>
          <w:rFonts w:ascii="Times New Roman" w:hAnsi="Times New Roman" w:cs="Times New Roman"/>
          <w:color w:val="000000"/>
          <w:sz w:val="24"/>
          <w:szCs w:val="24"/>
          <w:lang w:eastAsia="fr-FR"/>
        </w:rPr>
        <w:t xml:space="preserve"> ces dernières années, les autorités togolaises ont initié d</w:t>
      </w:r>
      <w:r w:rsidR="00F816BA">
        <w:rPr>
          <w:rFonts w:ascii="Times New Roman" w:hAnsi="Times New Roman" w:cs="Times New Roman"/>
          <w:color w:val="000000"/>
          <w:sz w:val="24"/>
          <w:szCs w:val="24"/>
          <w:lang w:eastAsia="fr-FR"/>
        </w:rPr>
        <w:t xml:space="preserve">es mécanismes et mis en œuvre </w:t>
      </w:r>
      <w:r w:rsidRPr="008063D4">
        <w:rPr>
          <w:rFonts w:ascii="Times New Roman" w:hAnsi="Times New Roman" w:cs="Times New Roman"/>
          <w:color w:val="000000"/>
          <w:sz w:val="24"/>
          <w:szCs w:val="24"/>
          <w:lang w:eastAsia="fr-FR"/>
        </w:rPr>
        <w:t xml:space="preserve">une gestion «participative» de ces territoires classés ainsi que toutes les questions touchant à la gestion des ressources naturelles. </w:t>
      </w:r>
    </w:p>
    <w:p w14:paraId="45FFC73B"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08AF17D"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Dans la mise en application du cadre normalisé de gestion des domaines classés</w:t>
      </w:r>
      <w:r w:rsidR="00126255">
        <w:rPr>
          <w:rFonts w:ascii="Times New Roman" w:hAnsi="Times New Roman" w:cs="Times New Roman"/>
          <w:color w:val="000000"/>
          <w:sz w:val="24"/>
          <w:szCs w:val="24"/>
          <w:lang w:eastAsia="fr-FR"/>
        </w:rPr>
        <w:t xml:space="preserve"> adopté par décret n°2003/237/PR du 27 juillet 2003</w:t>
      </w:r>
      <w:r w:rsidRPr="008063D4">
        <w:rPr>
          <w:rFonts w:ascii="Times New Roman" w:hAnsi="Times New Roman" w:cs="Times New Roman"/>
          <w:color w:val="000000"/>
          <w:sz w:val="24"/>
          <w:szCs w:val="24"/>
          <w:lang w:eastAsia="fr-FR"/>
        </w:rPr>
        <w:t xml:space="preserve">, le Togo s’est fixé comme objectif la restauration et la sécurisation de 578 245,741 ha d’aires protégées soit environ 10,21% du territoire national. De ce fait, le dialogue est restauré avec les populations riveraines à travers la création des Associations Villageoises de Gestion Participative des Aires Protégées (AVGAP) et l’Union des Associations Villageoises de Gestion Participative des Aires Protégées (UAVGAP). </w:t>
      </w:r>
    </w:p>
    <w:p w14:paraId="6D5EEDB9" w14:textId="77777777" w:rsidR="001B78B9" w:rsidRDefault="001B78B9"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6DD2BD94" w14:textId="436B56B4" w:rsidR="00F52EF3"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Dans ce contexte, le Togo a bénéficié de l’appui de l’Union Européenne (UE) et du Fonds pour l’Environnement Mondial (FEM) pour la mise en œuvre d’un p</w:t>
      </w:r>
      <w:r w:rsidR="00F816BA">
        <w:rPr>
          <w:rFonts w:ascii="Times New Roman" w:hAnsi="Times New Roman" w:cs="Times New Roman"/>
          <w:color w:val="000000"/>
          <w:sz w:val="24"/>
          <w:szCs w:val="24"/>
          <w:lang w:eastAsia="fr-FR"/>
        </w:rPr>
        <w:t>rogramme de réhabilitation des aires p</w:t>
      </w:r>
      <w:r w:rsidRPr="008063D4">
        <w:rPr>
          <w:rFonts w:ascii="Times New Roman" w:hAnsi="Times New Roman" w:cs="Times New Roman"/>
          <w:color w:val="000000"/>
          <w:sz w:val="24"/>
          <w:szCs w:val="24"/>
          <w:lang w:eastAsia="fr-FR"/>
        </w:rPr>
        <w:t>rotégées et d’un projet de renforcement du rôle de co</w:t>
      </w:r>
      <w:r w:rsidR="00F816BA">
        <w:rPr>
          <w:rFonts w:ascii="Times New Roman" w:hAnsi="Times New Roman" w:cs="Times New Roman"/>
          <w:color w:val="000000"/>
          <w:sz w:val="24"/>
          <w:szCs w:val="24"/>
          <w:lang w:eastAsia="fr-FR"/>
        </w:rPr>
        <w:t xml:space="preserve">nservation du système national </w:t>
      </w:r>
      <w:r w:rsidRPr="008063D4">
        <w:rPr>
          <w:rFonts w:ascii="Times New Roman" w:hAnsi="Times New Roman" w:cs="Times New Roman"/>
          <w:color w:val="000000"/>
          <w:sz w:val="24"/>
          <w:szCs w:val="24"/>
          <w:lang w:eastAsia="fr-FR"/>
        </w:rPr>
        <w:t xml:space="preserve"> </w:t>
      </w:r>
      <w:r w:rsidR="00F816BA">
        <w:rPr>
          <w:rFonts w:ascii="Times New Roman" w:hAnsi="Times New Roman" w:cs="Times New Roman"/>
          <w:color w:val="000000"/>
          <w:sz w:val="24"/>
          <w:szCs w:val="24"/>
          <w:lang w:eastAsia="fr-FR"/>
        </w:rPr>
        <w:t>des aires p</w:t>
      </w:r>
      <w:r w:rsidR="00F816BA" w:rsidRPr="00F816BA">
        <w:rPr>
          <w:rFonts w:ascii="Times New Roman" w:hAnsi="Times New Roman" w:cs="Times New Roman"/>
          <w:color w:val="000000"/>
          <w:sz w:val="24"/>
          <w:szCs w:val="24"/>
          <w:lang w:eastAsia="fr-FR"/>
        </w:rPr>
        <w:t xml:space="preserve">rotégées </w:t>
      </w:r>
      <w:r w:rsidRPr="008063D4">
        <w:rPr>
          <w:rFonts w:ascii="Times New Roman" w:hAnsi="Times New Roman" w:cs="Times New Roman"/>
          <w:color w:val="000000"/>
          <w:sz w:val="24"/>
          <w:szCs w:val="24"/>
          <w:lang w:eastAsia="fr-FR"/>
        </w:rPr>
        <w:t>du Togo avec un accent particulier sur la gestion efficace du complexe Oti-Kéran-Mandouri (OKM) contigu au complexe W</w:t>
      </w:r>
      <w:r w:rsidR="00B44ABB">
        <w:rPr>
          <w:rFonts w:ascii="Times New Roman" w:hAnsi="Times New Roman" w:cs="Times New Roman"/>
          <w:color w:val="000000"/>
          <w:sz w:val="24"/>
          <w:szCs w:val="24"/>
          <w:lang w:eastAsia="fr-FR"/>
        </w:rPr>
        <w:t>-</w:t>
      </w:r>
      <w:r w:rsidRPr="008063D4">
        <w:rPr>
          <w:rFonts w:ascii="Times New Roman" w:hAnsi="Times New Roman" w:cs="Times New Roman"/>
          <w:color w:val="000000"/>
          <w:sz w:val="24"/>
          <w:szCs w:val="24"/>
          <w:lang w:eastAsia="fr-FR"/>
        </w:rPr>
        <w:t>Arly-Pendjari (WAP). La stratégie de mise en œuvre de ce projet s’appuie sur</w:t>
      </w:r>
      <w:r w:rsidR="00F816BA">
        <w:rPr>
          <w:rFonts w:ascii="Times New Roman" w:hAnsi="Times New Roman" w:cs="Times New Roman"/>
          <w:color w:val="000000"/>
          <w:sz w:val="24"/>
          <w:szCs w:val="24"/>
          <w:lang w:eastAsia="fr-FR"/>
        </w:rPr>
        <w:t xml:space="preserve"> </w:t>
      </w:r>
      <w:r w:rsidRPr="008063D4">
        <w:rPr>
          <w:rFonts w:ascii="Times New Roman" w:hAnsi="Times New Roman" w:cs="Times New Roman"/>
          <w:color w:val="000000"/>
          <w:sz w:val="24"/>
          <w:szCs w:val="24"/>
          <w:lang w:eastAsia="fr-FR"/>
        </w:rPr>
        <w:t xml:space="preserve">: (i) l’amélioration du cadre d’action, juridique et institutionnel du domaine d’AP et (ii) la gestion efficace du Complexe d’aires protégées OKM. </w:t>
      </w:r>
    </w:p>
    <w:p w14:paraId="48BFC762" w14:textId="77777777" w:rsidR="00555B83" w:rsidRPr="008063D4" w:rsidRDefault="00555B8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050D4BF" w14:textId="77777777" w:rsidR="00F52EF3" w:rsidRDefault="000A05E6" w:rsidP="00DB5C3A">
      <w:pPr>
        <w:spacing w:after="0" w:line="240" w:lineRule="auto"/>
        <w:jc w:val="center"/>
        <w:rPr>
          <w:rFonts w:ascii="Times New Roman" w:hAnsi="Times New Roman" w:cs="Times New Roman"/>
          <w:b/>
          <w:bCs/>
          <w:sz w:val="24"/>
          <w:szCs w:val="24"/>
        </w:rPr>
      </w:pPr>
      <w:r w:rsidRPr="000A05E6">
        <w:rPr>
          <w:rFonts w:ascii="Times New Roman" w:hAnsi="Times New Roman" w:cs="Times New Roman"/>
          <w:b/>
          <w:noProof/>
          <w:sz w:val="24"/>
          <w:szCs w:val="24"/>
          <w:lang w:eastAsia="fr-FR"/>
        </w:rPr>
        <w:drawing>
          <wp:inline distT="0" distB="0" distL="0" distR="0" wp14:anchorId="2C077B91" wp14:editId="361C259F">
            <wp:extent cx="4610100" cy="5930900"/>
            <wp:effectExtent l="38100" t="19050" r="19050" b="12700"/>
            <wp:docPr id="14" name="Image 8" descr="Description : zone_hotspot_biodivers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Description : zone_hotspot_biodiversité"/>
                    <pic:cNvPicPr>
                      <a:picLocks noChangeAspect="1" noChangeArrowheads="1"/>
                    </pic:cNvPicPr>
                  </pic:nvPicPr>
                  <pic:blipFill>
                    <a:blip r:embed="rId57" cstate="email">
                      <a:extLst>
                        <a:ext uri="{28A0092B-C50C-407E-A947-70E740481C1C}">
                          <a14:useLocalDpi xmlns:a14="http://schemas.microsoft.com/office/drawing/2010/main"/>
                        </a:ext>
                      </a:extLst>
                    </a:blip>
                    <a:srcRect l="30960" t="854" r="33940" b="1709"/>
                    <a:stretch>
                      <a:fillRect/>
                    </a:stretch>
                  </pic:blipFill>
                  <pic:spPr bwMode="auto">
                    <a:xfrm>
                      <a:off x="0" y="0"/>
                      <a:ext cx="4610100" cy="5930900"/>
                    </a:xfrm>
                    <a:prstGeom prst="rect">
                      <a:avLst/>
                    </a:prstGeom>
                    <a:noFill/>
                    <a:ln w="12700" cmpd="sng">
                      <a:solidFill>
                        <a:srgbClr val="000000"/>
                      </a:solidFill>
                      <a:miter lim="800000"/>
                      <a:headEnd/>
                      <a:tailEnd/>
                    </a:ln>
                    <a:effectLst/>
                  </pic:spPr>
                </pic:pic>
              </a:graphicData>
            </a:graphic>
          </wp:inline>
        </w:drawing>
      </w:r>
    </w:p>
    <w:p w14:paraId="37FE4435" w14:textId="77777777" w:rsidR="000A05E6" w:rsidRPr="008063D4" w:rsidRDefault="000A05E6" w:rsidP="00DB5C3A">
      <w:pPr>
        <w:spacing w:after="0" w:line="240" w:lineRule="auto"/>
        <w:jc w:val="center"/>
        <w:rPr>
          <w:rFonts w:ascii="Times New Roman" w:hAnsi="Times New Roman" w:cs="Times New Roman"/>
          <w:b/>
          <w:bCs/>
          <w:sz w:val="24"/>
          <w:szCs w:val="24"/>
        </w:rPr>
      </w:pPr>
    </w:p>
    <w:p w14:paraId="308B6E29" w14:textId="61BFF088" w:rsidR="00F52EF3" w:rsidRPr="007B41EE" w:rsidRDefault="007B41EE" w:rsidP="000C1B26">
      <w:pPr>
        <w:pStyle w:val="Lgende"/>
        <w:spacing w:after="0"/>
        <w:jc w:val="center"/>
        <w:rPr>
          <w:rFonts w:ascii="Times New Roman" w:hAnsi="Times New Roman"/>
          <w:b w:val="0"/>
          <w:bCs w:val="0"/>
          <w:sz w:val="24"/>
          <w:szCs w:val="24"/>
        </w:rPr>
      </w:pPr>
      <w:bookmarkStart w:id="101" w:name="_Toc533413507"/>
      <w:r w:rsidRPr="00F816BA">
        <w:rPr>
          <w:rFonts w:ascii="Times New Roman" w:hAnsi="Times New Roman"/>
          <w:sz w:val="24"/>
          <w:szCs w:val="24"/>
          <w:u w:val="single"/>
        </w:rPr>
        <w:t xml:space="preserve">Figure </w:t>
      </w:r>
      <w:r w:rsidR="00620BEA" w:rsidRPr="00F816BA">
        <w:rPr>
          <w:rFonts w:ascii="Times New Roman" w:hAnsi="Times New Roman"/>
          <w:sz w:val="24"/>
          <w:szCs w:val="24"/>
          <w:u w:val="single"/>
        </w:rPr>
        <w:fldChar w:fldCharType="begin"/>
      </w:r>
      <w:r w:rsidRPr="00F816BA">
        <w:rPr>
          <w:rFonts w:ascii="Times New Roman" w:hAnsi="Times New Roman"/>
          <w:sz w:val="24"/>
          <w:szCs w:val="24"/>
          <w:u w:val="single"/>
        </w:rPr>
        <w:instrText xml:space="preserve"> SEQ Figure \* ARABIC </w:instrText>
      </w:r>
      <w:r w:rsidR="00620BEA" w:rsidRPr="00F816BA">
        <w:rPr>
          <w:rFonts w:ascii="Times New Roman" w:hAnsi="Times New Roman"/>
          <w:sz w:val="24"/>
          <w:szCs w:val="24"/>
          <w:u w:val="single"/>
        </w:rPr>
        <w:fldChar w:fldCharType="separate"/>
      </w:r>
      <w:r w:rsidR="00C47BFF">
        <w:rPr>
          <w:rFonts w:ascii="Times New Roman" w:hAnsi="Times New Roman"/>
          <w:noProof/>
          <w:sz w:val="24"/>
          <w:szCs w:val="24"/>
          <w:u w:val="single"/>
        </w:rPr>
        <w:t>19</w:t>
      </w:r>
      <w:r w:rsidR="00620BEA" w:rsidRPr="00F816BA">
        <w:rPr>
          <w:rFonts w:ascii="Times New Roman" w:hAnsi="Times New Roman"/>
          <w:sz w:val="24"/>
          <w:szCs w:val="24"/>
          <w:u w:val="single"/>
        </w:rPr>
        <w:fldChar w:fldCharType="end"/>
      </w:r>
      <w:r w:rsidRPr="007B41EE">
        <w:rPr>
          <w:rFonts w:ascii="Times New Roman" w:hAnsi="Times New Roman"/>
          <w:sz w:val="24"/>
          <w:szCs w:val="24"/>
        </w:rPr>
        <w:t>: Principales zones potentielles de conservation de la biodiversité au Togo</w:t>
      </w:r>
      <w:r w:rsidR="00F52EF3" w:rsidRPr="007B41EE">
        <w:rPr>
          <w:rFonts w:ascii="Times New Roman" w:hAnsi="Times New Roman"/>
          <w:b w:val="0"/>
          <w:bCs w:val="0"/>
          <w:sz w:val="24"/>
          <w:szCs w:val="24"/>
        </w:rPr>
        <w:t xml:space="preserve"> (Source: réalisée sur la base de la carte IGN TOGO)</w:t>
      </w:r>
      <w:bookmarkEnd w:id="101"/>
    </w:p>
    <w:p w14:paraId="700DF900"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63167A98" w14:textId="27F6971E"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color w:val="000000"/>
          <w:sz w:val="24"/>
          <w:szCs w:val="24"/>
          <w:lang w:eastAsia="fr-FR"/>
        </w:rPr>
        <w:t xml:space="preserve">Il faut par ailleurs noter la création </w:t>
      </w:r>
      <w:r w:rsidRPr="008063D4">
        <w:rPr>
          <w:rFonts w:ascii="Times New Roman" w:hAnsi="Times New Roman" w:cs="Times New Roman"/>
          <w:sz w:val="24"/>
          <w:szCs w:val="24"/>
        </w:rPr>
        <w:t>de la «Réserve de Biosphère Transfr</w:t>
      </w:r>
      <w:r w:rsidR="007B41EE">
        <w:rPr>
          <w:rFonts w:ascii="Times New Roman" w:hAnsi="Times New Roman" w:cs="Times New Roman"/>
          <w:sz w:val="24"/>
          <w:szCs w:val="24"/>
        </w:rPr>
        <w:t>ontière du Mono (RBTM) (Figure 19</w:t>
      </w:r>
      <w:r w:rsidRPr="008063D4">
        <w:rPr>
          <w:rFonts w:ascii="Times New Roman" w:hAnsi="Times New Roman" w:cs="Times New Roman"/>
          <w:sz w:val="24"/>
          <w:szCs w:val="24"/>
        </w:rPr>
        <w:t>) initiée par la GIZ en 2015 (NAPA, 2016) qui vise la protection et l’utilisation durable de la diversité biologique et des services écosystémiques dans le delta du Mono en contribuant au développement durable au Bénin et au Togo en général et à celui de leurs communautés locales en particulier. L’approche du projet qui consiste à appuyer les initiatives locales de gestion des ressources naturelles le long du fleuve Mono a permis d’accompagner la direction régionale de l’environnement et</w:t>
      </w:r>
      <w:r w:rsidR="00F816BA">
        <w:rPr>
          <w:rFonts w:ascii="Times New Roman" w:hAnsi="Times New Roman" w:cs="Times New Roman"/>
          <w:sz w:val="24"/>
          <w:szCs w:val="24"/>
        </w:rPr>
        <w:t xml:space="preserve"> des ressources forestières de la M</w:t>
      </w:r>
      <w:r w:rsidRPr="008063D4">
        <w:rPr>
          <w:rFonts w:ascii="Times New Roman" w:hAnsi="Times New Roman" w:cs="Times New Roman"/>
          <w:sz w:val="24"/>
          <w:szCs w:val="24"/>
        </w:rPr>
        <w:t>aritime, gestionnaire mandaté du complexe, dans la mise en place de certains outils de gestion efficace d’aires protégées.</w:t>
      </w:r>
    </w:p>
    <w:p w14:paraId="706A1453"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p>
    <w:p w14:paraId="309A9EB4" w14:textId="77777777" w:rsidR="00F52EF3" w:rsidRPr="008063D4" w:rsidRDefault="00F52EF3" w:rsidP="00DB5C3A">
      <w:pPr>
        <w:keepNext/>
        <w:autoSpaceDE w:val="0"/>
        <w:autoSpaceDN w:val="0"/>
        <w:adjustRightInd w:val="0"/>
        <w:spacing w:after="0" w:line="240" w:lineRule="auto"/>
        <w:jc w:val="center"/>
        <w:rPr>
          <w:rFonts w:ascii="Times New Roman" w:hAnsi="Times New Roman" w:cs="Times New Roman"/>
          <w:noProof/>
          <w:sz w:val="24"/>
          <w:szCs w:val="24"/>
          <w:lang w:eastAsia="fr-FR"/>
        </w:rPr>
      </w:pPr>
      <w:r w:rsidRPr="008063D4">
        <w:rPr>
          <w:rFonts w:ascii="Times New Roman" w:hAnsi="Times New Roman" w:cs="Times New Roman"/>
          <w:noProof/>
          <w:sz w:val="24"/>
          <w:szCs w:val="24"/>
          <w:lang w:eastAsia="fr-FR"/>
        </w:rPr>
        <w:drawing>
          <wp:inline distT="0" distB="0" distL="0" distR="0" wp14:anchorId="70DC0439" wp14:editId="439AF924">
            <wp:extent cx="4954270" cy="7011670"/>
            <wp:effectExtent l="19050" t="0" r="0" b="0"/>
            <wp:docPr id="12" name="Image 1" descr="RÃ©sultat de recherche d'images pour &quot;rÃ©serve de biosphÃ¨re transfrontaliÃ¨re du delta du mono cart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Ã©sultat de recherche d'images pour &quot;rÃ©serve de biosphÃ¨re transfrontaliÃ¨re du delta du mono carte&quot;"/>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4954270" cy="7011670"/>
                    </a:xfrm>
                    <a:prstGeom prst="rect">
                      <a:avLst/>
                    </a:prstGeom>
                    <a:noFill/>
                    <a:ln w="9525">
                      <a:noFill/>
                      <a:miter lim="800000"/>
                      <a:headEnd/>
                      <a:tailEnd/>
                    </a:ln>
                  </pic:spPr>
                </pic:pic>
              </a:graphicData>
            </a:graphic>
          </wp:inline>
        </w:drawing>
      </w:r>
    </w:p>
    <w:p w14:paraId="36C71E42" w14:textId="77777777" w:rsidR="000A05E6" w:rsidRDefault="000A05E6" w:rsidP="00DB5C3A">
      <w:pPr>
        <w:keepNext/>
        <w:autoSpaceDE w:val="0"/>
        <w:autoSpaceDN w:val="0"/>
        <w:adjustRightInd w:val="0"/>
        <w:spacing w:after="0" w:line="240" w:lineRule="auto"/>
        <w:jc w:val="center"/>
        <w:rPr>
          <w:rFonts w:ascii="Times New Roman" w:hAnsi="Times New Roman" w:cs="Times New Roman"/>
          <w:b/>
          <w:noProof/>
          <w:sz w:val="24"/>
          <w:szCs w:val="24"/>
          <w:lang w:eastAsia="fr-FR"/>
        </w:rPr>
      </w:pPr>
    </w:p>
    <w:p w14:paraId="0FE08CAA" w14:textId="0F6F9F12" w:rsidR="00F52EF3" w:rsidRPr="007B41EE" w:rsidRDefault="007B41EE" w:rsidP="00DB5C3A">
      <w:pPr>
        <w:pStyle w:val="Lgende"/>
        <w:spacing w:after="0"/>
        <w:jc w:val="center"/>
        <w:rPr>
          <w:rFonts w:ascii="Times New Roman" w:hAnsi="Times New Roman"/>
          <w:color w:val="000000"/>
          <w:sz w:val="24"/>
          <w:szCs w:val="24"/>
          <w:lang w:eastAsia="fr-FR"/>
        </w:rPr>
      </w:pPr>
      <w:bookmarkStart w:id="102" w:name="_Toc533413508"/>
      <w:r w:rsidRPr="00F816BA">
        <w:rPr>
          <w:rFonts w:ascii="Times New Roman" w:hAnsi="Times New Roman"/>
          <w:sz w:val="24"/>
          <w:szCs w:val="24"/>
          <w:u w:val="single"/>
        </w:rPr>
        <w:t xml:space="preserve">Figure </w:t>
      </w:r>
      <w:r w:rsidR="00620BEA" w:rsidRPr="00F816BA">
        <w:rPr>
          <w:rFonts w:ascii="Times New Roman" w:hAnsi="Times New Roman"/>
          <w:sz w:val="24"/>
          <w:szCs w:val="24"/>
          <w:u w:val="single"/>
        </w:rPr>
        <w:fldChar w:fldCharType="begin"/>
      </w:r>
      <w:r w:rsidRPr="00F816BA">
        <w:rPr>
          <w:rFonts w:ascii="Times New Roman" w:hAnsi="Times New Roman"/>
          <w:sz w:val="24"/>
          <w:szCs w:val="24"/>
          <w:u w:val="single"/>
        </w:rPr>
        <w:instrText xml:space="preserve"> SEQ Figure \* ARABIC </w:instrText>
      </w:r>
      <w:r w:rsidR="00620BEA" w:rsidRPr="00F816BA">
        <w:rPr>
          <w:rFonts w:ascii="Times New Roman" w:hAnsi="Times New Roman"/>
          <w:sz w:val="24"/>
          <w:szCs w:val="24"/>
          <w:u w:val="single"/>
        </w:rPr>
        <w:fldChar w:fldCharType="separate"/>
      </w:r>
      <w:r w:rsidR="00C47BFF">
        <w:rPr>
          <w:rFonts w:ascii="Times New Roman" w:hAnsi="Times New Roman"/>
          <w:noProof/>
          <w:sz w:val="24"/>
          <w:szCs w:val="24"/>
          <w:u w:val="single"/>
        </w:rPr>
        <w:t>20</w:t>
      </w:r>
      <w:r w:rsidR="00620BEA" w:rsidRPr="00F816BA">
        <w:rPr>
          <w:rFonts w:ascii="Times New Roman" w:hAnsi="Times New Roman"/>
          <w:sz w:val="24"/>
          <w:szCs w:val="24"/>
          <w:u w:val="single"/>
        </w:rPr>
        <w:fldChar w:fldCharType="end"/>
      </w:r>
      <w:r w:rsidRPr="007B41EE">
        <w:rPr>
          <w:rFonts w:ascii="Times New Roman" w:hAnsi="Times New Roman"/>
          <w:sz w:val="24"/>
          <w:szCs w:val="24"/>
        </w:rPr>
        <w:t>: Zonage des aires de conservation de la r</w:t>
      </w:r>
      <w:r w:rsidR="00B3342D">
        <w:rPr>
          <w:rFonts w:ascii="Times New Roman" w:hAnsi="Times New Roman"/>
          <w:sz w:val="24"/>
          <w:szCs w:val="24"/>
        </w:rPr>
        <w:t>éserve de biosphère transfront</w:t>
      </w:r>
      <w:r w:rsidRPr="007B41EE">
        <w:rPr>
          <w:rFonts w:ascii="Times New Roman" w:hAnsi="Times New Roman"/>
          <w:sz w:val="24"/>
          <w:szCs w:val="24"/>
        </w:rPr>
        <w:t>ière du Mono.</w:t>
      </w:r>
      <w:bookmarkEnd w:id="102"/>
    </w:p>
    <w:p w14:paraId="3481228F" w14:textId="77777777" w:rsidR="00F52EF3" w:rsidRPr="00C23E0C" w:rsidRDefault="00F52EF3" w:rsidP="00254C9C">
      <w:pPr>
        <w:autoSpaceDE w:val="0"/>
        <w:autoSpaceDN w:val="0"/>
        <w:adjustRightInd w:val="0"/>
        <w:spacing w:after="0" w:line="240" w:lineRule="auto"/>
        <w:jc w:val="both"/>
        <w:rPr>
          <w:rFonts w:ascii="Times New Roman" w:hAnsi="Times New Roman" w:cs="Times New Roman"/>
          <w:b/>
          <w:bCs/>
          <w:i/>
          <w:color w:val="000000"/>
          <w:sz w:val="24"/>
          <w:szCs w:val="24"/>
          <w:lang w:eastAsia="fr-FR"/>
        </w:rPr>
      </w:pPr>
      <w:r w:rsidRPr="00C23E0C">
        <w:rPr>
          <w:rFonts w:ascii="Times New Roman" w:hAnsi="Times New Roman" w:cs="Times New Roman"/>
          <w:b/>
          <w:bCs/>
          <w:i/>
          <w:color w:val="000000"/>
          <w:sz w:val="24"/>
          <w:szCs w:val="24"/>
          <w:lang w:eastAsia="fr-FR"/>
        </w:rPr>
        <w:t xml:space="preserve">Forêts sacrées </w:t>
      </w:r>
    </w:p>
    <w:p w14:paraId="5917A8C1" w14:textId="77777777" w:rsidR="000A05E6" w:rsidRDefault="000A05E6"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7BB1E806"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sz w:val="24"/>
          <w:szCs w:val="24"/>
        </w:rPr>
      </w:pPr>
      <w:r w:rsidRPr="008063D4">
        <w:rPr>
          <w:rFonts w:ascii="Times New Roman" w:hAnsi="Times New Roman" w:cs="Times New Roman"/>
          <w:color w:val="000000"/>
          <w:sz w:val="24"/>
          <w:szCs w:val="24"/>
          <w:lang w:eastAsia="fr-FR"/>
        </w:rPr>
        <w:t xml:space="preserve">Les forêts sacrées constituent dans les zones à forte densité agricole, de véritables refuges pour la conservation de la biodiversité. Plusieurs forêts sacrées, de taille parfois extrêmement réduite mais d’une richesse considérable sont entretenues dans et autour des villages du Togo par les populations locales. Leur importante diversité biologique démontre la capacité des populations à participer à la gestion et à la conservation de la biodiversité et le développement durable à travers leurs savoirs traditionnels. Ces domaines constituent souvent des reliques de forêts originelles de type guinéen ou des îlots forestiers créés par elles-mêmes à des fins religieuses. D’une façon générale, elles sont étroitement liées à l’histoire et à la culture de ces peuples qui s’appuient fortement sur le culte Vaudou ou des ancêtres au sud du Togo (Kokou et al., 1999; 2005) ou des pratiques religieuses similaires dans la région de la Kara, plus particulièrement dans les préfectures de la Kozah, de Doufelgou, de la Binah ou encore de Bassar (Pérézi, 2002; Kpeli, 2006). </w:t>
      </w:r>
    </w:p>
    <w:p w14:paraId="731F2E4E"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E40578E" w14:textId="77777777" w:rsidR="00F52EF3" w:rsidRPr="00C23E0C" w:rsidRDefault="00C23E0C" w:rsidP="00254C9C">
      <w:pPr>
        <w:autoSpaceDE w:val="0"/>
        <w:autoSpaceDN w:val="0"/>
        <w:adjustRightInd w:val="0"/>
        <w:spacing w:after="0" w:line="240" w:lineRule="auto"/>
        <w:jc w:val="both"/>
        <w:rPr>
          <w:rFonts w:ascii="Times New Roman" w:hAnsi="Times New Roman" w:cs="Times New Roman"/>
          <w:b/>
          <w:bCs/>
          <w:i/>
          <w:color w:val="000000"/>
          <w:sz w:val="24"/>
          <w:szCs w:val="24"/>
          <w:lang w:eastAsia="fr-FR"/>
        </w:rPr>
      </w:pPr>
      <w:r w:rsidRPr="00C23E0C">
        <w:rPr>
          <w:rFonts w:ascii="Times New Roman" w:hAnsi="Times New Roman" w:cs="Times New Roman"/>
          <w:b/>
          <w:bCs/>
          <w:i/>
          <w:color w:val="000000"/>
          <w:sz w:val="24"/>
          <w:szCs w:val="24"/>
          <w:lang w:eastAsia="fr-FR"/>
        </w:rPr>
        <w:t>F</w:t>
      </w:r>
      <w:r w:rsidR="00F52EF3" w:rsidRPr="00C23E0C">
        <w:rPr>
          <w:rFonts w:ascii="Times New Roman" w:hAnsi="Times New Roman" w:cs="Times New Roman"/>
          <w:b/>
          <w:bCs/>
          <w:i/>
          <w:color w:val="000000"/>
          <w:sz w:val="24"/>
          <w:szCs w:val="24"/>
          <w:lang w:eastAsia="fr-FR"/>
        </w:rPr>
        <w:t xml:space="preserve">orêts communautaires </w:t>
      </w:r>
    </w:p>
    <w:p w14:paraId="556BA7BE" w14:textId="77777777" w:rsidR="000A05E6" w:rsidRDefault="000A05E6"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1E0F16F7" w14:textId="17DBF1B8" w:rsidR="00DB5C3A"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Ces forêts font partie du domaine des particuliers </w:t>
      </w:r>
      <w:r w:rsidR="00B44ABB">
        <w:rPr>
          <w:rFonts w:ascii="Times New Roman" w:hAnsi="Times New Roman" w:cs="Times New Roman"/>
          <w:color w:val="000000"/>
          <w:sz w:val="24"/>
          <w:szCs w:val="24"/>
          <w:lang w:eastAsia="fr-FR"/>
        </w:rPr>
        <w:t>conformément à l’article</w:t>
      </w:r>
      <w:r w:rsidRPr="008063D4">
        <w:rPr>
          <w:rFonts w:ascii="Times New Roman" w:hAnsi="Times New Roman" w:cs="Times New Roman"/>
          <w:color w:val="000000"/>
          <w:sz w:val="24"/>
          <w:szCs w:val="24"/>
          <w:lang w:eastAsia="fr-FR"/>
        </w:rPr>
        <w:t xml:space="preserve"> 25 du code forestier de 2008</w:t>
      </w:r>
      <w:r w:rsidR="00B44ABB">
        <w:rPr>
          <w:rFonts w:ascii="Times New Roman" w:hAnsi="Times New Roman" w:cs="Times New Roman"/>
          <w:color w:val="000000"/>
          <w:sz w:val="24"/>
          <w:szCs w:val="24"/>
          <w:lang w:eastAsia="fr-FR"/>
        </w:rPr>
        <w:t xml:space="preserve"> qui</w:t>
      </w:r>
      <w:r w:rsidRPr="008063D4">
        <w:rPr>
          <w:rFonts w:ascii="Times New Roman" w:hAnsi="Times New Roman" w:cs="Times New Roman"/>
          <w:color w:val="000000"/>
          <w:sz w:val="24"/>
          <w:szCs w:val="24"/>
          <w:lang w:eastAsia="fr-FR"/>
        </w:rPr>
        <w:t xml:space="preserve"> définit les</w:t>
      </w:r>
      <w:r w:rsidR="008F662D">
        <w:rPr>
          <w:rFonts w:ascii="Times New Roman" w:hAnsi="Times New Roman" w:cs="Times New Roman"/>
          <w:color w:val="000000"/>
          <w:sz w:val="24"/>
          <w:szCs w:val="24"/>
          <w:lang w:eastAsia="fr-FR"/>
        </w:rPr>
        <w:t xml:space="preserve"> domaines forestiers des</w:t>
      </w:r>
      <w:r w:rsidRPr="008063D4">
        <w:rPr>
          <w:rFonts w:ascii="Times New Roman" w:hAnsi="Times New Roman" w:cs="Times New Roman"/>
          <w:color w:val="000000"/>
          <w:sz w:val="24"/>
          <w:szCs w:val="24"/>
          <w:lang w:eastAsia="fr-FR"/>
        </w:rPr>
        <w:t xml:space="preserve"> particuliers comme étant </w:t>
      </w:r>
      <w:r w:rsidR="008F662D">
        <w:rPr>
          <w:rFonts w:ascii="Times New Roman" w:hAnsi="Times New Roman" w:cs="Times New Roman"/>
          <w:color w:val="000000"/>
          <w:sz w:val="24"/>
          <w:szCs w:val="24"/>
          <w:lang w:eastAsia="fr-FR"/>
        </w:rPr>
        <w:t>d</w:t>
      </w:r>
      <w:r w:rsidRPr="008063D4">
        <w:rPr>
          <w:rFonts w:ascii="Times New Roman" w:hAnsi="Times New Roman" w:cs="Times New Roman"/>
          <w:color w:val="000000"/>
          <w:sz w:val="24"/>
          <w:szCs w:val="24"/>
          <w:lang w:eastAsia="fr-FR"/>
        </w:rPr>
        <w:t>es</w:t>
      </w:r>
      <w:r w:rsidR="008F662D">
        <w:rPr>
          <w:rFonts w:ascii="Times New Roman" w:hAnsi="Times New Roman" w:cs="Times New Roman"/>
          <w:color w:val="000000"/>
          <w:sz w:val="24"/>
          <w:szCs w:val="24"/>
          <w:lang w:eastAsia="fr-FR"/>
        </w:rPr>
        <w:t xml:space="preserve"> domaines appartenant aux </w:t>
      </w:r>
      <w:r w:rsidRPr="008063D4">
        <w:rPr>
          <w:rFonts w:ascii="Times New Roman" w:hAnsi="Times New Roman" w:cs="Times New Roman"/>
          <w:color w:val="000000"/>
          <w:sz w:val="24"/>
          <w:szCs w:val="24"/>
          <w:lang w:eastAsia="fr-FR"/>
        </w:rPr>
        <w:t>personnes physiques ou morales, les groupements ou communautés rurales ou de base qui n’entrent pas dans la catégorie des collectivités territoriales. L’évolution du contexte juridique, ces dernières années, consacre des dispositions légales et réglementaires en faveur de la participation des communautés à la gestion des forêts, gage de succès pour la conservation de la biodiversité et de lutte contre les changements climatiques. A travers tout le territoire togolais, on dénombre d’importantes forêts communautaires parmi lesquelles on peut citer: les forêts communautaires d’Alibi</w:t>
      </w:r>
      <w:r w:rsidR="00D534BF">
        <w:rPr>
          <w:rFonts w:ascii="Times New Roman" w:hAnsi="Times New Roman" w:cs="Times New Roman"/>
          <w:color w:val="000000"/>
          <w:sz w:val="24"/>
          <w:szCs w:val="24"/>
          <w:lang w:eastAsia="fr-FR"/>
        </w:rPr>
        <w:t>1, Bago et Kounssountou</w:t>
      </w:r>
      <w:r w:rsidRPr="008063D4">
        <w:rPr>
          <w:rFonts w:ascii="Times New Roman" w:hAnsi="Times New Roman" w:cs="Times New Roman"/>
          <w:color w:val="000000"/>
          <w:sz w:val="24"/>
          <w:szCs w:val="24"/>
          <w:lang w:eastAsia="fr-FR"/>
        </w:rPr>
        <w:t xml:space="preserve"> (Préfecture de Tchamba), Agnedi (Préfecture de Kloto), Ando Kpomey (Préfecture de l’Av</w:t>
      </w:r>
      <w:r w:rsidR="00D534BF">
        <w:rPr>
          <w:rFonts w:ascii="Times New Roman" w:hAnsi="Times New Roman" w:cs="Times New Roman"/>
          <w:color w:val="000000"/>
          <w:sz w:val="24"/>
          <w:szCs w:val="24"/>
          <w:lang w:eastAsia="fr-FR"/>
        </w:rPr>
        <w:t>é)</w:t>
      </w:r>
      <w:r w:rsidRPr="008063D4">
        <w:rPr>
          <w:rFonts w:ascii="Times New Roman" w:hAnsi="Times New Roman" w:cs="Times New Roman"/>
          <w:color w:val="000000"/>
          <w:sz w:val="24"/>
          <w:szCs w:val="24"/>
          <w:lang w:eastAsia="fr-FR"/>
        </w:rPr>
        <w:t>, Djérégou (Préfecture de Doufelgou), Kéméni (Préfecture de Tchao</w:t>
      </w:r>
      <w:r w:rsidR="00D534BF">
        <w:rPr>
          <w:rFonts w:ascii="Times New Roman" w:hAnsi="Times New Roman" w:cs="Times New Roman"/>
          <w:color w:val="000000"/>
          <w:sz w:val="24"/>
          <w:szCs w:val="24"/>
          <w:lang w:eastAsia="fr-FR"/>
        </w:rPr>
        <w:t>udjo)</w:t>
      </w:r>
      <w:r w:rsidRPr="008063D4">
        <w:rPr>
          <w:rFonts w:ascii="Times New Roman" w:hAnsi="Times New Roman" w:cs="Times New Roman"/>
          <w:color w:val="000000"/>
          <w:sz w:val="24"/>
          <w:szCs w:val="24"/>
          <w:lang w:eastAsia="fr-FR"/>
        </w:rPr>
        <w:t>, Womeve et Zionou (Préfecture d’Agou),</w:t>
      </w:r>
      <w:r w:rsidR="00B3342D">
        <w:rPr>
          <w:rFonts w:ascii="Times New Roman" w:hAnsi="Times New Roman" w:cs="Times New Roman"/>
          <w:color w:val="000000"/>
          <w:sz w:val="24"/>
          <w:szCs w:val="24"/>
          <w:lang w:eastAsia="fr-FR"/>
        </w:rPr>
        <w:t xml:space="preserve"> Natchabonga et Djiyega (préfecture de kpandjal),</w:t>
      </w:r>
      <w:r w:rsidRPr="008063D4">
        <w:rPr>
          <w:rFonts w:ascii="Times New Roman" w:hAnsi="Times New Roman" w:cs="Times New Roman"/>
          <w:color w:val="000000"/>
          <w:sz w:val="24"/>
          <w:szCs w:val="24"/>
          <w:lang w:eastAsia="fr-FR"/>
        </w:rPr>
        <w:t xml:space="preserve"> etc. </w:t>
      </w:r>
    </w:p>
    <w:p w14:paraId="43F0CDA2" w14:textId="77777777" w:rsidR="00DB5C3A" w:rsidRDefault="00DB5C3A"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80D99C5"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La gestion de ces forêts communautaires constitue aujourd’hui une des alternatives crédibles permettant de préserver et de restaurer les zones dégradées afin de conserver la biodiversité associée. Cette gestion devrait se faire dans une vision de satisfaction des besoins des populations locales et de création de revenus par l’exploitation rationnelle des ressources. Par ailleurs, l’érection de ces domaines en forêt communautaire permet de préserver les autres aires protégées des destructions occasionnées par les activités anthropiques. </w:t>
      </w:r>
    </w:p>
    <w:p w14:paraId="0CD0CCD9"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414F4FBD" w14:textId="77777777" w:rsidR="00F52EF3" w:rsidRPr="00C23E0C" w:rsidRDefault="00F52EF3" w:rsidP="00254C9C">
      <w:pPr>
        <w:spacing w:after="0" w:line="240" w:lineRule="auto"/>
        <w:jc w:val="both"/>
        <w:rPr>
          <w:rFonts w:ascii="Times New Roman" w:hAnsi="Times New Roman" w:cs="Times New Roman"/>
          <w:b/>
          <w:bCs/>
          <w:i/>
          <w:color w:val="000000"/>
          <w:sz w:val="24"/>
          <w:szCs w:val="24"/>
          <w:lang w:eastAsia="fr-FR"/>
        </w:rPr>
      </w:pPr>
      <w:r w:rsidRPr="00C23E0C">
        <w:rPr>
          <w:rFonts w:ascii="Times New Roman" w:hAnsi="Times New Roman" w:cs="Times New Roman"/>
          <w:b/>
          <w:bCs/>
          <w:i/>
          <w:color w:val="000000"/>
          <w:sz w:val="24"/>
          <w:szCs w:val="24"/>
          <w:lang w:eastAsia="fr-FR"/>
        </w:rPr>
        <w:t>Zones montagneuses</w:t>
      </w:r>
    </w:p>
    <w:p w14:paraId="1AB2D443" w14:textId="77777777" w:rsidR="000A05E6" w:rsidRDefault="000A05E6" w:rsidP="00254C9C">
      <w:pPr>
        <w:spacing w:after="0" w:line="240" w:lineRule="auto"/>
        <w:jc w:val="both"/>
        <w:rPr>
          <w:rFonts w:ascii="Times New Roman" w:hAnsi="Times New Roman" w:cs="Times New Roman"/>
          <w:b/>
          <w:bCs/>
          <w:color w:val="000000"/>
          <w:sz w:val="24"/>
          <w:szCs w:val="24"/>
          <w:lang w:eastAsia="fr-FR"/>
        </w:rPr>
      </w:pPr>
    </w:p>
    <w:p w14:paraId="5985D692" w14:textId="77777777" w:rsidR="000C1B26" w:rsidRDefault="00F52EF3" w:rsidP="00254C9C">
      <w:pPr>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Les forêts de la zone montagneuse sub-humide du Togo (zone écologique IV) font partie des endroits où la diversité floristique est particulièrement élevée en Afrique sub-saharienne (La Ferla et al. 2001), et où l’endémisme est très prononcé pour l’Afrique de l’ouest (Beentje et al.</w:t>
      </w:r>
      <w:r w:rsidR="00DB5C3A">
        <w:rPr>
          <w:rFonts w:ascii="Times New Roman" w:hAnsi="Times New Roman" w:cs="Times New Roman"/>
          <w:color w:val="000000"/>
          <w:sz w:val="24"/>
          <w:szCs w:val="24"/>
          <w:lang w:eastAsia="fr-FR"/>
        </w:rPr>
        <w:t>,</w:t>
      </w:r>
      <w:r w:rsidRPr="008063D4">
        <w:rPr>
          <w:rFonts w:ascii="Times New Roman" w:hAnsi="Times New Roman" w:cs="Times New Roman"/>
          <w:color w:val="000000"/>
          <w:sz w:val="24"/>
          <w:szCs w:val="24"/>
          <w:lang w:eastAsia="fr-FR"/>
        </w:rPr>
        <w:t xml:space="preserve"> 1994), notamment en raison des conditions paléoclimatiques et écologiques particulières, d’humidité et de brouillard, favorables à certaines espèces telles que les épiphytes (Rossi 1984; Wieringa et Porter 2004). Ces forêts humides constituent une partie du bloc forestier ouest africain, un hotspot le plus menacé au monde par des activités de déboisement. Ces forêts renferment d’importantes ressources génétiques d’intérêt communautaire. En effet, les travaux effectués dans cette zone indiquent une richesse floristique comparable à celle de certains milieux forestiers considérés comme riche d’Afrique de l’ouest. Ainsi, 928 espèces vasculaires, réparties en 521 genres, et 115 familles, ont été identifiées (Adjossou, 2009). Suite à ces travaux, 72 nouvelles espèces ont été récoltées, ramenant la flore actuelle de cette zone à 1013 espèces.</w:t>
      </w:r>
    </w:p>
    <w:p w14:paraId="7E857CC5" w14:textId="77777777" w:rsidR="000C1B26" w:rsidRDefault="000C1B26" w:rsidP="00254C9C">
      <w:pPr>
        <w:spacing w:after="0" w:line="240" w:lineRule="auto"/>
        <w:jc w:val="both"/>
        <w:rPr>
          <w:rFonts w:ascii="Times New Roman" w:hAnsi="Times New Roman" w:cs="Times New Roman"/>
          <w:color w:val="000000"/>
          <w:sz w:val="24"/>
          <w:szCs w:val="24"/>
          <w:lang w:eastAsia="fr-FR"/>
        </w:rPr>
      </w:pPr>
    </w:p>
    <w:p w14:paraId="62109AAF" w14:textId="6BD4DC02" w:rsidR="00F52EF3" w:rsidRPr="008063D4" w:rsidRDefault="00F52EF3" w:rsidP="00254C9C">
      <w:pPr>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Les résultats indiquent par ailleurs que la flore humide du Togo, sous pression humaine est très fragile puisque 57% des espèces peuvent être considérées comme rares. Cette zone de montagne, couplé avec les aires protégées du Togo et d’autres sites intéressants permettent d’élaborer la carte représentative de conservation de la biodiversité terrestre au Togo (Figure 4). On distingue également à travers le pays d’autres écosystèmes inféodés aux zones de montagne notamment les montagnes dans la zone septentrionale</w:t>
      </w:r>
      <w:r w:rsidR="00B3342D">
        <w:rPr>
          <w:rFonts w:ascii="Times New Roman" w:hAnsi="Times New Roman" w:cs="Times New Roman"/>
          <w:color w:val="000000"/>
          <w:sz w:val="24"/>
          <w:szCs w:val="24"/>
          <w:lang w:eastAsia="fr-FR"/>
        </w:rPr>
        <w:t>,</w:t>
      </w:r>
      <w:r w:rsidRPr="008063D4">
        <w:rPr>
          <w:rFonts w:ascii="Times New Roman" w:hAnsi="Times New Roman" w:cs="Times New Roman"/>
          <w:color w:val="000000"/>
          <w:sz w:val="24"/>
          <w:szCs w:val="24"/>
          <w:lang w:eastAsia="fr-FR"/>
        </w:rPr>
        <w:t xml:space="preserve"> les inselbergs qui constituent des zones d’une grande importance écologique en matière de conservation de la biodiversité. Au niveau de la pénéplaine granito-gneissique, caractérisée par un modelé de croupes surbaissées, on retrouve des inselbergs et des alignements de collines isolées (monts Meliendo, Haïto et Agou) qui apparaissent comme d’importants refuges pour la biodiversité. Sur certaines des inselbergs et affleurements (rochers inselbergs de Kamina), on retrouve une végétation avec </w:t>
      </w:r>
      <w:r w:rsidRPr="008063D4">
        <w:rPr>
          <w:rFonts w:ascii="Times New Roman" w:hAnsi="Times New Roman" w:cs="Times New Roman"/>
          <w:i/>
          <w:color w:val="000000"/>
          <w:sz w:val="24"/>
          <w:szCs w:val="24"/>
          <w:lang w:eastAsia="fr-FR"/>
        </w:rPr>
        <w:t>Cyanotis lanata</w:t>
      </w:r>
      <w:r w:rsidRPr="008063D4">
        <w:rPr>
          <w:rFonts w:ascii="Times New Roman" w:hAnsi="Times New Roman" w:cs="Times New Roman"/>
          <w:color w:val="000000"/>
          <w:sz w:val="24"/>
          <w:szCs w:val="24"/>
          <w:lang w:eastAsia="fr-FR"/>
        </w:rPr>
        <w:t xml:space="preserve">, </w:t>
      </w:r>
      <w:r w:rsidRPr="00C23E0C">
        <w:rPr>
          <w:rFonts w:ascii="Times New Roman" w:hAnsi="Times New Roman" w:cs="Times New Roman"/>
          <w:i/>
          <w:color w:val="000000"/>
          <w:sz w:val="24"/>
          <w:szCs w:val="24"/>
          <w:lang w:eastAsia="fr-FR"/>
        </w:rPr>
        <w:t>Chlorophytum</w:t>
      </w:r>
      <w:r w:rsidRPr="008063D4">
        <w:rPr>
          <w:rFonts w:ascii="Times New Roman" w:hAnsi="Times New Roman" w:cs="Times New Roman"/>
          <w:color w:val="000000"/>
          <w:sz w:val="24"/>
          <w:szCs w:val="24"/>
          <w:lang w:eastAsia="fr-FR"/>
        </w:rPr>
        <w:t xml:space="preserve"> sp., diverses Cypéracées, quelques Asclépiadacées lianescentes et </w:t>
      </w:r>
      <w:r w:rsidRPr="008063D4">
        <w:rPr>
          <w:rFonts w:ascii="Times New Roman" w:hAnsi="Times New Roman" w:cs="Times New Roman"/>
          <w:i/>
          <w:color w:val="000000"/>
          <w:sz w:val="24"/>
          <w:szCs w:val="24"/>
          <w:lang w:eastAsia="fr-FR"/>
        </w:rPr>
        <w:t>Adansonia digitata</w:t>
      </w:r>
      <w:r w:rsidRPr="008063D4">
        <w:rPr>
          <w:rFonts w:ascii="Times New Roman" w:hAnsi="Times New Roman" w:cs="Times New Roman"/>
          <w:color w:val="000000"/>
          <w:sz w:val="24"/>
          <w:szCs w:val="24"/>
          <w:lang w:eastAsia="fr-FR"/>
        </w:rPr>
        <w:t>.</w:t>
      </w:r>
    </w:p>
    <w:p w14:paraId="320B1500" w14:textId="77777777" w:rsidR="000A05E6" w:rsidRDefault="000A05E6" w:rsidP="00254C9C">
      <w:pPr>
        <w:autoSpaceDE w:val="0"/>
        <w:autoSpaceDN w:val="0"/>
        <w:adjustRightInd w:val="0"/>
        <w:spacing w:after="0" w:line="240" w:lineRule="auto"/>
        <w:rPr>
          <w:rFonts w:ascii="Times New Roman" w:hAnsi="Times New Roman" w:cs="Times New Roman"/>
          <w:b/>
          <w:sz w:val="24"/>
          <w:szCs w:val="24"/>
        </w:rPr>
      </w:pPr>
    </w:p>
    <w:p w14:paraId="6E316A47" w14:textId="77777777" w:rsidR="00F52EF3" w:rsidRPr="00C23E0C" w:rsidRDefault="00F52EF3" w:rsidP="00254C9C">
      <w:pPr>
        <w:autoSpaceDE w:val="0"/>
        <w:autoSpaceDN w:val="0"/>
        <w:adjustRightInd w:val="0"/>
        <w:spacing w:after="0" w:line="240" w:lineRule="auto"/>
        <w:rPr>
          <w:rFonts w:ascii="Times New Roman" w:hAnsi="Times New Roman" w:cs="Times New Roman"/>
          <w:i/>
          <w:color w:val="000000"/>
          <w:sz w:val="24"/>
          <w:szCs w:val="24"/>
          <w:lang w:eastAsia="fr-FR"/>
        </w:rPr>
      </w:pPr>
      <w:r w:rsidRPr="00C23E0C">
        <w:rPr>
          <w:rFonts w:ascii="Times New Roman" w:hAnsi="Times New Roman" w:cs="Times New Roman"/>
          <w:b/>
          <w:bCs/>
          <w:i/>
          <w:color w:val="000000"/>
          <w:sz w:val="24"/>
          <w:szCs w:val="24"/>
          <w:lang w:eastAsia="fr-FR"/>
        </w:rPr>
        <w:t xml:space="preserve">Zones humides </w:t>
      </w:r>
    </w:p>
    <w:p w14:paraId="78C7185B" w14:textId="77777777" w:rsidR="000A05E6" w:rsidRDefault="000A05E6"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8FE50ED" w14:textId="0E3C6973"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Les zones humides se définissent comme étant des biotopes aquatiques marécageux ou lagunaires continentaux ou littoraux où l’eau est stagnante ou courante, douce, saumâtre ou salée, ayant une haute productivité primaire et secondaire et un intérêt pour leur conservation (MERF, 2003). Le Togo dispose d’environ 2</w:t>
      </w:r>
      <w:r w:rsidR="00B3342D">
        <w:rPr>
          <w:rFonts w:ascii="Times New Roman" w:hAnsi="Times New Roman" w:cs="Times New Roman"/>
          <w:color w:val="000000"/>
          <w:sz w:val="24"/>
          <w:szCs w:val="24"/>
          <w:lang w:eastAsia="fr-FR"/>
        </w:rPr>
        <w:t xml:space="preserve"> </w:t>
      </w:r>
      <w:r w:rsidRPr="008063D4">
        <w:rPr>
          <w:rFonts w:ascii="Times New Roman" w:hAnsi="Times New Roman" w:cs="Times New Roman"/>
          <w:color w:val="000000"/>
          <w:sz w:val="24"/>
          <w:szCs w:val="24"/>
          <w:lang w:eastAsia="fr-FR"/>
        </w:rPr>
        <w:t>210 km² de zones humides, soit environ 4% de la superficie du pays. Elles sont constituées par les zones marines et côtières, les cours d’eau, les mares et étangs, les barrages et retenues d’eau, les terres agricoles saisonnièrement inondées, les canaux et fosses de drainage, les rigoles, les lacs d’eau douce saisonniers ou temporaires, les lacs d’eau douce permanents, les plaines d’inondation, les excavations (zones d'exploitation de mine, de sabl</w:t>
      </w:r>
      <w:r w:rsidR="00B3342D">
        <w:rPr>
          <w:rFonts w:ascii="Times New Roman" w:hAnsi="Times New Roman" w:cs="Times New Roman"/>
          <w:color w:val="000000"/>
          <w:sz w:val="24"/>
          <w:szCs w:val="24"/>
          <w:lang w:eastAsia="fr-FR"/>
        </w:rPr>
        <w:t>e, etc.</w:t>
      </w:r>
      <w:r w:rsidRPr="008063D4">
        <w:rPr>
          <w:rFonts w:ascii="Times New Roman" w:hAnsi="Times New Roman" w:cs="Times New Roman"/>
          <w:color w:val="000000"/>
          <w:sz w:val="24"/>
          <w:szCs w:val="24"/>
          <w:lang w:eastAsia="fr-FR"/>
        </w:rPr>
        <w:t>), montrant ainsi d’énormes potentialités de zones humides (Figure 3) (Kombate et al., 2013). Cette analyse cartographique a permis de regrouper les zones humides du pays dans 5 grands ensembles que sont les zones humides de Biankouri, du grand bassin de l’Oti, de la plaine de Mô, du haut Mono et du complexe d</w:t>
      </w:r>
      <w:r w:rsidR="00C23E0C">
        <w:rPr>
          <w:rFonts w:ascii="Times New Roman" w:hAnsi="Times New Roman" w:cs="Times New Roman"/>
          <w:color w:val="000000"/>
          <w:sz w:val="24"/>
          <w:szCs w:val="24"/>
          <w:lang w:eastAsia="fr-FR"/>
        </w:rPr>
        <w:t>u littoral (T</w:t>
      </w:r>
      <w:r w:rsidR="001127E6">
        <w:rPr>
          <w:rFonts w:ascii="Times New Roman" w:hAnsi="Times New Roman" w:cs="Times New Roman"/>
          <w:color w:val="000000"/>
          <w:sz w:val="24"/>
          <w:szCs w:val="24"/>
          <w:lang w:eastAsia="fr-FR"/>
        </w:rPr>
        <w:t>ableau 17</w:t>
      </w:r>
      <w:r w:rsidRPr="008063D4">
        <w:rPr>
          <w:rFonts w:ascii="Times New Roman" w:hAnsi="Times New Roman" w:cs="Times New Roman"/>
          <w:color w:val="000000"/>
          <w:sz w:val="24"/>
          <w:szCs w:val="24"/>
          <w:lang w:eastAsia="fr-FR"/>
        </w:rPr>
        <w:t xml:space="preserve">). </w:t>
      </w:r>
    </w:p>
    <w:p w14:paraId="1F733CF0" w14:textId="77777777" w:rsidR="00F52EF3" w:rsidRPr="008063D4" w:rsidRDefault="00F52EF3" w:rsidP="000C1B26">
      <w:pPr>
        <w:keepNext/>
        <w:autoSpaceDE w:val="0"/>
        <w:autoSpaceDN w:val="0"/>
        <w:adjustRightInd w:val="0"/>
        <w:spacing w:after="0" w:line="240" w:lineRule="auto"/>
        <w:jc w:val="center"/>
        <w:rPr>
          <w:rFonts w:ascii="Times New Roman" w:hAnsi="Times New Roman" w:cs="Times New Roman"/>
          <w:color w:val="000000"/>
          <w:sz w:val="24"/>
          <w:szCs w:val="24"/>
          <w:lang w:eastAsia="fr-FR"/>
        </w:rPr>
      </w:pPr>
    </w:p>
    <w:p w14:paraId="22F57671" w14:textId="66E2E912" w:rsidR="00F52EF3" w:rsidRPr="007B41EE" w:rsidRDefault="007B41EE" w:rsidP="000C1B26">
      <w:pPr>
        <w:pStyle w:val="Lgende"/>
        <w:spacing w:after="0"/>
        <w:rPr>
          <w:rFonts w:ascii="Times New Roman" w:hAnsi="Times New Roman"/>
          <w:b w:val="0"/>
          <w:bCs w:val="0"/>
          <w:sz w:val="24"/>
          <w:szCs w:val="24"/>
        </w:rPr>
      </w:pPr>
      <w:bookmarkStart w:id="103" w:name="_Toc533413485"/>
      <w:r w:rsidRPr="00B3342D">
        <w:rPr>
          <w:rFonts w:ascii="Times New Roman" w:hAnsi="Times New Roman"/>
          <w:sz w:val="24"/>
          <w:szCs w:val="24"/>
          <w:u w:val="single"/>
        </w:rPr>
        <w:t xml:space="preserve">Tableau </w:t>
      </w:r>
      <w:r w:rsidR="00620BEA" w:rsidRPr="00B3342D">
        <w:rPr>
          <w:rFonts w:ascii="Times New Roman" w:hAnsi="Times New Roman"/>
          <w:sz w:val="24"/>
          <w:szCs w:val="24"/>
          <w:u w:val="single"/>
        </w:rPr>
        <w:fldChar w:fldCharType="begin"/>
      </w:r>
      <w:r w:rsidRPr="00B3342D">
        <w:rPr>
          <w:rFonts w:ascii="Times New Roman" w:hAnsi="Times New Roman"/>
          <w:sz w:val="24"/>
          <w:szCs w:val="24"/>
          <w:u w:val="single"/>
        </w:rPr>
        <w:instrText xml:space="preserve"> SEQ Tableau \* ARABIC </w:instrText>
      </w:r>
      <w:r w:rsidR="00620BEA" w:rsidRPr="00B3342D">
        <w:rPr>
          <w:rFonts w:ascii="Times New Roman" w:hAnsi="Times New Roman"/>
          <w:sz w:val="24"/>
          <w:szCs w:val="24"/>
          <w:u w:val="single"/>
        </w:rPr>
        <w:fldChar w:fldCharType="separate"/>
      </w:r>
      <w:r w:rsidR="00C47BFF">
        <w:rPr>
          <w:rFonts w:ascii="Times New Roman" w:hAnsi="Times New Roman"/>
          <w:noProof/>
          <w:sz w:val="24"/>
          <w:szCs w:val="24"/>
          <w:u w:val="single"/>
        </w:rPr>
        <w:t>14</w:t>
      </w:r>
      <w:r w:rsidR="00620BEA" w:rsidRPr="00B3342D">
        <w:rPr>
          <w:rFonts w:ascii="Times New Roman" w:hAnsi="Times New Roman"/>
          <w:sz w:val="24"/>
          <w:szCs w:val="24"/>
          <w:u w:val="single"/>
        </w:rPr>
        <w:fldChar w:fldCharType="end"/>
      </w:r>
      <w:r w:rsidRPr="007B41EE">
        <w:rPr>
          <w:rFonts w:ascii="Times New Roman" w:hAnsi="Times New Roman"/>
          <w:sz w:val="24"/>
          <w:szCs w:val="24"/>
        </w:rPr>
        <w:t>: Grands ensembles de zones humides et superficie correspondante</w:t>
      </w:r>
      <w:bookmarkEnd w:id="103"/>
    </w:p>
    <w:p w14:paraId="3DCD89D1" w14:textId="77777777" w:rsidR="000A05E6" w:rsidRPr="008063D4" w:rsidRDefault="000A05E6" w:rsidP="00254C9C">
      <w:pPr>
        <w:keepNext/>
        <w:autoSpaceDE w:val="0"/>
        <w:autoSpaceDN w:val="0"/>
        <w:adjustRightInd w:val="0"/>
        <w:spacing w:after="0" w:line="240" w:lineRule="auto"/>
        <w:jc w:val="center"/>
        <w:rPr>
          <w:rFonts w:ascii="Times New Roman" w:hAnsi="Times New Roman" w:cs="Times New Roman"/>
          <w:b/>
          <w:bCs/>
          <w:sz w:val="24"/>
          <w:szCs w:val="24"/>
        </w:rPr>
      </w:pPr>
    </w:p>
    <w:p w14:paraId="112CFCAE" w14:textId="77777777" w:rsidR="00F52EF3" w:rsidRPr="008063D4" w:rsidRDefault="00F52EF3" w:rsidP="00254C9C">
      <w:pPr>
        <w:keepNext/>
        <w:autoSpaceDE w:val="0"/>
        <w:autoSpaceDN w:val="0"/>
        <w:adjustRightInd w:val="0"/>
        <w:spacing w:after="0" w:line="240" w:lineRule="auto"/>
        <w:jc w:val="center"/>
        <w:rPr>
          <w:rFonts w:ascii="Times New Roman" w:hAnsi="Times New Roman" w:cs="Times New Roman"/>
          <w:b/>
          <w:bCs/>
          <w:sz w:val="24"/>
          <w:szCs w:val="24"/>
        </w:rPr>
      </w:pPr>
      <w:r w:rsidRPr="008063D4">
        <w:rPr>
          <w:rFonts w:ascii="Times New Roman" w:hAnsi="Times New Roman" w:cs="Times New Roman"/>
          <w:b/>
          <w:bCs/>
          <w:noProof/>
          <w:sz w:val="24"/>
          <w:szCs w:val="24"/>
          <w:lang w:eastAsia="fr-FR"/>
        </w:rPr>
        <w:drawing>
          <wp:inline distT="0" distB="0" distL="0" distR="0" wp14:anchorId="2B54AC6D" wp14:editId="6A679CF9">
            <wp:extent cx="4688205" cy="1438275"/>
            <wp:effectExtent l="19050" t="0" r="0" b="0"/>
            <wp:docPr id="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4688205" cy="1438275"/>
                    </a:xfrm>
                    <a:prstGeom prst="rect">
                      <a:avLst/>
                    </a:prstGeom>
                    <a:noFill/>
                    <a:ln w="9525">
                      <a:noFill/>
                      <a:miter lim="800000"/>
                      <a:headEnd/>
                      <a:tailEnd/>
                    </a:ln>
                  </pic:spPr>
                </pic:pic>
              </a:graphicData>
            </a:graphic>
          </wp:inline>
        </w:drawing>
      </w:r>
    </w:p>
    <w:p w14:paraId="05E66C51" w14:textId="77777777" w:rsidR="00F52EF3" w:rsidRPr="008063D4" w:rsidRDefault="00F52EF3" w:rsidP="00254C9C">
      <w:pPr>
        <w:spacing w:after="0" w:line="240" w:lineRule="auto"/>
        <w:jc w:val="center"/>
        <w:rPr>
          <w:rFonts w:ascii="Times New Roman" w:hAnsi="Times New Roman" w:cs="Times New Roman"/>
          <w:b/>
          <w:bCs/>
          <w:sz w:val="24"/>
          <w:szCs w:val="24"/>
        </w:rPr>
      </w:pPr>
    </w:p>
    <w:p w14:paraId="73D60F61" w14:textId="77777777" w:rsidR="000C1B26"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La grande potentialité productive de ces zones favorise la forte concentration des populations humaines et leur surexploitation. En effet, les milieux aquatiques et les zones humides apportent à la biodiversité togolaise une importante quantité d’espèces végétales et animales (MERF, 2003). Les inventaires réalisés sur l’ensemble du pays indiquent que plus de la moitié des taxons répertoriés sur la faune sont marins. On y rencontre une vingtaine de phylums d’Invertébrés qui comprennent les Protozoaires, les Spongiaires, les Cnidaires, les Annelides, les Echinodermes, les Mollusques, les Arthropodes ainsi qu’un grand nombre d’espèces non identifiées. Les travaux réalisés en 1997 dans les mares et zones humides du parc national Oti-Kéran et au sud de la réserve de faune de Togodo constituent les rares références disponibles (Guelly et al., 1997). Les résultats de ces travaux ont indiqué que les zones humides du parc Oti-Kéran sont représentées par les banquises et galeries fluviatiles mais surtout par les savanes et prairies inondables qui occupent de vastes dépressions le long des vallées de l’Oti et de ses affluents (Kéran et Koumongou).</w:t>
      </w:r>
    </w:p>
    <w:p w14:paraId="33497E76" w14:textId="3EA62111" w:rsidR="00F52EF3" w:rsidRPr="008063D4" w:rsidRDefault="00F52EF3" w:rsidP="00254C9C">
      <w:pPr>
        <w:spacing w:after="0" w:line="240" w:lineRule="auto"/>
        <w:jc w:val="both"/>
        <w:rPr>
          <w:rFonts w:ascii="Times New Roman" w:hAnsi="Times New Roman" w:cs="Times New Roman"/>
          <w:b/>
          <w:bCs/>
          <w:sz w:val="24"/>
          <w:szCs w:val="24"/>
        </w:rPr>
      </w:pPr>
      <w:r w:rsidRPr="008063D4">
        <w:rPr>
          <w:rFonts w:ascii="Times New Roman" w:hAnsi="Times New Roman" w:cs="Times New Roman"/>
          <w:sz w:val="24"/>
          <w:szCs w:val="24"/>
        </w:rPr>
        <w:t>Au niveau de ces écosystèmes, certaines espèces rencontrées dans les mares au sud de la réserve de faune de Togodo n'avaient pas encore été signalées dans la flore du Togo</w:t>
      </w:r>
      <w:r w:rsidR="00B3342D">
        <w:rPr>
          <w:rFonts w:ascii="Times New Roman" w:hAnsi="Times New Roman" w:cs="Times New Roman"/>
          <w:sz w:val="24"/>
          <w:szCs w:val="24"/>
        </w:rPr>
        <w:t xml:space="preserve"> </w:t>
      </w:r>
      <w:r w:rsidRPr="008063D4">
        <w:rPr>
          <w:rFonts w:ascii="Times New Roman" w:hAnsi="Times New Roman" w:cs="Times New Roman"/>
          <w:sz w:val="24"/>
          <w:szCs w:val="24"/>
        </w:rPr>
        <w:t xml:space="preserve">: </w:t>
      </w:r>
      <w:r w:rsidRPr="008063D4">
        <w:rPr>
          <w:rFonts w:ascii="Times New Roman" w:hAnsi="Times New Roman" w:cs="Times New Roman"/>
          <w:i/>
          <w:sz w:val="24"/>
          <w:szCs w:val="24"/>
        </w:rPr>
        <w:t>Acroceras macrum (</w:t>
      </w:r>
      <w:r w:rsidRPr="008063D4">
        <w:rPr>
          <w:rFonts w:ascii="Times New Roman" w:hAnsi="Times New Roman" w:cs="Times New Roman"/>
          <w:sz w:val="24"/>
          <w:szCs w:val="24"/>
        </w:rPr>
        <w:t>Poaceae</w:t>
      </w:r>
      <w:r w:rsidRPr="008063D4">
        <w:rPr>
          <w:rFonts w:ascii="Times New Roman" w:hAnsi="Times New Roman" w:cs="Times New Roman"/>
          <w:i/>
          <w:sz w:val="24"/>
          <w:szCs w:val="24"/>
        </w:rPr>
        <w:t xml:space="preserve">), Cyperus iria, Pycreus mundtii, Torulinium odoratum </w:t>
      </w:r>
      <w:r w:rsidRPr="008063D4">
        <w:rPr>
          <w:rFonts w:ascii="Times New Roman" w:hAnsi="Times New Roman" w:cs="Times New Roman"/>
          <w:sz w:val="24"/>
          <w:szCs w:val="24"/>
        </w:rPr>
        <w:t>(Cyperaceae)</w:t>
      </w:r>
      <w:r w:rsidRPr="008063D4">
        <w:rPr>
          <w:rFonts w:ascii="Times New Roman" w:hAnsi="Times New Roman" w:cs="Times New Roman"/>
          <w:i/>
          <w:sz w:val="24"/>
          <w:szCs w:val="24"/>
        </w:rPr>
        <w:t>, Ipomoea muricata (</w:t>
      </w:r>
      <w:r w:rsidRPr="008063D4">
        <w:rPr>
          <w:rFonts w:ascii="Times New Roman" w:hAnsi="Times New Roman" w:cs="Times New Roman"/>
          <w:sz w:val="24"/>
          <w:szCs w:val="24"/>
        </w:rPr>
        <w:t>Convolvulaceae</w:t>
      </w:r>
      <w:r w:rsidRPr="008063D4">
        <w:rPr>
          <w:rFonts w:ascii="Times New Roman" w:hAnsi="Times New Roman" w:cs="Times New Roman"/>
          <w:i/>
          <w:sz w:val="24"/>
          <w:szCs w:val="24"/>
        </w:rPr>
        <w:t>), Stemondia verticillata</w:t>
      </w:r>
      <w:r w:rsidRPr="008063D4">
        <w:rPr>
          <w:rFonts w:ascii="Times New Roman" w:hAnsi="Times New Roman" w:cs="Times New Roman"/>
          <w:sz w:val="24"/>
          <w:szCs w:val="24"/>
        </w:rPr>
        <w:t xml:space="preserve"> (Scrophulariaceae). Dans les zones humides du parc Oti-Kéran, certaines espèces recensées appartiennent à des genres nouveaux (</w:t>
      </w:r>
      <w:r w:rsidRPr="00AC13F9">
        <w:rPr>
          <w:rFonts w:ascii="Times New Roman" w:hAnsi="Times New Roman" w:cs="Times New Roman"/>
          <w:i/>
          <w:sz w:val="24"/>
          <w:szCs w:val="24"/>
        </w:rPr>
        <w:t>Aniseia, Cadaba, Courbonia, Iphigenia, Nymphoides</w:t>
      </w:r>
      <w:r w:rsidRPr="008063D4">
        <w:rPr>
          <w:rFonts w:ascii="Times New Roman" w:hAnsi="Times New Roman" w:cs="Times New Roman"/>
          <w:sz w:val="24"/>
          <w:szCs w:val="24"/>
        </w:rPr>
        <w:t>) voire une famille (Menyanthaceae) qui n’a pas été signalée auparavant au Togo.</w:t>
      </w:r>
    </w:p>
    <w:p w14:paraId="25853888" w14:textId="77777777" w:rsidR="000A05E6" w:rsidRDefault="000A05E6" w:rsidP="00254C9C">
      <w:pPr>
        <w:pStyle w:val="Paragraphedeliste"/>
        <w:spacing w:after="0" w:line="240" w:lineRule="auto"/>
        <w:ind w:left="142"/>
        <w:outlineLvl w:val="1"/>
        <w:rPr>
          <w:rFonts w:ascii="Times New Roman" w:hAnsi="Times New Roman" w:cs="Times New Roman"/>
          <w:b/>
          <w:sz w:val="24"/>
          <w:szCs w:val="24"/>
          <w:lang w:eastAsia="fr-FR"/>
        </w:rPr>
      </w:pPr>
    </w:p>
    <w:p w14:paraId="02D66DB6" w14:textId="77777777" w:rsidR="00F52EF3" w:rsidRPr="008063D4" w:rsidRDefault="00C23E0C" w:rsidP="00254C9C">
      <w:pPr>
        <w:pStyle w:val="Paragraphedeliste"/>
        <w:spacing w:after="0" w:line="240" w:lineRule="auto"/>
        <w:ind w:left="142"/>
        <w:outlineLvl w:val="1"/>
        <w:rPr>
          <w:rFonts w:ascii="Times New Roman" w:hAnsi="Times New Roman" w:cs="Times New Roman"/>
          <w:b/>
          <w:sz w:val="24"/>
          <w:szCs w:val="24"/>
        </w:rPr>
      </w:pPr>
      <w:bookmarkStart w:id="104" w:name="_Toc533413777"/>
      <w:r>
        <w:rPr>
          <w:rFonts w:ascii="Times New Roman" w:hAnsi="Times New Roman" w:cs="Times New Roman"/>
          <w:b/>
          <w:sz w:val="24"/>
          <w:szCs w:val="24"/>
          <w:lang w:eastAsia="fr-FR"/>
        </w:rPr>
        <w:t>c)</w:t>
      </w:r>
      <w:r w:rsidR="00F52EF3" w:rsidRPr="008063D4">
        <w:rPr>
          <w:rFonts w:ascii="Times New Roman" w:hAnsi="Times New Roman" w:cs="Times New Roman"/>
          <w:b/>
          <w:sz w:val="24"/>
          <w:szCs w:val="24"/>
        </w:rPr>
        <w:t>Utilisation des terres et changements d’affectation des terres</w:t>
      </w:r>
      <w:bookmarkEnd w:id="104"/>
    </w:p>
    <w:p w14:paraId="773B8A59" w14:textId="77777777" w:rsidR="000A05E6" w:rsidRDefault="000A05E6" w:rsidP="00254C9C">
      <w:pPr>
        <w:spacing w:after="0" w:line="240" w:lineRule="auto"/>
        <w:jc w:val="both"/>
        <w:rPr>
          <w:rFonts w:ascii="Times New Roman" w:eastAsia="SimSun" w:hAnsi="Times New Roman" w:cs="Times New Roman"/>
          <w:sz w:val="24"/>
          <w:szCs w:val="24"/>
          <w:lang w:eastAsia="fr-FR"/>
        </w:rPr>
      </w:pPr>
    </w:p>
    <w:p w14:paraId="4237711E" w14:textId="02EA9501" w:rsidR="00DB5C3A" w:rsidRDefault="00F52EF3" w:rsidP="00254C9C">
      <w:pPr>
        <w:spacing w:after="0" w:line="240" w:lineRule="auto"/>
        <w:jc w:val="both"/>
        <w:rPr>
          <w:rFonts w:ascii="Times New Roman" w:hAnsi="Times New Roman" w:cs="Times New Roman"/>
          <w:sz w:val="24"/>
          <w:szCs w:val="24"/>
        </w:rPr>
      </w:pPr>
      <w:r w:rsidRPr="008063D4">
        <w:rPr>
          <w:rFonts w:ascii="Times New Roman" w:eastAsia="SimSun" w:hAnsi="Times New Roman" w:cs="Times New Roman"/>
          <w:sz w:val="24"/>
          <w:szCs w:val="24"/>
          <w:lang w:eastAsia="fr-FR"/>
        </w:rPr>
        <w:t xml:space="preserve">L’analyse de la dynamique de changement d’affectation des terres et d’utilisation des terres au Togo a été réalisée </w:t>
      </w:r>
      <w:r w:rsidRPr="008063D4">
        <w:rPr>
          <w:rFonts w:ascii="Times New Roman" w:hAnsi="Times New Roman" w:cs="Times New Roman"/>
          <w:sz w:val="24"/>
          <w:szCs w:val="24"/>
        </w:rPr>
        <w:t>à travers la combinaison d’une approche participative, basée sur la consultation des parties prenantes et le traitement des images satellitaires (MERF, 2018). L</w:t>
      </w:r>
      <w:r w:rsidRPr="008063D4">
        <w:rPr>
          <w:rFonts w:ascii="Times New Roman" w:eastAsia="Times New Roman" w:hAnsi="Times New Roman" w:cs="Times New Roman"/>
          <w:bCs/>
          <w:sz w:val="24"/>
          <w:szCs w:val="24"/>
        </w:rPr>
        <w:t>e traitement des images satellitaires, a permis l’analyse des dynamiques des changements d’affectation des terres pa</w:t>
      </w:r>
      <w:r w:rsidRPr="008063D4">
        <w:rPr>
          <w:rFonts w:ascii="Times New Roman" w:hAnsi="Times New Roman" w:cs="Times New Roman"/>
          <w:sz w:val="24"/>
          <w:szCs w:val="24"/>
        </w:rPr>
        <w:t>r la production de la carte d’occupation du sol</w:t>
      </w:r>
      <w:r w:rsidRPr="008063D4">
        <w:rPr>
          <w:rFonts w:ascii="Times New Roman" w:eastAsia="Times New Roman" w:hAnsi="Times New Roman" w:cs="Times New Roman"/>
          <w:bCs/>
          <w:sz w:val="24"/>
          <w:szCs w:val="24"/>
        </w:rPr>
        <w:t xml:space="preserve"> de 2005, 2013 et 2017. Les </w:t>
      </w:r>
      <w:r w:rsidRPr="008063D4">
        <w:rPr>
          <w:rFonts w:ascii="Times New Roman" w:hAnsi="Times New Roman" w:cs="Times New Roman"/>
          <w:sz w:val="24"/>
          <w:szCs w:val="24"/>
        </w:rPr>
        <w:t>différentes images satellitaires utilisées proviennent des capteurs Sentinel-2, Landsat-7 et Landsat-8. Les résultats indiquent de façon générale une diminution des terres forestières de 2005 à 201</w:t>
      </w:r>
      <w:r w:rsidR="00B3342D">
        <w:rPr>
          <w:rFonts w:ascii="Times New Roman" w:hAnsi="Times New Roman" w:cs="Times New Roman"/>
          <w:sz w:val="24"/>
          <w:szCs w:val="24"/>
        </w:rPr>
        <w:t>7. Elle est passée de 4 777 191</w:t>
      </w:r>
      <w:r w:rsidRPr="008063D4">
        <w:rPr>
          <w:rFonts w:ascii="Times New Roman" w:hAnsi="Times New Roman" w:cs="Times New Roman"/>
          <w:sz w:val="24"/>
          <w:szCs w:val="24"/>
        </w:rPr>
        <w:t xml:space="preserve"> ha en 2005 à 3 335 584 ha en 2017 (Figure 4).</w:t>
      </w:r>
    </w:p>
    <w:p w14:paraId="63FB7552" w14:textId="77777777" w:rsidR="00DB5C3A" w:rsidRDefault="00DB5C3A" w:rsidP="00254C9C">
      <w:pPr>
        <w:spacing w:after="0" w:line="240" w:lineRule="auto"/>
        <w:jc w:val="both"/>
        <w:rPr>
          <w:rFonts w:ascii="Times New Roman" w:hAnsi="Times New Roman" w:cs="Times New Roman"/>
          <w:sz w:val="24"/>
          <w:szCs w:val="24"/>
        </w:rPr>
      </w:pPr>
    </w:p>
    <w:p w14:paraId="40D0BA6F" w14:textId="29A852E9" w:rsidR="00F52EF3"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Pour ce qui concerne les terres cultivées, les résultats indiquent leur augmentation au cours de la période. Ces terres cultivées passent de 697 020 ha en 2005 à 1 664 084 ha en 2017. Les facteurs à l’origine de ces tendances sont entre autres la pression démographique, la dégradation des terres dans certains secteurs du pays, les anomalies climatiques, les feux de végétation qui deviennent de plus en plus fréquents, l’extension des cultures, etc. Cette expansion impacte la stabilité des terres marginales et les aires protégées. Ces différentes variations traduisent également une grande fragmentation des écosystèmes associés en particulier les écosystèmes forestiers et les savanes boisées. Il est noté aussi une augmentation des éta</w:t>
      </w:r>
      <w:r w:rsidR="00B3342D">
        <w:rPr>
          <w:rFonts w:ascii="Times New Roman" w:hAnsi="Times New Roman" w:cs="Times New Roman"/>
          <w:sz w:val="24"/>
          <w:szCs w:val="24"/>
        </w:rPr>
        <w:t>blissements humains (Figure 21</w:t>
      </w:r>
      <w:r w:rsidR="00AC13F9">
        <w:rPr>
          <w:rFonts w:ascii="Times New Roman" w:hAnsi="Times New Roman" w:cs="Times New Roman"/>
          <w:sz w:val="24"/>
          <w:szCs w:val="24"/>
        </w:rPr>
        <w:t>).</w:t>
      </w:r>
    </w:p>
    <w:p w14:paraId="228D0087" w14:textId="77777777" w:rsidR="00AC13F9" w:rsidRPr="008063D4" w:rsidRDefault="00AC13F9" w:rsidP="00254C9C">
      <w:pPr>
        <w:spacing w:after="0" w:line="240" w:lineRule="auto"/>
        <w:jc w:val="both"/>
        <w:rPr>
          <w:rFonts w:ascii="Times New Roman" w:hAnsi="Times New Roman" w:cs="Times New Roman"/>
          <w:sz w:val="24"/>
          <w:szCs w:val="24"/>
        </w:rPr>
      </w:pPr>
    </w:p>
    <w:p w14:paraId="165A0A78" w14:textId="77777777" w:rsidR="00F52EF3" w:rsidRPr="008063D4" w:rsidRDefault="00F52EF3" w:rsidP="00254C9C">
      <w:pPr>
        <w:spacing w:after="0" w:line="240" w:lineRule="auto"/>
        <w:jc w:val="center"/>
        <w:rPr>
          <w:rFonts w:ascii="Times New Roman" w:hAnsi="Times New Roman" w:cs="Times New Roman"/>
          <w:b/>
          <w:noProof/>
          <w:sz w:val="24"/>
          <w:szCs w:val="24"/>
          <w:lang w:eastAsia="fr-FR"/>
        </w:rPr>
      </w:pPr>
      <w:r w:rsidRPr="008063D4">
        <w:rPr>
          <w:rFonts w:ascii="Times New Roman" w:hAnsi="Times New Roman" w:cs="Times New Roman"/>
          <w:b/>
          <w:noProof/>
          <w:sz w:val="24"/>
          <w:szCs w:val="24"/>
          <w:lang w:eastAsia="fr-FR"/>
        </w:rPr>
        <w:drawing>
          <wp:inline distT="0" distB="0" distL="0" distR="0" wp14:anchorId="23FDF252" wp14:editId="604602E9">
            <wp:extent cx="4480247" cy="2400544"/>
            <wp:effectExtent l="12190" t="6106" r="4633" b="0"/>
            <wp:docPr id="5" name="Graphique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75065C1" w14:textId="77777777" w:rsidR="000A05E6" w:rsidRDefault="000A05E6" w:rsidP="00254C9C">
      <w:pPr>
        <w:spacing w:after="0" w:line="240" w:lineRule="auto"/>
        <w:jc w:val="center"/>
        <w:rPr>
          <w:rFonts w:ascii="Times New Roman" w:hAnsi="Times New Roman" w:cs="Times New Roman"/>
          <w:b/>
          <w:sz w:val="24"/>
          <w:szCs w:val="24"/>
        </w:rPr>
      </w:pPr>
    </w:p>
    <w:p w14:paraId="025C4D85" w14:textId="495111B5" w:rsidR="00F52EF3" w:rsidRPr="007B41EE" w:rsidRDefault="007B41EE" w:rsidP="00DB5C3A">
      <w:pPr>
        <w:pStyle w:val="Lgende"/>
        <w:spacing w:after="0"/>
        <w:rPr>
          <w:rFonts w:ascii="Times New Roman" w:hAnsi="Times New Roman"/>
          <w:b w:val="0"/>
          <w:bCs w:val="0"/>
          <w:sz w:val="24"/>
          <w:szCs w:val="24"/>
        </w:rPr>
      </w:pPr>
      <w:bookmarkStart w:id="105" w:name="_Toc533413509"/>
      <w:r w:rsidRPr="00B3342D">
        <w:rPr>
          <w:rFonts w:ascii="Times New Roman" w:hAnsi="Times New Roman"/>
          <w:sz w:val="24"/>
          <w:szCs w:val="24"/>
          <w:u w:val="single"/>
        </w:rPr>
        <w:t xml:space="preserve">Figure </w:t>
      </w:r>
      <w:r w:rsidR="00620BEA" w:rsidRPr="00B3342D">
        <w:rPr>
          <w:rFonts w:ascii="Times New Roman" w:hAnsi="Times New Roman"/>
          <w:sz w:val="24"/>
          <w:szCs w:val="24"/>
          <w:u w:val="single"/>
        </w:rPr>
        <w:fldChar w:fldCharType="begin"/>
      </w:r>
      <w:r w:rsidRPr="00B3342D">
        <w:rPr>
          <w:rFonts w:ascii="Times New Roman" w:hAnsi="Times New Roman"/>
          <w:sz w:val="24"/>
          <w:szCs w:val="24"/>
          <w:u w:val="single"/>
        </w:rPr>
        <w:instrText xml:space="preserve"> SEQ Figure \* ARABIC </w:instrText>
      </w:r>
      <w:r w:rsidR="00620BEA" w:rsidRPr="00B3342D">
        <w:rPr>
          <w:rFonts w:ascii="Times New Roman" w:hAnsi="Times New Roman"/>
          <w:sz w:val="24"/>
          <w:szCs w:val="24"/>
          <w:u w:val="single"/>
        </w:rPr>
        <w:fldChar w:fldCharType="separate"/>
      </w:r>
      <w:r w:rsidR="00C47BFF">
        <w:rPr>
          <w:rFonts w:ascii="Times New Roman" w:hAnsi="Times New Roman"/>
          <w:noProof/>
          <w:sz w:val="24"/>
          <w:szCs w:val="24"/>
          <w:u w:val="single"/>
        </w:rPr>
        <w:t>21</w:t>
      </w:r>
      <w:r w:rsidR="00620BEA" w:rsidRPr="00B3342D">
        <w:rPr>
          <w:rFonts w:ascii="Times New Roman" w:hAnsi="Times New Roman"/>
          <w:sz w:val="24"/>
          <w:szCs w:val="24"/>
          <w:u w:val="single"/>
        </w:rPr>
        <w:fldChar w:fldCharType="end"/>
      </w:r>
      <w:r w:rsidRPr="00B3342D">
        <w:rPr>
          <w:rFonts w:ascii="Times New Roman" w:hAnsi="Times New Roman"/>
          <w:sz w:val="24"/>
          <w:szCs w:val="24"/>
          <w:u w:val="single"/>
        </w:rPr>
        <w:t>:</w:t>
      </w:r>
      <w:r w:rsidRPr="007B41EE">
        <w:rPr>
          <w:rFonts w:ascii="Times New Roman" w:hAnsi="Times New Roman"/>
          <w:sz w:val="24"/>
          <w:szCs w:val="24"/>
        </w:rPr>
        <w:t xml:space="preserve"> Tendances de l’occupation et d’utilisation des terres (2005, 2013 et 2017)</w:t>
      </w:r>
      <w:bookmarkEnd w:id="105"/>
    </w:p>
    <w:p w14:paraId="2A16A7D5" w14:textId="77777777" w:rsidR="00F52EF3" w:rsidRPr="008063D4" w:rsidRDefault="00F52EF3" w:rsidP="00254C9C">
      <w:pPr>
        <w:spacing w:after="0" w:line="240" w:lineRule="auto"/>
        <w:rPr>
          <w:rFonts w:ascii="Times New Roman" w:hAnsi="Times New Roman" w:cs="Times New Roman"/>
          <w:b/>
          <w:bCs/>
          <w:sz w:val="24"/>
          <w:szCs w:val="24"/>
        </w:rPr>
      </w:pPr>
    </w:p>
    <w:p w14:paraId="423158EB" w14:textId="77777777" w:rsidR="00F52EF3" w:rsidRPr="008063D4" w:rsidRDefault="00C23E0C" w:rsidP="00254C9C">
      <w:pPr>
        <w:spacing w:after="0" w:line="240" w:lineRule="auto"/>
        <w:rPr>
          <w:rFonts w:ascii="Times New Roman" w:hAnsi="Times New Roman" w:cs="Times New Roman"/>
          <w:b/>
          <w:bCs/>
          <w:sz w:val="24"/>
          <w:szCs w:val="24"/>
        </w:rPr>
      </w:pPr>
      <w:r>
        <w:rPr>
          <w:rFonts w:ascii="Times New Roman" w:hAnsi="Times New Roman" w:cs="Times New Roman"/>
          <w:b/>
          <w:sz w:val="24"/>
          <w:szCs w:val="24"/>
          <w:lang w:eastAsia="fr-FR"/>
        </w:rPr>
        <w:t>d)</w:t>
      </w:r>
      <w:r w:rsidR="00F52EF3" w:rsidRPr="008063D4">
        <w:rPr>
          <w:rFonts w:ascii="Times New Roman" w:hAnsi="Times New Roman" w:cs="Times New Roman"/>
          <w:b/>
          <w:bCs/>
          <w:sz w:val="24"/>
          <w:szCs w:val="24"/>
        </w:rPr>
        <w:t xml:space="preserve">Tendances d’évolution des écosystèmes forestiers </w:t>
      </w:r>
    </w:p>
    <w:p w14:paraId="7A2D053C" w14:textId="77777777" w:rsidR="000A05E6" w:rsidRDefault="000A05E6" w:rsidP="00254C9C">
      <w:pPr>
        <w:spacing w:after="0" w:line="240" w:lineRule="auto"/>
        <w:jc w:val="both"/>
        <w:rPr>
          <w:rFonts w:ascii="Times New Roman" w:hAnsi="Times New Roman" w:cs="Times New Roman"/>
          <w:sz w:val="24"/>
          <w:szCs w:val="24"/>
          <w:lang w:val="fr-LU"/>
        </w:rPr>
      </w:pPr>
    </w:p>
    <w:p w14:paraId="2C2ED525" w14:textId="5906265D" w:rsidR="00555B83"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lang w:val="fr-LU"/>
        </w:rPr>
        <w:t>L’analyse historique de la couverture forestière au Togo faite sur la base des résultats de l’interprétation des photos aériennes 1976 – 1985 comparés avec ceux des images rapideye 2013-2014 et landsat 1988- 2015,</w:t>
      </w:r>
      <w:r w:rsidRPr="008063D4">
        <w:rPr>
          <w:rFonts w:ascii="Times New Roman" w:hAnsi="Times New Roman" w:cs="Times New Roman"/>
          <w:sz w:val="24"/>
          <w:szCs w:val="24"/>
          <w:lang w:eastAsia="fr-FR"/>
        </w:rPr>
        <w:t xml:space="preserve"> révèlent, dans l’ensemble, une tendance à la baisse du couvert forestier national donc des </w:t>
      </w:r>
      <w:r w:rsidR="001127E6">
        <w:rPr>
          <w:rFonts w:ascii="Times New Roman" w:hAnsi="Times New Roman" w:cs="Times New Roman"/>
          <w:sz w:val="24"/>
          <w:szCs w:val="24"/>
          <w:lang w:eastAsia="fr-FR"/>
        </w:rPr>
        <w:t>é</w:t>
      </w:r>
      <w:r w:rsidR="00B3342D">
        <w:rPr>
          <w:rFonts w:ascii="Times New Roman" w:hAnsi="Times New Roman" w:cs="Times New Roman"/>
          <w:sz w:val="24"/>
          <w:szCs w:val="24"/>
          <w:lang w:eastAsia="fr-FR"/>
        </w:rPr>
        <w:t>cosystèmes terrestres (Figure 22</w:t>
      </w:r>
      <w:r w:rsidRPr="008063D4">
        <w:rPr>
          <w:rFonts w:ascii="Times New Roman" w:hAnsi="Times New Roman" w:cs="Times New Roman"/>
          <w:sz w:val="24"/>
          <w:szCs w:val="24"/>
          <w:lang w:eastAsia="fr-FR"/>
        </w:rPr>
        <w:t xml:space="preserve">). En effet, les résultats par strate forestière montre qu’entre la période 1976 - 1985 et celle de 2013 - 2014, la couverture des forêts denses a régressé de </w:t>
      </w:r>
      <w:r w:rsidR="00B3342D">
        <w:rPr>
          <w:rFonts w:ascii="Times New Roman" w:hAnsi="Times New Roman" w:cs="Times New Roman"/>
          <w:sz w:val="24"/>
          <w:szCs w:val="24"/>
          <w:lang w:eastAsia="fr-FR"/>
        </w:rPr>
        <w:t xml:space="preserve">157 990 ha pour s’établir à 118 035 </w:t>
      </w:r>
      <w:r w:rsidRPr="008063D4">
        <w:rPr>
          <w:rFonts w:ascii="Times New Roman" w:hAnsi="Times New Roman" w:cs="Times New Roman"/>
          <w:sz w:val="24"/>
          <w:szCs w:val="24"/>
          <w:lang w:eastAsia="fr-FR"/>
        </w:rPr>
        <w:t xml:space="preserve">ha entre 2013 - 2014, soit un taux de régression de 57,24 %. Cette régression peut être imputée à la conversion de ces forêts en terres agricoles et en forêts claires par le biais de l’exploitation forestière (MERF, 2016). Selon la même source, il est noté une augmentation de la superficie des forêts claires et savanes boisées qui s’est établie à </w:t>
      </w:r>
      <w:r w:rsidRPr="008063D4">
        <w:rPr>
          <w:rFonts w:ascii="Times New Roman" w:hAnsi="Times New Roman" w:cs="Times New Roman"/>
          <w:sz w:val="24"/>
          <w:szCs w:val="24"/>
        </w:rPr>
        <w:t xml:space="preserve">786 045 ha, soit une augmentation de 1,42 %entre les 2 </w:t>
      </w:r>
      <w:r w:rsidR="00D534BF" w:rsidRPr="008063D4">
        <w:rPr>
          <w:rFonts w:ascii="Times New Roman" w:hAnsi="Times New Roman" w:cs="Times New Roman"/>
          <w:sz w:val="24"/>
          <w:szCs w:val="24"/>
        </w:rPr>
        <w:t>périodes correspondant</w:t>
      </w:r>
      <w:r w:rsidRPr="008063D4">
        <w:rPr>
          <w:rFonts w:ascii="Times New Roman" w:hAnsi="Times New Roman" w:cs="Times New Roman"/>
          <w:sz w:val="24"/>
          <w:szCs w:val="24"/>
        </w:rPr>
        <w:t xml:space="preserve"> à 10 968 ha.</w:t>
      </w:r>
    </w:p>
    <w:p w14:paraId="1BB3BA25" w14:textId="77777777" w:rsidR="00555B83" w:rsidRDefault="00555B83" w:rsidP="00254C9C">
      <w:pPr>
        <w:spacing w:after="0" w:line="240" w:lineRule="auto"/>
        <w:jc w:val="both"/>
        <w:rPr>
          <w:rFonts w:ascii="Times New Roman" w:hAnsi="Times New Roman" w:cs="Times New Roman"/>
          <w:sz w:val="24"/>
          <w:szCs w:val="24"/>
        </w:rPr>
      </w:pPr>
    </w:p>
    <w:p w14:paraId="58F8DEC7" w14:textId="21FEE745" w:rsidR="00F52EF3" w:rsidRDefault="00F52EF3" w:rsidP="00254C9C">
      <w:pPr>
        <w:spacing w:after="0" w:line="240" w:lineRule="auto"/>
        <w:jc w:val="both"/>
        <w:rPr>
          <w:rFonts w:ascii="Times New Roman" w:hAnsi="Times New Roman" w:cs="Times New Roman"/>
          <w:sz w:val="24"/>
          <w:szCs w:val="24"/>
        </w:rPr>
      </w:pPr>
      <w:r w:rsidRPr="000C1B26">
        <w:rPr>
          <w:rFonts w:ascii="Times New Roman" w:hAnsi="Times New Roman" w:cs="Times New Roman"/>
          <w:sz w:val="24"/>
          <w:szCs w:val="24"/>
        </w:rPr>
        <w:t>Concernant les plantations, un engouement au reboisement a été constaté entre les 2 périodes. Cet engouement a permis d’augmenter de plus de 100 % la superficie des plantations, qui était de 19405</w:t>
      </w:r>
      <w:r w:rsidR="00B3342D">
        <w:rPr>
          <w:rFonts w:ascii="Times New Roman" w:hAnsi="Times New Roman" w:cs="Times New Roman"/>
          <w:sz w:val="24"/>
          <w:szCs w:val="24"/>
        </w:rPr>
        <w:t xml:space="preserve"> </w:t>
      </w:r>
      <w:r w:rsidRPr="000C1B26">
        <w:rPr>
          <w:rFonts w:ascii="Times New Roman" w:hAnsi="Times New Roman" w:cs="Times New Roman"/>
          <w:sz w:val="24"/>
          <w:szCs w:val="24"/>
        </w:rPr>
        <w:t>ha entre 1976 - 1985, à 47 756 ha entre 2013 - 2014. Une augmentation a été constatée aussi dans l’évolution de la superficie des forêts riveraines. En effet, cette strate forestière, qui occupait 229</w:t>
      </w:r>
      <w:r w:rsidR="00B3342D">
        <w:rPr>
          <w:rFonts w:ascii="Times New Roman" w:hAnsi="Times New Roman" w:cs="Times New Roman"/>
          <w:sz w:val="24"/>
          <w:szCs w:val="24"/>
        </w:rPr>
        <w:t> </w:t>
      </w:r>
      <w:r w:rsidRPr="000C1B26">
        <w:rPr>
          <w:rFonts w:ascii="Times New Roman" w:hAnsi="Times New Roman" w:cs="Times New Roman"/>
          <w:sz w:val="24"/>
          <w:szCs w:val="24"/>
        </w:rPr>
        <w:t>468</w:t>
      </w:r>
      <w:r w:rsidR="00B3342D">
        <w:rPr>
          <w:rFonts w:ascii="Times New Roman" w:hAnsi="Times New Roman" w:cs="Times New Roman"/>
          <w:sz w:val="24"/>
          <w:szCs w:val="24"/>
        </w:rPr>
        <w:t xml:space="preserve"> </w:t>
      </w:r>
      <w:r w:rsidRPr="000C1B26">
        <w:rPr>
          <w:rFonts w:ascii="Times New Roman" w:hAnsi="Times New Roman" w:cs="Times New Roman"/>
          <w:sz w:val="24"/>
          <w:szCs w:val="24"/>
        </w:rPr>
        <w:t>ha entre 1976 - 1985, a vu sa superficie croître à 301 334 ha jusqu'à la période 2013 - 2014, ce qui correspond à une augmentation de 31,32 %.</w:t>
      </w:r>
    </w:p>
    <w:p w14:paraId="5E87611E" w14:textId="77777777" w:rsidR="00C23E0C" w:rsidRPr="008063D4" w:rsidRDefault="00C23E0C" w:rsidP="00254C9C">
      <w:pPr>
        <w:spacing w:after="0" w:line="240" w:lineRule="auto"/>
        <w:jc w:val="both"/>
        <w:rPr>
          <w:rFonts w:ascii="Times New Roman" w:hAnsi="Times New Roman" w:cs="Times New Roman"/>
          <w:sz w:val="24"/>
          <w:szCs w:val="24"/>
          <w:lang w:eastAsia="fr-FR"/>
        </w:rPr>
      </w:pPr>
    </w:p>
    <w:p w14:paraId="0AA59A29" w14:textId="77777777" w:rsidR="00F52EF3" w:rsidRPr="008063D4" w:rsidRDefault="00F52EF3" w:rsidP="00254C9C">
      <w:pPr>
        <w:keepNext/>
        <w:keepLines/>
        <w:spacing w:after="0" w:line="240" w:lineRule="auto"/>
        <w:jc w:val="both"/>
        <w:rPr>
          <w:rFonts w:ascii="Times New Roman" w:hAnsi="Times New Roman" w:cs="Times New Roman"/>
          <w:sz w:val="24"/>
          <w:szCs w:val="24"/>
          <w:lang w:eastAsia="fr-FR"/>
        </w:rPr>
      </w:pPr>
      <w:r w:rsidRPr="008063D4">
        <w:rPr>
          <w:rFonts w:ascii="Times New Roman" w:hAnsi="Times New Roman" w:cs="Times New Roman"/>
          <w:noProof/>
          <w:sz w:val="24"/>
          <w:szCs w:val="24"/>
          <w:lang w:eastAsia="fr-FR"/>
        </w:rPr>
        <w:drawing>
          <wp:inline distT="0" distB="0" distL="0" distR="0" wp14:anchorId="78EA9DA7" wp14:editId="5BAEF6EB">
            <wp:extent cx="5419725" cy="2165350"/>
            <wp:effectExtent l="0" t="0" r="0" b="0"/>
            <wp:docPr id="6" name="Obje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E17DDB5" w14:textId="77777777" w:rsidR="000A05E6" w:rsidRDefault="000A05E6" w:rsidP="00254C9C">
      <w:pPr>
        <w:pStyle w:val="Lgende"/>
        <w:spacing w:after="0" w:line="240" w:lineRule="auto"/>
        <w:jc w:val="both"/>
        <w:rPr>
          <w:rFonts w:ascii="Times New Roman" w:hAnsi="Times New Roman"/>
          <w:sz w:val="24"/>
          <w:szCs w:val="24"/>
        </w:rPr>
      </w:pPr>
      <w:bookmarkStart w:id="106" w:name="_Ref510262391"/>
      <w:bookmarkStart w:id="107" w:name="_Toc510798658"/>
    </w:p>
    <w:p w14:paraId="44A10ED1" w14:textId="46BB87E2" w:rsidR="000A05E6" w:rsidRPr="007B41EE" w:rsidRDefault="007B41EE" w:rsidP="007B41EE">
      <w:pPr>
        <w:pStyle w:val="Lgende"/>
        <w:rPr>
          <w:rFonts w:ascii="Times New Roman" w:hAnsi="Times New Roman"/>
          <w:sz w:val="24"/>
          <w:szCs w:val="24"/>
          <w:lang w:eastAsia="fr-FR"/>
        </w:rPr>
      </w:pPr>
      <w:bookmarkStart w:id="108" w:name="_Toc533413510"/>
      <w:bookmarkEnd w:id="106"/>
      <w:bookmarkEnd w:id="107"/>
      <w:r w:rsidRPr="00B3342D">
        <w:rPr>
          <w:rFonts w:ascii="Times New Roman" w:hAnsi="Times New Roman"/>
          <w:sz w:val="24"/>
          <w:szCs w:val="24"/>
          <w:u w:val="single"/>
        </w:rPr>
        <w:t xml:space="preserve">Figure </w:t>
      </w:r>
      <w:r w:rsidR="00620BEA" w:rsidRPr="00B3342D">
        <w:rPr>
          <w:rFonts w:ascii="Times New Roman" w:hAnsi="Times New Roman"/>
          <w:sz w:val="24"/>
          <w:szCs w:val="24"/>
          <w:u w:val="single"/>
        </w:rPr>
        <w:fldChar w:fldCharType="begin"/>
      </w:r>
      <w:r w:rsidRPr="00B3342D">
        <w:rPr>
          <w:rFonts w:ascii="Times New Roman" w:hAnsi="Times New Roman"/>
          <w:sz w:val="24"/>
          <w:szCs w:val="24"/>
          <w:u w:val="single"/>
        </w:rPr>
        <w:instrText xml:space="preserve"> SEQ Figure \* ARABIC </w:instrText>
      </w:r>
      <w:r w:rsidR="00620BEA" w:rsidRPr="00B3342D">
        <w:rPr>
          <w:rFonts w:ascii="Times New Roman" w:hAnsi="Times New Roman"/>
          <w:sz w:val="24"/>
          <w:szCs w:val="24"/>
          <w:u w:val="single"/>
        </w:rPr>
        <w:fldChar w:fldCharType="separate"/>
      </w:r>
      <w:r w:rsidR="00C47BFF">
        <w:rPr>
          <w:rFonts w:ascii="Times New Roman" w:hAnsi="Times New Roman"/>
          <w:noProof/>
          <w:sz w:val="24"/>
          <w:szCs w:val="24"/>
          <w:u w:val="single"/>
        </w:rPr>
        <w:t>22</w:t>
      </w:r>
      <w:r w:rsidR="00620BEA" w:rsidRPr="00B3342D">
        <w:rPr>
          <w:rFonts w:ascii="Times New Roman" w:hAnsi="Times New Roman"/>
          <w:sz w:val="24"/>
          <w:szCs w:val="24"/>
          <w:u w:val="single"/>
        </w:rPr>
        <w:fldChar w:fldCharType="end"/>
      </w:r>
      <w:r w:rsidRPr="00B3342D">
        <w:rPr>
          <w:rFonts w:ascii="Times New Roman" w:hAnsi="Times New Roman"/>
          <w:sz w:val="24"/>
          <w:szCs w:val="24"/>
          <w:u w:val="single"/>
        </w:rPr>
        <w:t>:</w:t>
      </w:r>
      <w:r w:rsidRPr="007B41EE">
        <w:rPr>
          <w:rFonts w:ascii="Times New Roman" w:hAnsi="Times New Roman"/>
          <w:sz w:val="24"/>
          <w:szCs w:val="24"/>
        </w:rPr>
        <w:t xml:space="preserve"> Evolution des strates forestières du Togo au cours des périodes 1976 - 1985 et 2013 - 2014 suivant les photos aériennes et les images RapidEye (MERF, 2016).</w:t>
      </w:r>
      <w:bookmarkEnd w:id="108"/>
    </w:p>
    <w:p w14:paraId="71C24C41" w14:textId="24176550" w:rsidR="000C1B26" w:rsidRDefault="00F52EF3" w:rsidP="00254C9C">
      <w:pPr>
        <w:spacing w:after="0" w:line="240" w:lineRule="auto"/>
        <w:jc w:val="both"/>
        <w:rPr>
          <w:rFonts w:ascii="Times New Roman" w:hAnsi="Times New Roman" w:cs="Times New Roman"/>
          <w:sz w:val="24"/>
          <w:szCs w:val="24"/>
          <w:lang w:eastAsia="fr-FR"/>
        </w:rPr>
      </w:pPr>
      <w:r w:rsidRPr="008063D4">
        <w:rPr>
          <w:rFonts w:ascii="Times New Roman" w:hAnsi="Times New Roman" w:cs="Times New Roman"/>
          <w:sz w:val="24"/>
          <w:szCs w:val="24"/>
          <w:lang w:eastAsia="fr-FR"/>
        </w:rPr>
        <w:t>Au niveau régional, les résultats indiquent une variation de la couverture forestière estimée à 48</w:t>
      </w:r>
      <w:r w:rsidR="00B3342D">
        <w:rPr>
          <w:rFonts w:ascii="Times New Roman" w:hAnsi="Times New Roman" w:cs="Times New Roman"/>
          <w:sz w:val="24"/>
          <w:szCs w:val="24"/>
          <w:lang w:eastAsia="fr-FR"/>
        </w:rPr>
        <w:t xml:space="preserve"> </w:t>
      </w:r>
      <w:r w:rsidRPr="008063D4">
        <w:rPr>
          <w:rFonts w:ascii="Times New Roman" w:hAnsi="Times New Roman" w:cs="Times New Roman"/>
          <w:sz w:val="24"/>
          <w:szCs w:val="24"/>
          <w:lang w:eastAsia="fr-FR"/>
        </w:rPr>
        <w:t>198 ha dans la région des Savanes, soit</w:t>
      </w:r>
      <w:r w:rsidR="00B3342D">
        <w:rPr>
          <w:rFonts w:ascii="Times New Roman" w:hAnsi="Times New Roman" w:cs="Times New Roman"/>
          <w:sz w:val="24"/>
          <w:szCs w:val="24"/>
          <w:lang w:eastAsia="fr-FR"/>
        </w:rPr>
        <w:t xml:space="preserve"> un taux de régression de 37,35 </w:t>
      </w:r>
      <w:r w:rsidRPr="008063D4">
        <w:rPr>
          <w:rFonts w:ascii="Times New Roman" w:hAnsi="Times New Roman" w:cs="Times New Roman"/>
          <w:sz w:val="24"/>
          <w:szCs w:val="24"/>
          <w:lang w:eastAsia="fr-FR"/>
        </w:rPr>
        <w:t>% entre les périodes 1976 - 1985 et 2013 - 2014. Toutes les strates forestières ont vu leurs superficies diminuées dans la région. Cette situation peut être expliquée par les effets néfastes</w:t>
      </w:r>
      <w:r w:rsidR="00B3342D">
        <w:rPr>
          <w:rFonts w:ascii="Times New Roman" w:hAnsi="Times New Roman" w:cs="Times New Roman"/>
          <w:sz w:val="24"/>
          <w:szCs w:val="24"/>
          <w:lang w:eastAsia="fr-FR"/>
        </w:rPr>
        <w:t xml:space="preserve"> des changements climatiques au regard de</w:t>
      </w:r>
      <w:r w:rsidRPr="008063D4">
        <w:rPr>
          <w:rFonts w:ascii="Times New Roman" w:hAnsi="Times New Roman" w:cs="Times New Roman"/>
          <w:sz w:val="24"/>
          <w:szCs w:val="24"/>
          <w:lang w:eastAsia="fr-FR"/>
        </w:rPr>
        <w:t xml:space="preserve"> sa situation géographique. Dans la région de la Kara, on note des gains dans l’évolution de certaines superficies forestières entre les périodes 1976 - 1985 et 2013 - 2014. Il en est ainsi pour les forêts riveraines et les plantations. En effet, ces 2 strates forestièr</w:t>
      </w:r>
      <w:r w:rsidR="00B3342D">
        <w:rPr>
          <w:rFonts w:ascii="Times New Roman" w:hAnsi="Times New Roman" w:cs="Times New Roman"/>
          <w:sz w:val="24"/>
          <w:szCs w:val="24"/>
          <w:lang w:eastAsia="fr-FR"/>
        </w:rPr>
        <w:t>es ont vu leur superficie accroî</w:t>
      </w:r>
      <w:r w:rsidRPr="008063D4">
        <w:rPr>
          <w:rFonts w:ascii="Times New Roman" w:hAnsi="Times New Roman" w:cs="Times New Roman"/>
          <w:sz w:val="24"/>
          <w:szCs w:val="24"/>
          <w:lang w:eastAsia="fr-FR"/>
        </w:rPr>
        <w:t>tre respectivement de 14 692 et 745 ha pour atteindre 64 321 et 1 219 ha entre 2013 - 2014.</w:t>
      </w:r>
    </w:p>
    <w:p w14:paraId="45F43BC5" w14:textId="77777777" w:rsidR="000C1B26" w:rsidRDefault="000C1B26" w:rsidP="00254C9C">
      <w:pPr>
        <w:spacing w:after="0" w:line="240" w:lineRule="auto"/>
        <w:jc w:val="both"/>
        <w:rPr>
          <w:rFonts w:ascii="Times New Roman" w:hAnsi="Times New Roman" w:cs="Times New Roman"/>
          <w:sz w:val="24"/>
          <w:szCs w:val="24"/>
          <w:lang w:eastAsia="fr-FR"/>
        </w:rPr>
      </w:pPr>
    </w:p>
    <w:p w14:paraId="45A5CC9B" w14:textId="0BF6DE99" w:rsidR="000C1B26" w:rsidRDefault="00F52EF3" w:rsidP="00254C9C">
      <w:pPr>
        <w:spacing w:after="0" w:line="240" w:lineRule="auto"/>
        <w:jc w:val="both"/>
        <w:rPr>
          <w:rFonts w:ascii="Times New Roman" w:hAnsi="Times New Roman" w:cs="Times New Roman"/>
          <w:sz w:val="24"/>
          <w:szCs w:val="24"/>
          <w:lang w:eastAsia="fr-FR"/>
        </w:rPr>
      </w:pPr>
      <w:r w:rsidRPr="008063D4">
        <w:rPr>
          <w:rFonts w:ascii="Times New Roman" w:hAnsi="Times New Roman" w:cs="Times New Roman"/>
          <w:sz w:val="24"/>
          <w:szCs w:val="24"/>
          <w:lang w:eastAsia="fr-FR"/>
        </w:rPr>
        <w:t xml:space="preserve">A l’opposé, il a été constaté une diminution des superficies des forêts denses, qui étaient d’ailleurs moins importantes dans la région, et des forêts claires et savanes boisées. Ces diminutions de superficies ont été estimées respectivement à 8 584 et 11 937 ha. Dans la </w:t>
      </w:r>
      <w:r w:rsidR="00B3342D">
        <w:rPr>
          <w:rFonts w:ascii="Times New Roman" w:hAnsi="Times New Roman" w:cs="Times New Roman"/>
          <w:sz w:val="24"/>
          <w:szCs w:val="24"/>
          <w:lang w:eastAsia="fr-FR"/>
        </w:rPr>
        <w:t>région C</w:t>
      </w:r>
      <w:r w:rsidRPr="008063D4">
        <w:rPr>
          <w:rFonts w:ascii="Times New Roman" w:hAnsi="Times New Roman" w:cs="Times New Roman"/>
          <w:sz w:val="24"/>
          <w:szCs w:val="24"/>
          <w:lang w:eastAsia="fr-FR"/>
        </w:rPr>
        <w:t xml:space="preserve">entrale, il est noté une importante perte de superficie des forêts claires et savanes boisées. Cette perte est estimée à 78 134 ha. Il en est de même des forêts denses (65 144 ha). Ces 2 strates font passer la perte moyenne de superficie forestière dans la région à 26,32 %, soit en chiffres absolus la plus forte diminution de superficie forestière dans une région au Togo entre la période 1976 - 1985 et la période 2013 - 2014. Par contre, on note </w:t>
      </w:r>
      <w:r w:rsidR="00A37D68">
        <w:rPr>
          <w:rFonts w:ascii="Times New Roman" w:hAnsi="Times New Roman" w:cs="Times New Roman"/>
          <w:sz w:val="24"/>
          <w:szCs w:val="24"/>
          <w:lang w:eastAsia="fr-FR"/>
        </w:rPr>
        <w:t>un accroissement</w:t>
      </w:r>
      <w:r w:rsidRPr="008063D4">
        <w:rPr>
          <w:rFonts w:ascii="Times New Roman" w:hAnsi="Times New Roman" w:cs="Times New Roman"/>
          <w:sz w:val="24"/>
          <w:szCs w:val="24"/>
          <w:lang w:eastAsia="fr-FR"/>
        </w:rPr>
        <w:t xml:space="preserve"> de la superficie des forêts riveraines (43,26 %) avec un début d’engouement pour le reboisement et donc, l’apparition des plantations dont la superficie est estimée à 9 468  ha entre 2013 - 2014 contre 17 ha entre 1976 – 1985. </w:t>
      </w:r>
    </w:p>
    <w:p w14:paraId="04A74090" w14:textId="77777777" w:rsidR="000C1B26" w:rsidRDefault="000C1B26" w:rsidP="00254C9C">
      <w:pPr>
        <w:spacing w:after="0" w:line="240" w:lineRule="auto"/>
        <w:jc w:val="both"/>
        <w:rPr>
          <w:rFonts w:ascii="Times New Roman" w:hAnsi="Times New Roman" w:cs="Times New Roman"/>
          <w:sz w:val="24"/>
          <w:szCs w:val="24"/>
          <w:lang w:eastAsia="fr-FR"/>
        </w:rPr>
      </w:pPr>
    </w:p>
    <w:p w14:paraId="1F647728" w14:textId="7B292C4C" w:rsidR="00F52EF3" w:rsidRPr="008063D4" w:rsidRDefault="00F52EF3" w:rsidP="00254C9C">
      <w:pPr>
        <w:spacing w:after="0" w:line="240" w:lineRule="auto"/>
        <w:jc w:val="both"/>
        <w:rPr>
          <w:rFonts w:ascii="Times New Roman" w:hAnsi="Times New Roman" w:cs="Times New Roman"/>
          <w:sz w:val="24"/>
          <w:szCs w:val="24"/>
          <w:lang w:eastAsia="fr-FR"/>
        </w:rPr>
      </w:pPr>
      <w:r w:rsidRPr="008063D4">
        <w:rPr>
          <w:rFonts w:ascii="Times New Roman" w:hAnsi="Times New Roman" w:cs="Times New Roman"/>
          <w:sz w:val="24"/>
          <w:szCs w:val="24"/>
          <w:lang w:eastAsia="fr-FR"/>
        </w:rPr>
        <w:t xml:space="preserve">Dans la région des </w:t>
      </w:r>
      <w:r w:rsidR="00A37D68">
        <w:rPr>
          <w:rFonts w:ascii="Times New Roman" w:hAnsi="Times New Roman" w:cs="Times New Roman"/>
          <w:sz w:val="24"/>
          <w:szCs w:val="24"/>
          <w:lang w:eastAsia="fr-FR"/>
        </w:rPr>
        <w:t>P</w:t>
      </w:r>
      <w:r w:rsidRPr="008063D4">
        <w:rPr>
          <w:rFonts w:ascii="Times New Roman" w:hAnsi="Times New Roman" w:cs="Times New Roman"/>
          <w:sz w:val="24"/>
          <w:szCs w:val="24"/>
          <w:lang w:eastAsia="fr-FR"/>
        </w:rPr>
        <w:t>lateaux il est constaté qu’à part les forêts denses qui ont subi une perte de superficie estimée 68 845 ha entre les périodes 1976 - 1985 et 2013 - 2014, les autres strates forestières ont connu des évolutions positives dans le temps. En effet, il a été constaté un gain de superficie de l’ordre de 44 284 ha des forêts riveraines et de</w:t>
      </w:r>
      <w:r w:rsidR="00A37D68">
        <w:rPr>
          <w:rFonts w:ascii="Times New Roman" w:hAnsi="Times New Roman" w:cs="Times New Roman"/>
          <w:sz w:val="24"/>
          <w:szCs w:val="24"/>
          <w:lang w:eastAsia="fr-FR"/>
        </w:rPr>
        <w:t xml:space="preserve"> </w:t>
      </w:r>
      <w:r w:rsidRPr="008063D4">
        <w:rPr>
          <w:rFonts w:ascii="Times New Roman" w:hAnsi="Times New Roman" w:cs="Times New Roman"/>
          <w:sz w:val="24"/>
          <w:szCs w:val="24"/>
          <w:lang w:eastAsia="fr-FR"/>
        </w:rPr>
        <w:t xml:space="preserve">91 720 ha des forêts claires et savanes boisées. Cela </w:t>
      </w:r>
      <w:r w:rsidR="00A37D68">
        <w:rPr>
          <w:rFonts w:ascii="Times New Roman" w:hAnsi="Times New Roman" w:cs="Times New Roman"/>
          <w:sz w:val="24"/>
          <w:szCs w:val="24"/>
          <w:lang w:eastAsia="fr-FR"/>
        </w:rPr>
        <w:t xml:space="preserve">a </w:t>
      </w:r>
      <w:r w:rsidRPr="008063D4">
        <w:rPr>
          <w:rFonts w:ascii="Times New Roman" w:hAnsi="Times New Roman" w:cs="Times New Roman"/>
          <w:sz w:val="24"/>
          <w:szCs w:val="24"/>
          <w:lang w:eastAsia="fr-FR"/>
        </w:rPr>
        <w:t>été également le cas pour les plantations qui ont vu leur superficie évoluer à 23 573 ha contre 6</w:t>
      </w:r>
      <w:r w:rsidR="00A37D68">
        <w:rPr>
          <w:rFonts w:ascii="Times New Roman" w:hAnsi="Times New Roman" w:cs="Times New Roman"/>
          <w:sz w:val="24"/>
          <w:szCs w:val="24"/>
          <w:lang w:eastAsia="fr-FR"/>
        </w:rPr>
        <w:t> </w:t>
      </w:r>
      <w:r w:rsidRPr="008063D4">
        <w:rPr>
          <w:rFonts w:ascii="Times New Roman" w:hAnsi="Times New Roman" w:cs="Times New Roman"/>
          <w:sz w:val="24"/>
          <w:szCs w:val="24"/>
          <w:lang w:eastAsia="fr-FR"/>
        </w:rPr>
        <w:t>084</w:t>
      </w:r>
      <w:r w:rsidR="00A37D68">
        <w:rPr>
          <w:rFonts w:ascii="Times New Roman" w:hAnsi="Times New Roman" w:cs="Times New Roman"/>
          <w:sz w:val="24"/>
          <w:szCs w:val="24"/>
          <w:lang w:eastAsia="fr-FR"/>
        </w:rPr>
        <w:t xml:space="preserve"> ha</w:t>
      </w:r>
      <w:r w:rsidRPr="008063D4">
        <w:rPr>
          <w:rFonts w:ascii="Times New Roman" w:hAnsi="Times New Roman" w:cs="Times New Roman"/>
          <w:sz w:val="24"/>
          <w:szCs w:val="24"/>
          <w:lang w:eastAsia="fr-FR"/>
        </w:rPr>
        <w:t xml:space="preserve"> entre 1976 - 1985. Ces différentes variations positives permettent à la région de disposer d’un taux de couverture forestière estimé à 31,42 % par rapport à la s</w:t>
      </w:r>
      <w:r w:rsidR="00A37D68">
        <w:rPr>
          <w:rFonts w:ascii="Times New Roman" w:hAnsi="Times New Roman" w:cs="Times New Roman"/>
          <w:sz w:val="24"/>
          <w:szCs w:val="24"/>
          <w:lang w:eastAsia="fr-FR"/>
        </w:rPr>
        <w:t>uperficie régionale. La région M</w:t>
      </w:r>
      <w:r w:rsidRPr="008063D4">
        <w:rPr>
          <w:rFonts w:ascii="Times New Roman" w:hAnsi="Times New Roman" w:cs="Times New Roman"/>
          <w:sz w:val="24"/>
          <w:szCs w:val="24"/>
          <w:lang w:eastAsia="fr-FR"/>
        </w:rPr>
        <w:t>aritime quant à elle, a bénéficié d’un gain de superficie forestière pour les autres strates à savoir les forêts riveraines (5,04 %), les forêts claires et savanes boisées (49,90 %) et les plantations (6,69 %). Cette évolution des superficies forestières de la région corresponde à un taux de variatio</w:t>
      </w:r>
      <w:r w:rsidR="00A37D68">
        <w:rPr>
          <w:rFonts w:ascii="Times New Roman" w:hAnsi="Times New Roman" w:cs="Times New Roman"/>
          <w:sz w:val="24"/>
          <w:szCs w:val="24"/>
          <w:lang w:eastAsia="fr-FR"/>
        </w:rPr>
        <w:t xml:space="preserve">n de +20,40 </w:t>
      </w:r>
      <w:r w:rsidRPr="008063D4">
        <w:rPr>
          <w:rFonts w:ascii="Times New Roman" w:hAnsi="Times New Roman" w:cs="Times New Roman"/>
          <w:sz w:val="24"/>
          <w:szCs w:val="24"/>
          <w:lang w:eastAsia="fr-FR"/>
        </w:rPr>
        <w:t>% soit un gain de 29 647 ha entre les années</w:t>
      </w:r>
      <w:r w:rsidR="00A37D68">
        <w:rPr>
          <w:rFonts w:ascii="Times New Roman" w:hAnsi="Times New Roman" w:cs="Times New Roman"/>
          <w:sz w:val="24"/>
          <w:szCs w:val="24"/>
          <w:lang w:eastAsia="fr-FR"/>
        </w:rPr>
        <w:t xml:space="preserve"> </w:t>
      </w:r>
      <w:r w:rsidRPr="008063D4">
        <w:rPr>
          <w:rFonts w:ascii="Times New Roman" w:hAnsi="Times New Roman" w:cs="Times New Roman"/>
          <w:sz w:val="24"/>
          <w:szCs w:val="24"/>
          <w:lang w:eastAsia="fr-FR"/>
        </w:rPr>
        <w:t>1976 - 1985 et 2013 - 2014, l'augmentation en % la plus importante parmi les 5 régions du pays.</w:t>
      </w:r>
    </w:p>
    <w:p w14:paraId="6C3BFEC3" w14:textId="77777777" w:rsidR="00F52EF3" w:rsidRPr="008063D4" w:rsidRDefault="00F52EF3" w:rsidP="00254C9C">
      <w:pPr>
        <w:autoSpaceDE w:val="0"/>
        <w:autoSpaceDN w:val="0"/>
        <w:adjustRightInd w:val="0"/>
        <w:spacing w:after="0" w:line="240" w:lineRule="auto"/>
        <w:rPr>
          <w:rFonts w:ascii="Times New Roman" w:hAnsi="Times New Roman" w:cs="Times New Roman"/>
          <w:b/>
          <w:sz w:val="24"/>
          <w:szCs w:val="24"/>
          <w:lang w:eastAsia="fr-FR"/>
        </w:rPr>
      </w:pPr>
    </w:p>
    <w:p w14:paraId="54A978BF" w14:textId="77777777" w:rsidR="00F52EF3" w:rsidRPr="008063D4" w:rsidRDefault="00C23E0C" w:rsidP="00E17A45">
      <w:pPr>
        <w:autoSpaceDE w:val="0"/>
        <w:autoSpaceDN w:val="0"/>
        <w:adjustRightInd w:val="0"/>
        <w:spacing w:after="0" w:line="240" w:lineRule="auto"/>
        <w:rPr>
          <w:rFonts w:ascii="Times New Roman" w:hAnsi="Times New Roman" w:cs="Times New Roman"/>
          <w:b/>
          <w:sz w:val="24"/>
          <w:szCs w:val="24"/>
          <w:lang w:eastAsia="fr-FR"/>
        </w:rPr>
      </w:pPr>
      <w:r>
        <w:rPr>
          <w:rFonts w:ascii="Times New Roman" w:hAnsi="Times New Roman" w:cs="Times New Roman"/>
          <w:b/>
          <w:sz w:val="24"/>
          <w:szCs w:val="24"/>
          <w:lang w:eastAsia="fr-FR"/>
        </w:rPr>
        <w:t>e)</w:t>
      </w:r>
      <w:r w:rsidR="00F52EF3" w:rsidRPr="008063D4">
        <w:rPr>
          <w:rFonts w:ascii="Times New Roman" w:hAnsi="Times New Roman" w:cs="Times New Roman"/>
          <w:b/>
          <w:sz w:val="24"/>
          <w:szCs w:val="24"/>
          <w:lang w:eastAsia="fr-FR"/>
        </w:rPr>
        <w:t xml:space="preserve"> Diversité spécifique</w:t>
      </w:r>
    </w:p>
    <w:p w14:paraId="048A259C" w14:textId="77777777" w:rsidR="00F52EF3" w:rsidRPr="008063D4" w:rsidRDefault="00F52EF3" w:rsidP="00E17A45">
      <w:pPr>
        <w:spacing w:after="0" w:line="240" w:lineRule="auto"/>
        <w:jc w:val="both"/>
        <w:rPr>
          <w:rFonts w:ascii="Times New Roman" w:hAnsi="Times New Roman" w:cs="Times New Roman"/>
          <w:b/>
          <w:bCs/>
          <w:sz w:val="24"/>
          <w:szCs w:val="24"/>
          <w:u w:val="single"/>
        </w:rPr>
      </w:pPr>
    </w:p>
    <w:p w14:paraId="42D18C91" w14:textId="77777777" w:rsidR="00F52EF3" w:rsidRPr="00C23E0C" w:rsidRDefault="00F52EF3" w:rsidP="00E17A45">
      <w:pPr>
        <w:autoSpaceDE w:val="0"/>
        <w:autoSpaceDN w:val="0"/>
        <w:adjustRightInd w:val="0"/>
        <w:spacing w:after="0" w:line="240" w:lineRule="auto"/>
        <w:rPr>
          <w:rFonts w:ascii="Times New Roman" w:hAnsi="Times New Roman" w:cs="Times New Roman"/>
          <w:b/>
          <w:i/>
          <w:sz w:val="24"/>
          <w:szCs w:val="24"/>
          <w:lang w:eastAsia="fr-FR"/>
        </w:rPr>
      </w:pPr>
      <w:r w:rsidRPr="00C23E0C">
        <w:rPr>
          <w:rFonts w:ascii="Times New Roman" w:hAnsi="Times New Roman" w:cs="Times New Roman"/>
          <w:b/>
          <w:i/>
          <w:sz w:val="24"/>
          <w:szCs w:val="24"/>
          <w:lang w:eastAsia="fr-FR"/>
        </w:rPr>
        <w:t>Diversité spécifique végétale</w:t>
      </w:r>
    </w:p>
    <w:p w14:paraId="7C0A67AC" w14:textId="77777777" w:rsidR="000A05E6" w:rsidRDefault="000A05E6" w:rsidP="00E17A45">
      <w:pPr>
        <w:spacing w:after="0" w:line="240" w:lineRule="auto"/>
        <w:jc w:val="both"/>
        <w:rPr>
          <w:rFonts w:ascii="Times New Roman" w:hAnsi="Times New Roman" w:cs="Times New Roman"/>
          <w:sz w:val="24"/>
          <w:szCs w:val="24"/>
        </w:rPr>
      </w:pPr>
    </w:p>
    <w:p w14:paraId="363818E3" w14:textId="32D888E9" w:rsidR="00F52EF3" w:rsidRPr="008063D4" w:rsidRDefault="00F52EF3" w:rsidP="00E17A45">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Le 5</w:t>
      </w:r>
      <w:r w:rsidRPr="008063D4">
        <w:rPr>
          <w:rFonts w:ascii="Times New Roman" w:hAnsi="Times New Roman" w:cs="Times New Roman"/>
          <w:sz w:val="24"/>
          <w:szCs w:val="24"/>
          <w:vertAlign w:val="superscript"/>
        </w:rPr>
        <w:t>ème</w:t>
      </w:r>
      <w:r w:rsidRPr="008063D4">
        <w:rPr>
          <w:rFonts w:ascii="Times New Roman" w:hAnsi="Times New Roman" w:cs="Times New Roman"/>
          <w:sz w:val="24"/>
          <w:szCs w:val="24"/>
        </w:rPr>
        <w:t xml:space="preserve"> rapport national sur la CDB en 2014 estimait la diversité végétale spontanée du Togo recensée à </w:t>
      </w:r>
      <w:r w:rsidRPr="008063D4">
        <w:rPr>
          <w:rFonts w:ascii="Times New Roman" w:hAnsi="Times New Roman" w:cs="Times New Roman"/>
          <w:bCs/>
          <w:sz w:val="24"/>
          <w:szCs w:val="24"/>
        </w:rPr>
        <w:t>4 002 espèces dont 3 501 espèces spontanées terrestres et 501 espèces aquatiques</w:t>
      </w:r>
      <w:r w:rsidRPr="008063D4">
        <w:rPr>
          <w:rFonts w:ascii="Times New Roman" w:hAnsi="Times New Roman" w:cs="Times New Roman"/>
          <w:sz w:val="24"/>
          <w:szCs w:val="24"/>
        </w:rPr>
        <w:t>. (MERF, 2014). Les travaux de recherche toujours en cours ont permis de recenser de nouvelles espèces. Au rang de ces nouvelles espèces, on note 2 espèces d’Angiospermes (Orchidacées) (Sod</w:t>
      </w:r>
      <w:r w:rsidR="000A05E6">
        <w:rPr>
          <w:rFonts w:ascii="Times New Roman" w:hAnsi="Times New Roman" w:cs="Times New Roman"/>
          <w:sz w:val="24"/>
          <w:szCs w:val="24"/>
        </w:rPr>
        <w:t>j</w:t>
      </w:r>
      <w:r w:rsidRPr="008063D4">
        <w:rPr>
          <w:rFonts w:ascii="Times New Roman" w:hAnsi="Times New Roman" w:cs="Times New Roman"/>
          <w:sz w:val="24"/>
          <w:szCs w:val="24"/>
        </w:rPr>
        <w:t>inou, 2016)  et 73 espèce</w:t>
      </w:r>
      <w:r w:rsidR="00A37D68">
        <w:rPr>
          <w:rFonts w:ascii="Times New Roman" w:hAnsi="Times New Roman" w:cs="Times New Roman"/>
          <w:sz w:val="24"/>
          <w:szCs w:val="24"/>
        </w:rPr>
        <w:t>s</w:t>
      </w:r>
      <w:r w:rsidRPr="008063D4">
        <w:rPr>
          <w:rFonts w:ascii="Times New Roman" w:hAnsi="Times New Roman" w:cs="Times New Roman"/>
          <w:sz w:val="24"/>
          <w:szCs w:val="24"/>
        </w:rPr>
        <w:t xml:space="preserve"> de Ptéridophytes (Abotsi et al., 2018) nouvellement décrites. Par ailleurs, la liste des espèces aquatiques, notamment celle des microalgues et des ma</w:t>
      </w:r>
      <w:r w:rsidR="00A37D68">
        <w:rPr>
          <w:rFonts w:ascii="Times New Roman" w:hAnsi="Times New Roman" w:cs="Times New Roman"/>
          <w:sz w:val="24"/>
          <w:szCs w:val="24"/>
        </w:rPr>
        <w:t>c</w:t>
      </w:r>
      <w:r w:rsidRPr="008063D4">
        <w:rPr>
          <w:rFonts w:ascii="Times New Roman" w:hAnsi="Times New Roman" w:cs="Times New Roman"/>
          <w:sz w:val="24"/>
          <w:szCs w:val="24"/>
        </w:rPr>
        <w:t xml:space="preserve">roalgues a été actualisée par Issifou et al. (2014). Ces auteurs dans leur investigation ont dénombré au total 795 espèces de microalgues et 37 taxon de macroalgues. Ces travaux de recherche ont donc permis </w:t>
      </w:r>
      <w:r w:rsidRPr="008063D4">
        <w:rPr>
          <w:rFonts w:ascii="Times New Roman" w:hAnsi="Times New Roman" w:cs="Times New Roman"/>
          <w:bCs/>
          <w:sz w:val="24"/>
          <w:szCs w:val="24"/>
        </w:rPr>
        <w:t xml:space="preserve">d’améliorer la connaissance sur la diversité spécifique végétale </w:t>
      </w:r>
      <w:r w:rsidR="00A37D68">
        <w:rPr>
          <w:rFonts w:ascii="Times New Roman" w:hAnsi="Times New Roman" w:cs="Times New Roman"/>
          <w:bCs/>
          <w:sz w:val="24"/>
          <w:szCs w:val="24"/>
        </w:rPr>
        <w:t>port</w:t>
      </w:r>
      <w:r w:rsidRPr="008063D4">
        <w:rPr>
          <w:rFonts w:ascii="Times New Roman" w:hAnsi="Times New Roman" w:cs="Times New Roman"/>
          <w:bCs/>
          <w:sz w:val="24"/>
          <w:szCs w:val="24"/>
        </w:rPr>
        <w:t>ant</w:t>
      </w:r>
      <w:r w:rsidR="007B41EE">
        <w:rPr>
          <w:rFonts w:ascii="Times New Roman" w:hAnsi="Times New Roman" w:cs="Times New Roman"/>
          <w:bCs/>
          <w:sz w:val="24"/>
          <w:szCs w:val="24"/>
        </w:rPr>
        <w:t xml:space="preserve"> la flore actuelle du Togo à 4 414 espèces dont 3 565</w:t>
      </w:r>
      <w:r w:rsidRPr="008063D4">
        <w:rPr>
          <w:rFonts w:ascii="Times New Roman" w:hAnsi="Times New Roman" w:cs="Times New Roman"/>
          <w:bCs/>
          <w:sz w:val="24"/>
          <w:szCs w:val="24"/>
        </w:rPr>
        <w:t xml:space="preserve"> esp</w:t>
      </w:r>
      <w:r w:rsidR="007B41EE">
        <w:rPr>
          <w:rFonts w:ascii="Times New Roman" w:hAnsi="Times New Roman" w:cs="Times New Roman"/>
          <w:bCs/>
          <w:sz w:val="24"/>
          <w:szCs w:val="24"/>
        </w:rPr>
        <w:t>èces spontanées terrestres et 849</w:t>
      </w:r>
      <w:r w:rsidRPr="008063D4">
        <w:rPr>
          <w:rFonts w:ascii="Times New Roman" w:hAnsi="Times New Roman" w:cs="Times New Roman"/>
          <w:bCs/>
          <w:sz w:val="24"/>
          <w:szCs w:val="24"/>
        </w:rPr>
        <w:t xml:space="preserve"> espèces aquatiques</w:t>
      </w:r>
      <w:r w:rsidRPr="008063D4">
        <w:rPr>
          <w:rFonts w:ascii="Times New Roman" w:hAnsi="Times New Roman" w:cs="Times New Roman"/>
          <w:sz w:val="24"/>
          <w:szCs w:val="24"/>
        </w:rPr>
        <w:t xml:space="preserve">. </w:t>
      </w:r>
    </w:p>
    <w:p w14:paraId="211F896B" w14:textId="77777777" w:rsidR="000A05E6" w:rsidRDefault="000A05E6" w:rsidP="00E17A45">
      <w:pPr>
        <w:autoSpaceDE w:val="0"/>
        <w:autoSpaceDN w:val="0"/>
        <w:adjustRightInd w:val="0"/>
        <w:spacing w:after="0" w:line="240" w:lineRule="auto"/>
        <w:rPr>
          <w:rFonts w:ascii="Times New Roman" w:hAnsi="Times New Roman" w:cs="Times New Roman"/>
          <w:b/>
          <w:sz w:val="24"/>
          <w:szCs w:val="24"/>
          <w:lang w:eastAsia="fr-FR"/>
        </w:rPr>
      </w:pPr>
    </w:p>
    <w:p w14:paraId="51E79640" w14:textId="77777777" w:rsidR="00F52EF3" w:rsidRPr="00893926" w:rsidRDefault="00F52EF3" w:rsidP="00E17A45">
      <w:pPr>
        <w:autoSpaceDE w:val="0"/>
        <w:autoSpaceDN w:val="0"/>
        <w:adjustRightInd w:val="0"/>
        <w:spacing w:after="0" w:line="240" w:lineRule="auto"/>
        <w:rPr>
          <w:rFonts w:ascii="Times New Roman" w:hAnsi="Times New Roman" w:cs="Times New Roman"/>
          <w:color w:val="000000"/>
          <w:sz w:val="24"/>
          <w:szCs w:val="24"/>
          <w:u w:val="single"/>
          <w:lang w:eastAsia="fr-FR"/>
        </w:rPr>
      </w:pPr>
      <w:r w:rsidRPr="00893926">
        <w:rPr>
          <w:rFonts w:ascii="Times New Roman" w:hAnsi="Times New Roman" w:cs="Times New Roman"/>
          <w:b/>
          <w:bCs/>
          <w:color w:val="000000"/>
          <w:sz w:val="24"/>
          <w:szCs w:val="24"/>
          <w:u w:val="single"/>
          <w:lang w:eastAsia="fr-FR"/>
        </w:rPr>
        <w:t xml:space="preserve">Végétaux terrestres </w:t>
      </w:r>
    </w:p>
    <w:p w14:paraId="3C7C00EC" w14:textId="77777777" w:rsidR="000A05E6" w:rsidRDefault="000A05E6"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7C3C383F" w14:textId="4E891791" w:rsidR="00F52EF3" w:rsidRPr="008063D4"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Parmi les Angiospermes, on dénombre 2</w:t>
      </w:r>
      <w:r w:rsidR="00A37D68">
        <w:rPr>
          <w:rFonts w:ascii="Times New Roman" w:hAnsi="Times New Roman" w:cs="Times New Roman"/>
          <w:color w:val="000000"/>
          <w:sz w:val="24"/>
          <w:szCs w:val="24"/>
          <w:lang w:eastAsia="fr-FR"/>
        </w:rPr>
        <w:t xml:space="preserve"> </w:t>
      </w:r>
      <w:r w:rsidRPr="008063D4">
        <w:rPr>
          <w:rFonts w:ascii="Times New Roman" w:hAnsi="Times New Roman" w:cs="Times New Roman"/>
          <w:color w:val="000000"/>
          <w:sz w:val="24"/>
          <w:szCs w:val="24"/>
          <w:lang w:eastAsia="fr-FR"/>
        </w:rPr>
        <w:t>805 espèces spontanées et 491 espèces introduites à des fins horticoles et sylvicoles. Les G</w:t>
      </w:r>
      <w:r w:rsidR="007B41EE">
        <w:rPr>
          <w:rFonts w:ascii="Times New Roman" w:hAnsi="Times New Roman" w:cs="Times New Roman"/>
          <w:color w:val="000000"/>
          <w:sz w:val="24"/>
          <w:szCs w:val="24"/>
          <w:lang w:eastAsia="fr-FR"/>
        </w:rPr>
        <w:t>ymnospermes sont au nombre de 19</w:t>
      </w:r>
      <w:r w:rsidRPr="008063D4">
        <w:rPr>
          <w:rFonts w:ascii="Times New Roman" w:hAnsi="Times New Roman" w:cs="Times New Roman"/>
          <w:color w:val="000000"/>
          <w:sz w:val="24"/>
          <w:szCs w:val="24"/>
          <w:lang w:eastAsia="fr-FR"/>
        </w:rPr>
        <w:t xml:space="preserve"> dont une seule espèce est spontanée, </w:t>
      </w:r>
      <w:r w:rsidRPr="008063D4">
        <w:rPr>
          <w:rFonts w:ascii="Times New Roman" w:hAnsi="Times New Roman" w:cs="Times New Roman"/>
          <w:i/>
          <w:iCs/>
          <w:color w:val="000000"/>
          <w:sz w:val="24"/>
          <w:szCs w:val="24"/>
          <w:lang w:eastAsia="fr-FR"/>
        </w:rPr>
        <w:t>Encephalartos barteri</w:t>
      </w:r>
      <w:r w:rsidRPr="008063D4">
        <w:rPr>
          <w:rFonts w:ascii="Times New Roman" w:hAnsi="Times New Roman" w:cs="Times New Roman"/>
          <w:color w:val="000000"/>
          <w:sz w:val="24"/>
          <w:szCs w:val="24"/>
          <w:lang w:eastAsia="fr-FR"/>
        </w:rPr>
        <w:t xml:space="preserve">. Les autres sont introduites pour leurs qualités horticoles. On dénombre 133 espèces de Bryophytes, presque toutes inféodées à la zone forestière du Sud-Ouest. </w:t>
      </w:r>
      <w:r w:rsidR="00A37D68">
        <w:rPr>
          <w:rFonts w:ascii="Times New Roman" w:hAnsi="Times New Roman" w:cs="Times New Roman"/>
          <w:sz w:val="24"/>
          <w:szCs w:val="24"/>
        </w:rPr>
        <w:t>Pour ce qui concerne les P</w:t>
      </w:r>
      <w:r w:rsidRPr="008063D4">
        <w:rPr>
          <w:rFonts w:ascii="Times New Roman" w:hAnsi="Times New Roman" w:cs="Times New Roman"/>
          <w:sz w:val="24"/>
          <w:szCs w:val="24"/>
        </w:rPr>
        <w:t>téridophytes, une diversité totale de 134 esp</w:t>
      </w:r>
      <w:r w:rsidR="00A37D68">
        <w:rPr>
          <w:rFonts w:ascii="Times New Roman" w:hAnsi="Times New Roman" w:cs="Times New Roman"/>
          <w:sz w:val="24"/>
          <w:szCs w:val="24"/>
        </w:rPr>
        <w:t xml:space="preserve">èces appartenant à 53 genres, </w:t>
      </w:r>
      <w:r w:rsidRPr="008063D4">
        <w:rPr>
          <w:rFonts w:ascii="Times New Roman" w:hAnsi="Times New Roman" w:cs="Times New Roman"/>
          <w:sz w:val="24"/>
          <w:szCs w:val="24"/>
        </w:rPr>
        <w:t xml:space="preserve">25 familles et 12 ordres </w:t>
      </w:r>
      <w:r w:rsidR="00A37D68">
        <w:rPr>
          <w:rFonts w:ascii="Times New Roman" w:hAnsi="Times New Roman" w:cs="Times New Roman"/>
          <w:sz w:val="24"/>
          <w:szCs w:val="24"/>
        </w:rPr>
        <w:t>a été enregistrée et documentée</w:t>
      </w:r>
      <w:r w:rsidRPr="008063D4">
        <w:rPr>
          <w:rFonts w:ascii="Times New Roman" w:hAnsi="Times New Roman" w:cs="Times New Roman"/>
          <w:sz w:val="24"/>
          <w:szCs w:val="24"/>
        </w:rPr>
        <w:t xml:space="preserve"> pour le pays. Parmi ces espèces on note 122 espèces spontanées et 12 espèces introduites à des fins horticoles (Abotsi et al, 2018) contrairement à ce qui est noté dans le 5</w:t>
      </w:r>
      <w:r w:rsidRPr="008063D4">
        <w:rPr>
          <w:rFonts w:ascii="Times New Roman" w:hAnsi="Times New Roman" w:cs="Times New Roman"/>
          <w:sz w:val="24"/>
          <w:szCs w:val="24"/>
          <w:vertAlign w:val="superscript"/>
        </w:rPr>
        <w:t>ème</w:t>
      </w:r>
      <w:r w:rsidRPr="008063D4">
        <w:rPr>
          <w:rFonts w:ascii="Times New Roman" w:hAnsi="Times New Roman" w:cs="Times New Roman"/>
          <w:sz w:val="24"/>
          <w:szCs w:val="24"/>
        </w:rPr>
        <w:t xml:space="preserve"> rapport. Cela démontre un approfondissement  des recherches et une identification poussée des </w:t>
      </w:r>
      <w:r w:rsidR="00490005">
        <w:rPr>
          <w:rFonts w:ascii="Times New Roman" w:hAnsi="Times New Roman" w:cs="Times New Roman"/>
          <w:sz w:val="24"/>
          <w:szCs w:val="24"/>
        </w:rPr>
        <w:t>P</w:t>
      </w:r>
      <w:r w:rsidRPr="008063D4">
        <w:rPr>
          <w:rFonts w:ascii="Times New Roman" w:hAnsi="Times New Roman" w:cs="Times New Roman"/>
          <w:sz w:val="24"/>
          <w:szCs w:val="24"/>
        </w:rPr>
        <w:t xml:space="preserve">téridophytes au Togo. Lycopodiopsida (18 espèces) et Polypodiopsida (116 espèces) sont toutes deux représentées. L'ordre des Polypodiales est le plus représenté avec 97 espèces. Les Pteridaceae et Les familles d'Aspleniaceae sont les plus diverses avec 24 et 22 espèces respectivement. De ces 134 espèces de ptéridophytes signalées au Togo, 117 sont terrestres. </w:t>
      </w:r>
      <w:r w:rsidRPr="008063D4">
        <w:rPr>
          <w:rFonts w:ascii="Times New Roman" w:hAnsi="Times New Roman" w:cs="Times New Roman"/>
          <w:color w:val="000000"/>
          <w:sz w:val="24"/>
          <w:szCs w:val="24"/>
          <w:lang w:eastAsia="fr-FR"/>
        </w:rPr>
        <w:t xml:space="preserve">En termes de répartition, à part </w:t>
      </w:r>
      <w:r w:rsidRPr="008063D4">
        <w:rPr>
          <w:rFonts w:ascii="Times New Roman" w:hAnsi="Times New Roman" w:cs="Times New Roman"/>
          <w:i/>
          <w:iCs/>
          <w:color w:val="000000"/>
          <w:sz w:val="24"/>
          <w:szCs w:val="24"/>
          <w:lang w:eastAsia="fr-FR"/>
        </w:rPr>
        <w:t>Doryopteris nicklesii</w:t>
      </w:r>
      <w:r w:rsidRPr="008063D4">
        <w:rPr>
          <w:rFonts w:ascii="Times New Roman" w:hAnsi="Times New Roman" w:cs="Times New Roman"/>
          <w:color w:val="000000"/>
          <w:sz w:val="24"/>
          <w:szCs w:val="24"/>
          <w:lang w:eastAsia="fr-FR"/>
        </w:rPr>
        <w:t xml:space="preserve">, </w:t>
      </w:r>
      <w:r w:rsidRPr="008063D4">
        <w:rPr>
          <w:rFonts w:ascii="Times New Roman" w:hAnsi="Times New Roman" w:cs="Times New Roman"/>
          <w:i/>
          <w:iCs/>
          <w:color w:val="000000"/>
          <w:sz w:val="24"/>
          <w:szCs w:val="24"/>
          <w:lang w:eastAsia="fr-FR"/>
        </w:rPr>
        <w:t>Isoetes melanotheca</w:t>
      </w:r>
      <w:r w:rsidRPr="008063D4">
        <w:rPr>
          <w:rFonts w:ascii="Times New Roman" w:hAnsi="Times New Roman" w:cs="Times New Roman"/>
          <w:color w:val="000000"/>
          <w:sz w:val="24"/>
          <w:szCs w:val="24"/>
          <w:lang w:eastAsia="fr-FR"/>
        </w:rPr>
        <w:t xml:space="preserve">, </w:t>
      </w:r>
      <w:r w:rsidRPr="008063D4">
        <w:rPr>
          <w:rFonts w:ascii="Times New Roman" w:hAnsi="Times New Roman" w:cs="Times New Roman"/>
          <w:i/>
          <w:iCs/>
          <w:color w:val="000000"/>
          <w:sz w:val="24"/>
          <w:szCs w:val="24"/>
          <w:lang w:eastAsia="fr-FR"/>
        </w:rPr>
        <w:t xml:space="preserve">Ophioglossum gramineum </w:t>
      </w:r>
      <w:r w:rsidRPr="008063D4">
        <w:rPr>
          <w:rFonts w:ascii="Times New Roman" w:hAnsi="Times New Roman" w:cs="Times New Roman"/>
          <w:color w:val="000000"/>
          <w:sz w:val="24"/>
          <w:szCs w:val="24"/>
          <w:lang w:eastAsia="fr-FR"/>
        </w:rPr>
        <w:t xml:space="preserve">et </w:t>
      </w:r>
      <w:r w:rsidRPr="008063D4">
        <w:rPr>
          <w:rFonts w:ascii="Times New Roman" w:hAnsi="Times New Roman" w:cs="Times New Roman"/>
          <w:i/>
          <w:iCs/>
          <w:color w:val="000000"/>
          <w:sz w:val="24"/>
          <w:szCs w:val="24"/>
          <w:lang w:eastAsia="fr-FR"/>
        </w:rPr>
        <w:t xml:space="preserve">Ophioglossum rubellum </w:t>
      </w:r>
      <w:r w:rsidRPr="008063D4">
        <w:rPr>
          <w:rFonts w:ascii="Times New Roman" w:hAnsi="Times New Roman" w:cs="Times New Roman"/>
          <w:color w:val="000000"/>
          <w:sz w:val="24"/>
          <w:szCs w:val="24"/>
          <w:lang w:eastAsia="fr-FR"/>
        </w:rPr>
        <w:t xml:space="preserve">exclusivement représentées dans la zone écologique III des savanes guinéennes et </w:t>
      </w:r>
      <w:r w:rsidRPr="008063D4">
        <w:rPr>
          <w:rFonts w:ascii="Times New Roman" w:hAnsi="Times New Roman" w:cs="Times New Roman"/>
          <w:i/>
          <w:iCs/>
          <w:color w:val="000000"/>
          <w:sz w:val="24"/>
          <w:szCs w:val="24"/>
          <w:lang w:eastAsia="fr-FR"/>
        </w:rPr>
        <w:t xml:space="preserve">Anemia sessilis </w:t>
      </w:r>
      <w:r w:rsidR="00490005">
        <w:rPr>
          <w:rFonts w:ascii="Times New Roman" w:hAnsi="Times New Roman" w:cs="Times New Roman"/>
          <w:color w:val="000000"/>
          <w:sz w:val="24"/>
          <w:szCs w:val="24"/>
          <w:lang w:eastAsia="fr-FR"/>
        </w:rPr>
        <w:t>des rochers des montagnes du N</w:t>
      </w:r>
      <w:r w:rsidRPr="008063D4">
        <w:rPr>
          <w:rFonts w:ascii="Times New Roman" w:hAnsi="Times New Roman" w:cs="Times New Roman"/>
          <w:color w:val="000000"/>
          <w:sz w:val="24"/>
          <w:szCs w:val="24"/>
          <w:lang w:eastAsia="fr-FR"/>
        </w:rPr>
        <w:t xml:space="preserve">ord, presque toutes les espèces appartiennent essentiellement à la zone humide </w:t>
      </w:r>
      <w:r w:rsidR="00490005">
        <w:rPr>
          <w:rFonts w:ascii="Times New Roman" w:hAnsi="Times New Roman" w:cs="Times New Roman"/>
          <w:color w:val="000000"/>
          <w:sz w:val="24"/>
          <w:szCs w:val="24"/>
          <w:lang w:eastAsia="fr-FR"/>
        </w:rPr>
        <w:t>forestière IV des montagnes du S</w:t>
      </w:r>
      <w:r w:rsidRPr="008063D4">
        <w:rPr>
          <w:rFonts w:ascii="Times New Roman" w:hAnsi="Times New Roman" w:cs="Times New Roman"/>
          <w:color w:val="000000"/>
          <w:sz w:val="24"/>
          <w:szCs w:val="24"/>
          <w:lang w:eastAsia="fr-FR"/>
        </w:rPr>
        <w:t>ud.</w:t>
      </w:r>
    </w:p>
    <w:p w14:paraId="2D46B2E9" w14:textId="77777777" w:rsidR="00F52EF3" w:rsidRPr="008063D4"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C4A6F63" w14:textId="77777777" w:rsidR="00F52EF3" w:rsidRPr="00893926" w:rsidRDefault="00F52EF3" w:rsidP="00E17A45">
      <w:pPr>
        <w:autoSpaceDE w:val="0"/>
        <w:autoSpaceDN w:val="0"/>
        <w:adjustRightInd w:val="0"/>
        <w:spacing w:after="0" w:line="240" w:lineRule="auto"/>
        <w:rPr>
          <w:rFonts w:ascii="Times New Roman" w:hAnsi="Times New Roman" w:cs="Times New Roman"/>
          <w:color w:val="000000"/>
          <w:sz w:val="24"/>
          <w:szCs w:val="24"/>
          <w:u w:val="single"/>
          <w:lang w:eastAsia="fr-FR"/>
        </w:rPr>
      </w:pPr>
      <w:r w:rsidRPr="00893926">
        <w:rPr>
          <w:rFonts w:ascii="Times New Roman" w:hAnsi="Times New Roman" w:cs="Times New Roman"/>
          <w:b/>
          <w:bCs/>
          <w:color w:val="000000"/>
          <w:sz w:val="24"/>
          <w:szCs w:val="24"/>
          <w:u w:val="single"/>
          <w:lang w:eastAsia="fr-FR"/>
        </w:rPr>
        <w:t xml:space="preserve">Végétaux aquatiques </w:t>
      </w:r>
    </w:p>
    <w:p w14:paraId="1E9FDB2B" w14:textId="77777777" w:rsidR="000A05E6" w:rsidRDefault="000A05E6" w:rsidP="00E17A45">
      <w:pPr>
        <w:spacing w:after="0" w:line="240" w:lineRule="auto"/>
        <w:jc w:val="both"/>
        <w:rPr>
          <w:rFonts w:ascii="Times New Roman" w:hAnsi="Times New Roman" w:cs="Times New Roman"/>
          <w:color w:val="000000"/>
          <w:sz w:val="24"/>
          <w:szCs w:val="24"/>
          <w:lang w:eastAsia="fr-FR"/>
        </w:rPr>
      </w:pPr>
    </w:p>
    <w:p w14:paraId="75A7CEEB" w14:textId="73CB2306" w:rsidR="00F52EF3" w:rsidRPr="008063D4" w:rsidRDefault="00F52EF3" w:rsidP="00E17A45">
      <w:pPr>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La </w:t>
      </w:r>
      <w:r w:rsidR="00D534BF" w:rsidRPr="008063D4">
        <w:rPr>
          <w:rFonts w:ascii="Times New Roman" w:hAnsi="Times New Roman" w:cs="Times New Roman"/>
          <w:color w:val="000000"/>
          <w:sz w:val="24"/>
          <w:szCs w:val="24"/>
          <w:lang w:eastAsia="fr-FR"/>
        </w:rPr>
        <w:t>flore</w:t>
      </w:r>
      <w:r w:rsidRPr="008063D4">
        <w:rPr>
          <w:rFonts w:ascii="Times New Roman" w:hAnsi="Times New Roman" w:cs="Times New Roman"/>
          <w:color w:val="000000"/>
          <w:sz w:val="24"/>
          <w:szCs w:val="24"/>
          <w:lang w:eastAsia="fr-FR"/>
        </w:rPr>
        <w:t xml:space="preserve"> aquatique est essentiellement caractérisée par les algues. Les trav</w:t>
      </w:r>
      <w:r w:rsidR="00490005">
        <w:rPr>
          <w:rFonts w:ascii="Times New Roman" w:hAnsi="Times New Roman" w:cs="Times New Roman"/>
          <w:color w:val="000000"/>
          <w:sz w:val="24"/>
          <w:szCs w:val="24"/>
          <w:lang w:eastAsia="fr-FR"/>
        </w:rPr>
        <w:t>aux réalisés à l’U</w:t>
      </w:r>
      <w:r w:rsidRPr="008063D4">
        <w:rPr>
          <w:rFonts w:ascii="Times New Roman" w:hAnsi="Times New Roman" w:cs="Times New Roman"/>
          <w:color w:val="000000"/>
          <w:sz w:val="24"/>
          <w:szCs w:val="24"/>
          <w:lang w:eastAsia="fr-FR"/>
        </w:rPr>
        <w:t xml:space="preserve">niversité de Lomé par </w:t>
      </w:r>
      <w:r w:rsidRPr="008063D4">
        <w:rPr>
          <w:rFonts w:ascii="Times New Roman" w:hAnsi="Times New Roman" w:cs="Times New Roman"/>
          <w:sz w:val="24"/>
          <w:szCs w:val="24"/>
          <w:shd w:val="clear" w:color="auto" w:fill="FFFFFF"/>
        </w:rPr>
        <w:t xml:space="preserve">Issifou et al., (2014) ont permis d’actualiser le nombre d’espèces d’algues au Togo à travers une identification poussée. Les résultats de ces travaux </w:t>
      </w:r>
      <w:r w:rsidRPr="008063D4">
        <w:rPr>
          <w:rFonts w:ascii="Times New Roman" w:hAnsi="Times New Roman" w:cs="Times New Roman"/>
          <w:color w:val="000000"/>
          <w:sz w:val="24"/>
          <w:szCs w:val="24"/>
          <w:lang w:eastAsia="fr-FR"/>
        </w:rPr>
        <w:t>montrent que 795 espèces de microalgues ont été répertoriées au Togo appartenant à 134 familles, dont 19 groupes dont les plus importants en nombre d'espèces sont les Bacillariophyceae (26%), Cyanophyceae (17%), Chorophyceae (16%), Conjugatophyceae (12%) et Euglenophyceae (11%). Les microalgues du Togo appartiennent à 7 divisions qui sont respectivement Chromophyta (39%), Chlorophyta (32%), Cyanophyta (17%), Euglenophyta (</w:t>
      </w:r>
      <w:r w:rsidR="001127E6">
        <w:rPr>
          <w:rFonts w:ascii="Times New Roman" w:hAnsi="Times New Roman" w:cs="Times New Roman"/>
          <w:color w:val="000000"/>
          <w:sz w:val="24"/>
          <w:szCs w:val="24"/>
          <w:lang w:eastAsia="fr-FR"/>
        </w:rPr>
        <w:t>11%) et Rodophyta (1%) (Figure 2</w:t>
      </w:r>
      <w:r w:rsidR="00490005">
        <w:rPr>
          <w:rFonts w:ascii="Times New Roman" w:hAnsi="Times New Roman" w:cs="Times New Roman"/>
          <w:color w:val="000000"/>
          <w:sz w:val="24"/>
          <w:szCs w:val="24"/>
          <w:lang w:eastAsia="fr-FR"/>
        </w:rPr>
        <w:t>3</w:t>
      </w:r>
      <w:r w:rsidRPr="008063D4">
        <w:rPr>
          <w:rFonts w:ascii="Times New Roman" w:hAnsi="Times New Roman" w:cs="Times New Roman"/>
          <w:color w:val="000000"/>
          <w:sz w:val="24"/>
          <w:szCs w:val="24"/>
          <w:lang w:eastAsia="fr-FR"/>
        </w:rPr>
        <w:t>).</w:t>
      </w:r>
    </w:p>
    <w:p w14:paraId="41BA0675" w14:textId="77777777" w:rsidR="00F52EF3" w:rsidRPr="008063D4" w:rsidRDefault="00F52EF3" w:rsidP="00E17A45">
      <w:pPr>
        <w:spacing w:after="0" w:line="240" w:lineRule="auto"/>
        <w:jc w:val="both"/>
        <w:rPr>
          <w:rFonts w:ascii="Times New Roman" w:hAnsi="Times New Roman" w:cs="Times New Roman"/>
          <w:color w:val="000000"/>
          <w:sz w:val="24"/>
          <w:szCs w:val="24"/>
          <w:lang w:eastAsia="fr-FR"/>
        </w:rPr>
      </w:pPr>
    </w:p>
    <w:p w14:paraId="18967E5D" w14:textId="77777777" w:rsidR="00F52EF3" w:rsidRPr="008063D4" w:rsidRDefault="00F52EF3" w:rsidP="00E17A45">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 xml:space="preserve">Les micro-algues du Togo appartiennent à 7 embranchements qui sont respectivement Chromophyta (39%), Chlorophyta (32%), Cyanophyta (17%), Euglenophyta (11%), Rodophyta (1%) (Figure </w:t>
      </w:r>
      <w:r w:rsidR="001127E6">
        <w:rPr>
          <w:rFonts w:ascii="Times New Roman" w:hAnsi="Times New Roman" w:cs="Times New Roman"/>
          <w:sz w:val="24"/>
          <w:szCs w:val="24"/>
        </w:rPr>
        <w:t>22</w:t>
      </w:r>
      <w:r w:rsidRPr="008063D4">
        <w:rPr>
          <w:rFonts w:ascii="Times New Roman" w:hAnsi="Times New Roman" w:cs="Times New Roman"/>
          <w:sz w:val="24"/>
          <w:szCs w:val="24"/>
        </w:rPr>
        <w:t>).</w:t>
      </w:r>
    </w:p>
    <w:p w14:paraId="607A70AD" w14:textId="77777777" w:rsidR="00F52EF3" w:rsidRPr="008063D4" w:rsidRDefault="00F52EF3" w:rsidP="00E17A45">
      <w:pPr>
        <w:spacing w:after="0" w:line="240" w:lineRule="auto"/>
        <w:jc w:val="both"/>
        <w:rPr>
          <w:rFonts w:ascii="Times New Roman" w:hAnsi="Times New Roman" w:cs="Times New Roman"/>
          <w:sz w:val="24"/>
          <w:szCs w:val="24"/>
        </w:rPr>
      </w:pPr>
    </w:p>
    <w:p w14:paraId="54419435" w14:textId="77777777" w:rsidR="00F52EF3" w:rsidRPr="008063D4" w:rsidRDefault="00F52EF3" w:rsidP="00DB5C3A">
      <w:pPr>
        <w:spacing w:after="0" w:line="240" w:lineRule="auto"/>
        <w:jc w:val="center"/>
        <w:rPr>
          <w:rFonts w:ascii="Times New Roman" w:hAnsi="Times New Roman" w:cs="Times New Roman"/>
          <w:b/>
          <w:sz w:val="24"/>
          <w:szCs w:val="24"/>
        </w:rPr>
      </w:pPr>
      <w:r w:rsidRPr="008063D4">
        <w:rPr>
          <w:rFonts w:ascii="Times New Roman" w:hAnsi="Times New Roman" w:cs="Times New Roman"/>
          <w:noProof/>
          <w:sz w:val="24"/>
          <w:szCs w:val="24"/>
          <w:lang w:eastAsia="fr-FR"/>
        </w:rPr>
        <w:drawing>
          <wp:inline distT="0" distB="0" distL="0" distR="0" wp14:anchorId="62437AE6" wp14:editId="51CEA81D">
            <wp:extent cx="4439285" cy="2543175"/>
            <wp:effectExtent l="0" t="0" r="18415" b="9525"/>
            <wp:docPr id="7" name="Graphique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2DF9CA7" w14:textId="77777777" w:rsidR="000A05E6" w:rsidRDefault="000A05E6" w:rsidP="00DB5C3A">
      <w:pPr>
        <w:pStyle w:val="Lgende"/>
        <w:spacing w:after="0" w:line="240" w:lineRule="auto"/>
        <w:jc w:val="center"/>
        <w:rPr>
          <w:rFonts w:ascii="Times New Roman" w:hAnsi="Times New Roman"/>
          <w:color w:val="000000"/>
          <w:sz w:val="24"/>
          <w:szCs w:val="24"/>
        </w:rPr>
      </w:pPr>
      <w:bookmarkStart w:id="109" w:name="_Toc405975523"/>
    </w:p>
    <w:p w14:paraId="0789A5FD" w14:textId="089D893B" w:rsidR="00F52EF3" w:rsidRPr="001127E6" w:rsidRDefault="001127E6" w:rsidP="00DB5C3A">
      <w:pPr>
        <w:pStyle w:val="Lgende"/>
        <w:spacing w:after="0"/>
        <w:jc w:val="center"/>
        <w:rPr>
          <w:rFonts w:ascii="Times New Roman" w:hAnsi="Times New Roman"/>
          <w:color w:val="000000"/>
          <w:sz w:val="24"/>
          <w:szCs w:val="24"/>
          <w:lang w:eastAsia="fr-FR"/>
        </w:rPr>
      </w:pPr>
      <w:bookmarkStart w:id="110" w:name="_Toc533413511"/>
      <w:bookmarkEnd w:id="109"/>
      <w:r w:rsidRPr="00490005">
        <w:rPr>
          <w:rFonts w:ascii="Times New Roman" w:hAnsi="Times New Roman"/>
          <w:sz w:val="24"/>
          <w:szCs w:val="24"/>
          <w:u w:val="single"/>
        </w:rPr>
        <w:t xml:space="preserve">Figure </w:t>
      </w:r>
      <w:r w:rsidR="00620BEA" w:rsidRPr="00490005">
        <w:rPr>
          <w:rFonts w:ascii="Times New Roman" w:hAnsi="Times New Roman"/>
          <w:sz w:val="24"/>
          <w:szCs w:val="24"/>
          <w:u w:val="single"/>
        </w:rPr>
        <w:fldChar w:fldCharType="begin"/>
      </w:r>
      <w:r w:rsidRPr="00490005">
        <w:rPr>
          <w:rFonts w:ascii="Times New Roman" w:hAnsi="Times New Roman"/>
          <w:sz w:val="24"/>
          <w:szCs w:val="24"/>
          <w:u w:val="single"/>
        </w:rPr>
        <w:instrText xml:space="preserve"> SEQ Figure \* ARABIC </w:instrText>
      </w:r>
      <w:r w:rsidR="00620BEA" w:rsidRPr="00490005">
        <w:rPr>
          <w:rFonts w:ascii="Times New Roman" w:hAnsi="Times New Roman"/>
          <w:sz w:val="24"/>
          <w:szCs w:val="24"/>
          <w:u w:val="single"/>
        </w:rPr>
        <w:fldChar w:fldCharType="separate"/>
      </w:r>
      <w:r w:rsidR="00C47BFF">
        <w:rPr>
          <w:rFonts w:ascii="Times New Roman" w:hAnsi="Times New Roman"/>
          <w:noProof/>
          <w:sz w:val="24"/>
          <w:szCs w:val="24"/>
          <w:u w:val="single"/>
        </w:rPr>
        <w:t>23</w:t>
      </w:r>
      <w:r w:rsidR="00620BEA" w:rsidRPr="00490005">
        <w:rPr>
          <w:rFonts w:ascii="Times New Roman" w:hAnsi="Times New Roman"/>
          <w:sz w:val="24"/>
          <w:szCs w:val="24"/>
          <w:u w:val="single"/>
        </w:rPr>
        <w:fldChar w:fldCharType="end"/>
      </w:r>
      <w:r w:rsidRPr="001127E6">
        <w:rPr>
          <w:rFonts w:ascii="Times New Roman" w:hAnsi="Times New Roman"/>
          <w:sz w:val="24"/>
          <w:szCs w:val="24"/>
        </w:rPr>
        <w:t>: Répartition (%) des micro-algues du Togo par embra</w:t>
      </w:r>
      <w:r w:rsidR="00D534BF">
        <w:rPr>
          <w:rFonts w:ascii="Times New Roman" w:hAnsi="Times New Roman"/>
          <w:sz w:val="24"/>
          <w:szCs w:val="24"/>
        </w:rPr>
        <w:t>n</w:t>
      </w:r>
      <w:r w:rsidRPr="001127E6">
        <w:rPr>
          <w:rFonts w:ascii="Times New Roman" w:hAnsi="Times New Roman"/>
          <w:sz w:val="24"/>
          <w:szCs w:val="24"/>
        </w:rPr>
        <w:t>chement.</w:t>
      </w:r>
      <w:bookmarkEnd w:id="110"/>
    </w:p>
    <w:p w14:paraId="46B17D01" w14:textId="77777777" w:rsidR="00DB5C3A" w:rsidRDefault="00DB5C3A" w:rsidP="00E17A45">
      <w:pPr>
        <w:spacing w:after="0" w:line="240" w:lineRule="auto"/>
        <w:jc w:val="both"/>
        <w:rPr>
          <w:rFonts w:ascii="Times New Roman" w:hAnsi="Times New Roman" w:cs="Times New Roman"/>
          <w:color w:val="000000"/>
          <w:sz w:val="24"/>
          <w:szCs w:val="24"/>
          <w:lang w:eastAsia="fr-FR"/>
        </w:rPr>
      </w:pPr>
    </w:p>
    <w:p w14:paraId="22155BA4" w14:textId="3FE2450D" w:rsidR="00F52EF3" w:rsidRPr="008063D4" w:rsidRDefault="00F52EF3" w:rsidP="00E17A45">
      <w:pPr>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Plus de 250 genres ont été enregistrés et les genres les plus représentés sont Navicula, Nitzschia, Scenedesmus, Trachelomonas, Closterium, Cosmarium, Oscillatoria, Phacus, Pinnularia, Staurastrum, Strombomonas, Lyngbya couvrant 31% des microalgues du Togo. Pour ce qui concerne les macroalgues, 37 taxons ont été collectés au total. Les trois divisions de la macroalgue, notamment les chlorophytes, les phéophytes et les rhodophytes, sont les plus représentées. Les espèces dominantes appartiennent à la division Chlorophyta (11 espèces). Des études sont toujours en cours pour améliorer les connaissa</w:t>
      </w:r>
      <w:r w:rsidR="00490005">
        <w:rPr>
          <w:rFonts w:ascii="Times New Roman" w:hAnsi="Times New Roman" w:cs="Times New Roman"/>
          <w:color w:val="000000"/>
          <w:sz w:val="24"/>
          <w:szCs w:val="24"/>
          <w:lang w:eastAsia="fr-FR"/>
        </w:rPr>
        <w:t>nces sur la biodiversité des</w:t>
      </w:r>
      <w:r w:rsidRPr="008063D4">
        <w:rPr>
          <w:rFonts w:ascii="Times New Roman" w:hAnsi="Times New Roman" w:cs="Times New Roman"/>
          <w:color w:val="000000"/>
          <w:sz w:val="24"/>
          <w:szCs w:val="24"/>
          <w:lang w:eastAsia="fr-FR"/>
        </w:rPr>
        <w:t xml:space="preserve"> algues au Togo.</w:t>
      </w:r>
      <w:r w:rsidRPr="008063D4">
        <w:rPr>
          <w:rFonts w:ascii="Times New Roman" w:hAnsi="Times New Roman" w:cs="Times New Roman"/>
          <w:sz w:val="24"/>
          <w:szCs w:val="24"/>
        </w:rPr>
        <w:t xml:space="preserve"> Parmi les espèces aquatiques, o</w:t>
      </w:r>
      <w:r w:rsidRPr="008063D4">
        <w:rPr>
          <w:rFonts w:ascii="Times New Roman" w:hAnsi="Times New Roman" w:cs="Times New Roman"/>
          <w:color w:val="000000"/>
          <w:sz w:val="24"/>
          <w:szCs w:val="24"/>
          <w:lang w:eastAsia="fr-FR"/>
        </w:rPr>
        <w:t>n note également les plantes exclusivement aquatiques dont 17 espèces de Ptéridophytes. Certaines familles telles les Azollaceae (</w:t>
      </w:r>
      <w:r w:rsidRPr="008063D4">
        <w:rPr>
          <w:rFonts w:ascii="Times New Roman" w:hAnsi="Times New Roman" w:cs="Times New Roman"/>
          <w:i/>
          <w:iCs/>
          <w:color w:val="000000"/>
          <w:sz w:val="24"/>
          <w:szCs w:val="24"/>
          <w:lang w:eastAsia="fr-FR"/>
        </w:rPr>
        <w:t>Azolla africana</w:t>
      </w:r>
      <w:r w:rsidRPr="008063D4">
        <w:rPr>
          <w:rFonts w:ascii="Times New Roman" w:hAnsi="Times New Roman" w:cs="Times New Roman"/>
          <w:color w:val="000000"/>
          <w:sz w:val="24"/>
          <w:szCs w:val="24"/>
          <w:lang w:eastAsia="fr-FR"/>
        </w:rPr>
        <w:t>), les Salviniaceae (</w:t>
      </w:r>
      <w:r w:rsidRPr="008063D4">
        <w:rPr>
          <w:rFonts w:ascii="Times New Roman" w:hAnsi="Times New Roman" w:cs="Times New Roman"/>
          <w:i/>
          <w:iCs/>
          <w:color w:val="000000"/>
          <w:sz w:val="24"/>
          <w:szCs w:val="24"/>
          <w:lang w:eastAsia="fr-FR"/>
        </w:rPr>
        <w:t xml:space="preserve">Salvinia auriculata </w:t>
      </w:r>
      <w:r w:rsidRPr="008063D4">
        <w:rPr>
          <w:rFonts w:ascii="Times New Roman" w:hAnsi="Times New Roman" w:cs="Times New Roman"/>
          <w:color w:val="000000"/>
          <w:sz w:val="24"/>
          <w:szCs w:val="24"/>
          <w:lang w:eastAsia="fr-FR"/>
        </w:rPr>
        <w:t xml:space="preserve">et </w:t>
      </w:r>
      <w:r w:rsidRPr="008063D4">
        <w:rPr>
          <w:rFonts w:ascii="Times New Roman" w:hAnsi="Times New Roman" w:cs="Times New Roman"/>
          <w:i/>
          <w:iCs/>
          <w:color w:val="000000"/>
          <w:sz w:val="24"/>
          <w:szCs w:val="24"/>
          <w:lang w:eastAsia="fr-FR"/>
        </w:rPr>
        <w:t>S. nymphellula</w:t>
      </w:r>
      <w:r w:rsidRPr="008063D4">
        <w:rPr>
          <w:rFonts w:ascii="Times New Roman" w:hAnsi="Times New Roman" w:cs="Times New Roman"/>
          <w:color w:val="000000"/>
          <w:sz w:val="24"/>
          <w:szCs w:val="24"/>
          <w:lang w:eastAsia="fr-FR"/>
        </w:rPr>
        <w:t>), les Marsileaceae (</w:t>
      </w:r>
      <w:r w:rsidRPr="008063D4">
        <w:rPr>
          <w:rFonts w:ascii="Times New Roman" w:hAnsi="Times New Roman" w:cs="Times New Roman"/>
          <w:i/>
          <w:iCs/>
          <w:color w:val="000000"/>
          <w:sz w:val="24"/>
          <w:szCs w:val="24"/>
          <w:lang w:eastAsia="fr-FR"/>
        </w:rPr>
        <w:t>Marsilea diffusa</w:t>
      </w:r>
      <w:r w:rsidRPr="008063D4">
        <w:rPr>
          <w:rFonts w:ascii="Times New Roman" w:hAnsi="Times New Roman" w:cs="Times New Roman"/>
          <w:color w:val="000000"/>
          <w:sz w:val="24"/>
          <w:szCs w:val="24"/>
          <w:lang w:eastAsia="fr-FR"/>
        </w:rPr>
        <w:t xml:space="preserve">) sont exclusivement aquatiques. Parmi les Angiospermes, on compte 24 espèces de Dicotylédones et 19 de Monocotylédones. </w:t>
      </w:r>
    </w:p>
    <w:p w14:paraId="286978F9" w14:textId="77777777" w:rsidR="00F52EF3" w:rsidRPr="008063D4"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7152AC7D" w14:textId="77777777" w:rsidR="00F52EF3" w:rsidRPr="00893926" w:rsidRDefault="00F52EF3" w:rsidP="00E17A45">
      <w:pPr>
        <w:autoSpaceDE w:val="0"/>
        <w:autoSpaceDN w:val="0"/>
        <w:adjustRightInd w:val="0"/>
        <w:spacing w:after="0" w:line="240" w:lineRule="auto"/>
        <w:jc w:val="both"/>
        <w:rPr>
          <w:rFonts w:ascii="Times New Roman" w:hAnsi="Times New Roman" w:cs="Times New Roman"/>
          <w:color w:val="000000"/>
          <w:sz w:val="24"/>
          <w:szCs w:val="24"/>
          <w:u w:val="single"/>
          <w:lang w:eastAsia="fr-FR"/>
        </w:rPr>
      </w:pPr>
      <w:r w:rsidRPr="00893926">
        <w:rPr>
          <w:rFonts w:ascii="Times New Roman" w:hAnsi="Times New Roman" w:cs="Times New Roman"/>
          <w:b/>
          <w:bCs/>
          <w:color w:val="000000"/>
          <w:sz w:val="24"/>
          <w:szCs w:val="24"/>
          <w:u w:val="single"/>
          <w:lang w:eastAsia="fr-FR"/>
        </w:rPr>
        <w:t xml:space="preserve">Diversité des espèces de champignons </w:t>
      </w:r>
    </w:p>
    <w:p w14:paraId="0BB034EB" w14:textId="77777777" w:rsidR="000A05E6" w:rsidRDefault="000A05E6"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1EAD871" w14:textId="10128399" w:rsidR="00F52EF3" w:rsidRPr="008063D4"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Comme précisé </w:t>
      </w:r>
      <w:r w:rsidR="00D534BF" w:rsidRPr="008063D4">
        <w:rPr>
          <w:rFonts w:ascii="Times New Roman" w:hAnsi="Times New Roman" w:cs="Times New Roman"/>
          <w:color w:val="000000"/>
          <w:sz w:val="24"/>
          <w:szCs w:val="24"/>
          <w:lang w:eastAsia="fr-FR"/>
        </w:rPr>
        <w:t>dans</w:t>
      </w:r>
      <w:r w:rsidRPr="008063D4">
        <w:rPr>
          <w:rFonts w:ascii="Times New Roman" w:hAnsi="Times New Roman" w:cs="Times New Roman"/>
          <w:color w:val="000000"/>
          <w:sz w:val="24"/>
          <w:szCs w:val="24"/>
          <w:lang w:eastAsia="fr-FR"/>
        </w:rPr>
        <w:t xml:space="preserve"> le 5</w:t>
      </w:r>
      <w:r w:rsidRPr="008063D4">
        <w:rPr>
          <w:rFonts w:ascii="Times New Roman" w:hAnsi="Times New Roman" w:cs="Times New Roman"/>
          <w:color w:val="000000"/>
          <w:sz w:val="24"/>
          <w:szCs w:val="24"/>
          <w:vertAlign w:val="superscript"/>
          <w:lang w:eastAsia="fr-FR"/>
        </w:rPr>
        <w:t>ème</w:t>
      </w:r>
      <w:r w:rsidRPr="008063D4">
        <w:rPr>
          <w:rFonts w:ascii="Times New Roman" w:hAnsi="Times New Roman" w:cs="Times New Roman"/>
          <w:color w:val="000000"/>
          <w:sz w:val="24"/>
          <w:szCs w:val="24"/>
          <w:lang w:eastAsia="fr-FR"/>
        </w:rPr>
        <w:t xml:space="preserve"> rapport, les travaux de recherche sur la mycoflore au Togo ont réellement commencé par les travaux de Guelly (2006) sur les champignons macroscopiques de la zone forestière. Aujourd’hui, l’intérêt accordé à la mycologie africaine surtout celle du Togo ne cesse d’augmenter eu égard à l’importance socioéconomique des champignons plus précisément les macromycètes. En effet, ils sont utilisés dans l’alimentation, en pharmacopée. Certains champignons comestibles récoltés dans les sous-bois et les champs (</w:t>
      </w:r>
      <w:r w:rsidRPr="008063D4">
        <w:rPr>
          <w:rFonts w:ascii="Times New Roman" w:hAnsi="Times New Roman" w:cs="Times New Roman"/>
          <w:i/>
          <w:iCs/>
          <w:color w:val="000000"/>
          <w:sz w:val="24"/>
          <w:szCs w:val="24"/>
          <w:lang w:eastAsia="fr-FR"/>
        </w:rPr>
        <w:t>Amanita loosii, Termitomyces schimperi, Termitomyces fulginosus, Termitomyces striatus, Psathyrella tuberculata, Volvarellia earlei, Lentinus tuber-regium, Lentinus squorrosulus</w:t>
      </w:r>
      <w:r w:rsidRPr="008063D4">
        <w:rPr>
          <w:rFonts w:ascii="Times New Roman" w:hAnsi="Times New Roman" w:cs="Times New Roman"/>
          <w:color w:val="000000"/>
          <w:sz w:val="24"/>
          <w:szCs w:val="24"/>
          <w:lang w:eastAsia="fr-FR"/>
        </w:rPr>
        <w:t>, etc.) constituent une source d'alimentation et sont également utilisées en médecine traditionnelle (</w:t>
      </w:r>
      <w:r w:rsidRPr="008063D4">
        <w:rPr>
          <w:rFonts w:ascii="Times New Roman" w:hAnsi="Times New Roman" w:cs="Times New Roman"/>
          <w:i/>
          <w:iCs/>
          <w:color w:val="000000"/>
          <w:sz w:val="24"/>
          <w:szCs w:val="24"/>
          <w:lang w:eastAsia="fr-FR"/>
        </w:rPr>
        <w:t>Ganoderma lucidum et Lentinus tuber-regium</w:t>
      </w:r>
      <w:r w:rsidRPr="008063D4">
        <w:rPr>
          <w:rFonts w:ascii="Times New Roman" w:hAnsi="Times New Roman" w:cs="Times New Roman"/>
          <w:color w:val="000000"/>
          <w:sz w:val="24"/>
          <w:szCs w:val="24"/>
          <w:lang w:eastAsia="fr-FR"/>
        </w:rPr>
        <w:t xml:space="preserve">) (Kamou, 2012). </w:t>
      </w:r>
    </w:p>
    <w:p w14:paraId="297E1BF4" w14:textId="77777777" w:rsidR="000A05E6" w:rsidRDefault="000A05E6"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66031C42" w14:textId="501D37BE" w:rsidR="00DB5C3A"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Plusieurs travaux portant sur leur distribution, leur diversité, leur phénologie, leur comestibilité et surtout leur taxonomie sont toujours en cours et permettent d’assoir une base de données sur la mycoflore togolaise. Parmi ces travaux, on retient : (i) les Lactarius (Russulaceae) de la Réserve de faune d’Alédjo au Togo, (ii) les champignons comestibles de Fazao (Préfecture de Sotouboua), (iii) Diversité des Laboulbéniales (champignons ascomycètes) du Togo», (iv) Diversité des macromycètes ectomycorhiziens de Kparatao (Préfecture de </w:t>
      </w:r>
      <w:r w:rsidR="00490005">
        <w:rPr>
          <w:rFonts w:ascii="Times New Roman" w:hAnsi="Times New Roman" w:cs="Times New Roman"/>
          <w:color w:val="000000"/>
          <w:sz w:val="24"/>
          <w:szCs w:val="24"/>
          <w:lang w:eastAsia="fr-FR"/>
        </w:rPr>
        <w:t>Tchaoudjo</w:t>
      </w:r>
      <w:r w:rsidRPr="008063D4">
        <w:rPr>
          <w:rFonts w:ascii="Times New Roman" w:hAnsi="Times New Roman" w:cs="Times New Roman"/>
          <w:color w:val="000000"/>
          <w:sz w:val="24"/>
          <w:szCs w:val="24"/>
          <w:lang w:eastAsia="fr-FR"/>
        </w:rPr>
        <w:t xml:space="preserve">) et (v) Evaluation des potentialités thérapeutiques de </w:t>
      </w:r>
      <w:r w:rsidRPr="008063D4">
        <w:rPr>
          <w:rFonts w:ascii="Times New Roman" w:hAnsi="Times New Roman" w:cs="Times New Roman"/>
          <w:i/>
          <w:iCs/>
          <w:color w:val="000000"/>
          <w:sz w:val="24"/>
          <w:szCs w:val="24"/>
          <w:lang w:eastAsia="fr-FR"/>
        </w:rPr>
        <w:t>Lentinus tuberregium</w:t>
      </w:r>
      <w:r w:rsidRPr="008063D4">
        <w:rPr>
          <w:rFonts w:ascii="Times New Roman" w:hAnsi="Times New Roman" w:cs="Times New Roman"/>
          <w:color w:val="000000"/>
          <w:sz w:val="24"/>
          <w:szCs w:val="24"/>
          <w:lang w:eastAsia="fr-FR"/>
        </w:rPr>
        <w:t xml:space="preserve">. Ces recherches ont permis de décrire à ce jour, </w:t>
      </w:r>
      <w:r w:rsidRPr="008063D4">
        <w:rPr>
          <w:rFonts w:ascii="Times New Roman" w:hAnsi="Times New Roman" w:cs="Times New Roman"/>
          <w:bCs/>
          <w:color w:val="000000"/>
          <w:sz w:val="24"/>
          <w:szCs w:val="24"/>
          <w:lang w:eastAsia="fr-FR"/>
        </w:rPr>
        <w:t>276 espèces contrairement à ce qui est indiqué dans le 5</w:t>
      </w:r>
      <w:r w:rsidRPr="008063D4">
        <w:rPr>
          <w:rFonts w:ascii="Times New Roman" w:hAnsi="Times New Roman" w:cs="Times New Roman"/>
          <w:bCs/>
          <w:color w:val="000000"/>
          <w:sz w:val="24"/>
          <w:szCs w:val="24"/>
          <w:vertAlign w:val="superscript"/>
          <w:lang w:eastAsia="fr-FR"/>
        </w:rPr>
        <w:t>ème</w:t>
      </w:r>
      <w:r w:rsidRPr="008063D4">
        <w:rPr>
          <w:rFonts w:ascii="Times New Roman" w:hAnsi="Times New Roman" w:cs="Times New Roman"/>
          <w:bCs/>
          <w:color w:val="000000"/>
          <w:sz w:val="24"/>
          <w:szCs w:val="24"/>
          <w:lang w:eastAsia="fr-FR"/>
        </w:rPr>
        <w:t xml:space="preserve"> rapport (173 espèces) co</w:t>
      </w:r>
      <w:r w:rsidR="00490005">
        <w:rPr>
          <w:rFonts w:ascii="Times New Roman" w:hAnsi="Times New Roman" w:cs="Times New Roman"/>
          <w:bCs/>
          <w:color w:val="000000"/>
          <w:sz w:val="24"/>
          <w:szCs w:val="24"/>
          <w:lang w:eastAsia="fr-FR"/>
        </w:rPr>
        <w:t>nfirmant ainsi les efforts fait</w:t>
      </w:r>
      <w:r w:rsidRPr="008063D4">
        <w:rPr>
          <w:rFonts w:ascii="Times New Roman" w:hAnsi="Times New Roman" w:cs="Times New Roman"/>
          <w:bCs/>
          <w:color w:val="000000"/>
          <w:sz w:val="24"/>
          <w:szCs w:val="24"/>
          <w:lang w:eastAsia="fr-FR"/>
        </w:rPr>
        <w:t xml:space="preserve">s dans l’identification de nouvelles espèces de champignons au Togo. Parmi ces 276 </w:t>
      </w:r>
      <w:r w:rsidRPr="008063D4">
        <w:rPr>
          <w:rFonts w:ascii="Times New Roman" w:hAnsi="Times New Roman" w:cs="Times New Roman"/>
          <w:color w:val="000000"/>
          <w:sz w:val="24"/>
          <w:szCs w:val="24"/>
          <w:lang w:eastAsia="fr-FR"/>
        </w:rPr>
        <w:t xml:space="preserve">espèces, </w:t>
      </w:r>
      <w:r w:rsidRPr="008063D4">
        <w:rPr>
          <w:rFonts w:ascii="Times New Roman" w:hAnsi="Times New Roman" w:cs="Times New Roman"/>
          <w:bCs/>
          <w:color w:val="000000"/>
          <w:sz w:val="24"/>
          <w:szCs w:val="24"/>
          <w:lang w:eastAsia="fr-FR"/>
        </w:rPr>
        <w:t xml:space="preserve">56 espèces </w:t>
      </w:r>
      <w:r w:rsidRPr="008063D4">
        <w:rPr>
          <w:rFonts w:ascii="Times New Roman" w:hAnsi="Times New Roman" w:cs="Times New Roman"/>
          <w:color w:val="000000"/>
          <w:sz w:val="24"/>
          <w:szCs w:val="24"/>
          <w:lang w:eastAsia="fr-FR"/>
        </w:rPr>
        <w:t xml:space="preserve">identifiées sur le campus de l’Université de Lomé (Guelly, 2006), </w:t>
      </w:r>
      <w:r w:rsidRPr="008063D4">
        <w:rPr>
          <w:rFonts w:ascii="Times New Roman" w:hAnsi="Times New Roman" w:cs="Times New Roman"/>
          <w:bCs/>
          <w:color w:val="000000"/>
          <w:sz w:val="24"/>
          <w:szCs w:val="24"/>
          <w:lang w:eastAsia="fr-FR"/>
        </w:rPr>
        <w:t xml:space="preserve">22 espèces </w:t>
      </w:r>
      <w:r w:rsidRPr="008063D4">
        <w:rPr>
          <w:rFonts w:ascii="Times New Roman" w:hAnsi="Times New Roman" w:cs="Times New Roman"/>
          <w:color w:val="000000"/>
          <w:sz w:val="24"/>
          <w:szCs w:val="24"/>
          <w:lang w:eastAsia="fr-FR"/>
        </w:rPr>
        <w:t xml:space="preserve">décrites dans les formations à dominance </w:t>
      </w:r>
      <w:r w:rsidRPr="008063D4">
        <w:rPr>
          <w:rFonts w:ascii="Times New Roman" w:hAnsi="Times New Roman" w:cs="Times New Roman"/>
          <w:i/>
          <w:iCs/>
          <w:color w:val="000000"/>
          <w:sz w:val="24"/>
          <w:szCs w:val="24"/>
          <w:lang w:eastAsia="fr-FR"/>
        </w:rPr>
        <w:t xml:space="preserve">Uapaca togoensis </w:t>
      </w:r>
      <w:r w:rsidRPr="008063D4">
        <w:rPr>
          <w:rFonts w:ascii="Times New Roman" w:hAnsi="Times New Roman" w:cs="Times New Roman"/>
          <w:color w:val="000000"/>
          <w:sz w:val="24"/>
          <w:szCs w:val="24"/>
          <w:lang w:eastAsia="fr-FR"/>
        </w:rPr>
        <w:t xml:space="preserve">et </w:t>
      </w:r>
      <w:r w:rsidRPr="008063D4">
        <w:rPr>
          <w:rFonts w:ascii="Times New Roman" w:hAnsi="Times New Roman" w:cs="Times New Roman"/>
          <w:i/>
          <w:iCs/>
          <w:color w:val="000000"/>
          <w:sz w:val="24"/>
          <w:szCs w:val="24"/>
          <w:lang w:eastAsia="fr-FR"/>
        </w:rPr>
        <w:t xml:space="preserve">Monotes kerstingii </w:t>
      </w:r>
      <w:r w:rsidR="00490005">
        <w:rPr>
          <w:rFonts w:ascii="Times New Roman" w:hAnsi="Times New Roman" w:cs="Times New Roman"/>
          <w:color w:val="000000"/>
          <w:sz w:val="24"/>
          <w:szCs w:val="24"/>
          <w:lang w:eastAsia="fr-FR"/>
        </w:rPr>
        <w:t>à Kparatao</w:t>
      </w:r>
      <w:r w:rsidRPr="008063D4">
        <w:rPr>
          <w:rFonts w:ascii="Times New Roman" w:hAnsi="Times New Roman" w:cs="Times New Roman"/>
          <w:color w:val="000000"/>
          <w:sz w:val="24"/>
          <w:szCs w:val="24"/>
          <w:lang w:eastAsia="fr-FR"/>
        </w:rPr>
        <w:t xml:space="preserve"> (Centre du Togo) (Nadjombe, 2012) et </w:t>
      </w:r>
      <w:r w:rsidRPr="008063D4">
        <w:rPr>
          <w:rFonts w:ascii="Times New Roman" w:hAnsi="Times New Roman" w:cs="Times New Roman"/>
          <w:bCs/>
          <w:color w:val="000000"/>
          <w:sz w:val="24"/>
          <w:szCs w:val="24"/>
          <w:lang w:eastAsia="fr-FR"/>
        </w:rPr>
        <w:t xml:space="preserve">19 espèces </w:t>
      </w:r>
      <w:r w:rsidRPr="008063D4">
        <w:rPr>
          <w:rFonts w:ascii="Times New Roman" w:hAnsi="Times New Roman" w:cs="Times New Roman"/>
          <w:color w:val="000000"/>
          <w:sz w:val="24"/>
          <w:szCs w:val="24"/>
          <w:lang w:eastAsia="fr-FR"/>
        </w:rPr>
        <w:t xml:space="preserve">dans les différentes formations de la forêt classée d’Aledjo (Maba, 2010) et </w:t>
      </w:r>
      <w:r w:rsidRPr="008063D4">
        <w:rPr>
          <w:rFonts w:ascii="Times New Roman" w:hAnsi="Times New Roman" w:cs="Times New Roman"/>
          <w:bCs/>
          <w:color w:val="000000"/>
          <w:sz w:val="24"/>
          <w:szCs w:val="24"/>
          <w:lang w:eastAsia="fr-FR"/>
        </w:rPr>
        <w:t xml:space="preserve">179 espèces sont </w:t>
      </w:r>
      <w:r w:rsidRPr="008063D4">
        <w:rPr>
          <w:rFonts w:ascii="Times New Roman" w:hAnsi="Times New Roman" w:cs="Times New Roman"/>
          <w:color w:val="000000"/>
          <w:sz w:val="24"/>
          <w:szCs w:val="24"/>
          <w:lang w:eastAsia="fr-FR"/>
        </w:rPr>
        <w:t>décrites dans le Parc National Fazao-Malfakassa (Kamou et al., 2017).</w:t>
      </w:r>
    </w:p>
    <w:p w14:paraId="205FFECC" w14:textId="77777777" w:rsidR="00DB5C3A" w:rsidRDefault="00DB5C3A"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1DBEA464" w14:textId="77777777" w:rsidR="00F52EF3" w:rsidRPr="008063D4"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Ces résultats montrent que de nouvelles espèces (106 espèces) ont été décrites par Kamou et al (2017) dans le Parc National Fazao-Malfakassa. Par ailleurs des 179 espèces décrites à Fazao, 4 sont des ascomycètes et 175 sont des basidiomycètes. Ces espèces sont  réparties en 52 genres, 28 familles et 17 ordres. Il ressort des travaux de Kamou et al (2017) que les taxa ectomycorrhiziens sont les plus dominants (65 %) contre 23 % des saprotrophes, 6 % des parasites et 6 % des symbiotes. Les familles les plus représentées sont les Russulaceae (34,29 %) et les Boletaceae (12,50 %).</w:t>
      </w:r>
    </w:p>
    <w:p w14:paraId="35B5405C" w14:textId="77777777" w:rsidR="00F52EF3" w:rsidRPr="008063D4" w:rsidRDefault="00F52EF3"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0572CD76" w14:textId="77777777" w:rsidR="00F52EF3" w:rsidRPr="008063D4" w:rsidRDefault="00893926" w:rsidP="00E17A45">
      <w:pPr>
        <w:autoSpaceDE w:val="0"/>
        <w:autoSpaceDN w:val="0"/>
        <w:adjustRightInd w:val="0"/>
        <w:spacing w:after="0" w:line="240" w:lineRule="auto"/>
        <w:jc w:val="both"/>
        <w:rPr>
          <w:rFonts w:ascii="Times New Roman" w:hAnsi="Times New Roman" w:cs="Times New Roman"/>
          <w:color w:val="000000"/>
          <w:sz w:val="24"/>
          <w:szCs w:val="24"/>
          <w:lang w:eastAsia="fr-FR"/>
        </w:rPr>
      </w:pPr>
      <w:r>
        <w:rPr>
          <w:rFonts w:ascii="Times New Roman" w:hAnsi="Times New Roman" w:cs="Times New Roman"/>
          <w:b/>
          <w:sz w:val="24"/>
          <w:szCs w:val="24"/>
          <w:lang w:eastAsia="fr-FR"/>
        </w:rPr>
        <w:t>f)</w:t>
      </w:r>
      <w:r w:rsidR="00F52EF3" w:rsidRPr="008063D4">
        <w:rPr>
          <w:rFonts w:ascii="Times New Roman" w:hAnsi="Times New Roman" w:cs="Times New Roman"/>
          <w:b/>
          <w:sz w:val="24"/>
          <w:szCs w:val="24"/>
          <w:lang w:eastAsia="fr-FR"/>
        </w:rPr>
        <w:t xml:space="preserve"> Diversité spécifique animale</w:t>
      </w:r>
    </w:p>
    <w:p w14:paraId="2040D8A6" w14:textId="77777777" w:rsidR="00F52EF3" w:rsidRPr="008063D4" w:rsidRDefault="00F52EF3" w:rsidP="00E17A45">
      <w:pPr>
        <w:autoSpaceDE w:val="0"/>
        <w:autoSpaceDN w:val="0"/>
        <w:adjustRightInd w:val="0"/>
        <w:spacing w:after="0" w:line="240" w:lineRule="auto"/>
        <w:jc w:val="both"/>
        <w:rPr>
          <w:rFonts w:ascii="Times New Roman" w:hAnsi="Times New Roman" w:cs="Times New Roman"/>
          <w:sz w:val="24"/>
          <w:szCs w:val="24"/>
        </w:rPr>
      </w:pPr>
    </w:p>
    <w:p w14:paraId="72C4154B" w14:textId="77777777" w:rsidR="00F52EF3" w:rsidRPr="00893926" w:rsidRDefault="00F52EF3" w:rsidP="00254C9C">
      <w:pPr>
        <w:autoSpaceDE w:val="0"/>
        <w:autoSpaceDN w:val="0"/>
        <w:adjustRightInd w:val="0"/>
        <w:spacing w:after="0" w:line="240" w:lineRule="auto"/>
        <w:jc w:val="both"/>
        <w:rPr>
          <w:rFonts w:ascii="Times New Roman" w:hAnsi="Times New Roman" w:cs="Times New Roman"/>
          <w:b/>
          <w:bCs/>
          <w:i/>
          <w:sz w:val="24"/>
          <w:szCs w:val="24"/>
        </w:rPr>
      </w:pPr>
      <w:r w:rsidRPr="00893926">
        <w:rPr>
          <w:rFonts w:ascii="Times New Roman" w:hAnsi="Times New Roman" w:cs="Times New Roman"/>
          <w:b/>
          <w:bCs/>
          <w:i/>
          <w:sz w:val="24"/>
          <w:szCs w:val="24"/>
        </w:rPr>
        <w:t xml:space="preserve">Situation de quelques espèces emblématiques </w:t>
      </w:r>
    </w:p>
    <w:p w14:paraId="6771D8E7" w14:textId="77777777" w:rsidR="000A05E6" w:rsidRDefault="000A05E6" w:rsidP="00254C9C">
      <w:pPr>
        <w:autoSpaceDE w:val="0"/>
        <w:autoSpaceDN w:val="0"/>
        <w:adjustRightInd w:val="0"/>
        <w:spacing w:after="0" w:line="240" w:lineRule="auto"/>
        <w:jc w:val="both"/>
        <w:rPr>
          <w:rFonts w:ascii="Times New Roman" w:hAnsi="Times New Roman" w:cs="Times New Roman"/>
          <w:sz w:val="24"/>
          <w:szCs w:val="24"/>
        </w:rPr>
      </w:pPr>
    </w:p>
    <w:p w14:paraId="159AFD19" w14:textId="38F38E11"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Le cinquième rapport national sur la CDB indique une augmentation du potentiel f</w:t>
      </w:r>
      <w:r w:rsidR="000A05E6">
        <w:rPr>
          <w:rFonts w:ascii="Times New Roman" w:hAnsi="Times New Roman" w:cs="Times New Roman"/>
          <w:sz w:val="24"/>
          <w:szCs w:val="24"/>
        </w:rPr>
        <w:t>aunique a entre 2003 et 2013. L</w:t>
      </w:r>
      <w:r w:rsidRPr="008063D4">
        <w:rPr>
          <w:rFonts w:ascii="Times New Roman" w:hAnsi="Times New Roman" w:cs="Times New Roman"/>
          <w:sz w:val="24"/>
          <w:szCs w:val="24"/>
        </w:rPr>
        <w:t>es effectifs des espèces emblématiques comme l’éléphant et le buffle connaissent une augmentation progressive (MERF, 2013). Selon Campbell et Radley (2005), les populations d’éléphant étaient estimées à 50 têtes en 2003. En dix ans, leur e</w:t>
      </w:r>
      <w:r w:rsidR="00490005">
        <w:rPr>
          <w:rFonts w:ascii="Times New Roman" w:hAnsi="Times New Roman" w:cs="Times New Roman"/>
          <w:sz w:val="24"/>
          <w:szCs w:val="24"/>
        </w:rPr>
        <w:t>ffectif a augmenté de 57% soit 8</w:t>
      </w:r>
      <w:r w:rsidRPr="008063D4">
        <w:rPr>
          <w:rFonts w:ascii="Times New Roman" w:hAnsi="Times New Roman" w:cs="Times New Roman"/>
          <w:sz w:val="24"/>
          <w:szCs w:val="24"/>
        </w:rPr>
        <w:t>5 têtes de plus (FFW, 2013). Cette augmentation est due au fait que les efforts de protection contre le braconnage se sont renforcés. Les habitats du PNFM étant donc sécurisés, on assiste au retour d’importants troupeaux qui s’étaient réfugiés dans le Parc voisin de Kyabobo (Ghana) ou ailleurs. On dénombre environ quatre éléphants plus ou moins stables dans la réserve de faune d’Abdoulaye. On observe des incursions saisonnières d’éléphants dans le complexe Oti-Kéran-Mandouri. D’importante population de buffles dont l’effectif est évalué à 216 a été inventoriée dans la réserve de faune de Djamdè. On y trouve également d’importants troupeaux de zèbres et de gnous qui ont été introduits avec succès. L’élan de Derby complètement disparu dans nos écosystèmes est bien conservé dans le ranching de Sarakawa. En dépit des pressions anthropiques exercées sur elles, les populations d’hippopotame</w:t>
      </w:r>
      <w:r w:rsidR="00490005">
        <w:rPr>
          <w:rFonts w:ascii="Times New Roman" w:hAnsi="Times New Roman" w:cs="Times New Roman"/>
          <w:sz w:val="24"/>
          <w:szCs w:val="24"/>
        </w:rPr>
        <w:t>s</w:t>
      </w:r>
      <w:r w:rsidRPr="008063D4">
        <w:rPr>
          <w:rFonts w:ascii="Times New Roman" w:hAnsi="Times New Roman" w:cs="Times New Roman"/>
          <w:sz w:val="24"/>
          <w:szCs w:val="24"/>
        </w:rPr>
        <w:t xml:space="preserve"> sont importantes dans le bassin du Mono notamment dans la mare d’Afito, le barrage de Nangbéto, les zones marécageuses de l’aire protégée d’Amou-Mono, la mare du domaine de Gravio proche de la ville de Mango et le long de la rivière de l’Oti.</w:t>
      </w:r>
    </w:p>
    <w:p w14:paraId="75EC6020"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p>
    <w:p w14:paraId="0830A6BC"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sz w:val="24"/>
          <w:szCs w:val="24"/>
        </w:rPr>
      </w:pPr>
      <w:r w:rsidRPr="008063D4">
        <w:rPr>
          <w:rFonts w:ascii="Times New Roman" w:hAnsi="Times New Roman" w:cs="Times New Roman"/>
          <w:b/>
          <w:sz w:val="24"/>
          <w:szCs w:val="24"/>
          <w:lang w:eastAsia="fr-FR"/>
        </w:rPr>
        <w:t>7.1.1.2. Avantages découlant de la biodiversité et des services écosystémiques</w:t>
      </w:r>
    </w:p>
    <w:p w14:paraId="4D793E8E"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p>
    <w:p w14:paraId="3F61B9A2" w14:textId="77777777" w:rsidR="00F52EF3" w:rsidRPr="008063D4" w:rsidRDefault="00893926" w:rsidP="00254C9C">
      <w:pPr>
        <w:spacing w:after="0" w:line="240" w:lineRule="auto"/>
        <w:jc w:val="both"/>
        <w:rPr>
          <w:rFonts w:ascii="Times New Roman" w:hAnsi="Times New Roman" w:cs="Times New Roman"/>
          <w:b/>
          <w:bCs/>
          <w:sz w:val="24"/>
          <w:szCs w:val="24"/>
        </w:rPr>
      </w:pPr>
      <w:r>
        <w:rPr>
          <w:rFonts w:ascii="Times New Roman" w:hAnsi="Times New Roman" w:cs="Times New Roman"/>
          <w:b/>
          <w:sz w:val="24"/>
          <w:szCs w:val="24"/>
          <w:lang w:eastAsia="fr-FR"/>
        </w:rPr>
        <w:t>a)</w:t>
      </w:r>
      <w:r w:rsidR="00F52EF3" w:rsidRPr="008063D4">
        <w:rPr>
          <w:rFonts w:ascii="Times New Roman" w:hAnsi="Times New Roman" w:cs="Times New Roman"/>
          <w:b/>
          <w:bCs/>
          <w:sz w:val="24"/>
          <w:szCs w:val="24"/>
        </w:rPr>
        <w:t>Importance économique de la biodiversité</w:t>
      </w:r>
    </w:p>
    <w:p w14:paraId="231B52D8" w14:textId="77777777" w:rsidR="000A05E6" w:rsidRDefault="000A05E6" w:rsidP="00254C9C">
      <w:pPr>
        <w:spacing w:after="0" w:line="240" w:lineRule="auto"/>
        <w:jc w:val="both"/>
        <w:rPr>
          <w:rFonts w:ascii="Times New Roman" w:hAnsi="Times New Roman" w:cs="Times New Roman"/>
          <w:sz w:val="24"/>
          <w:szCs w:val="24"/>
        </w:rPr>
      </w:pPr>
    </w:p>
    <w:p w14:paraId="6A45FDE2" w14:textId="1C91ACD7" w:rsidR="00F52EF3" w:rsidRPr="008063D4"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Comme indiqué dans la Stratégie et Plan d’Action National pour la Biodiversité (MERF, 2014), les écosystèmes et les espèces animales et végétales qui leur sont associées rendent d’importants services aux communautés humaines. Ces services englobent entre autres le bois d’œuvre, le bois de service (poteaux et perches), les champignons, le bois-énergie (bois de feu et charbon de bois), les PFNL d’origine végétale (plantes médicinales, les fruits, graines et feuilles, les lianes, les nattes traditionnelles, les cure-dents, les balais claies, cages, paniers végétaux et éventails, les plantes fourragères, etc) et les PFNL d’origine animale (la faune entomologique, la faune herpétologique, l’avifaune, la faune mammalienne, et les ressources halieutiques, le miel</w:t>
      </w:r>
      <w:r w:rsidR="00490005">
        <w:rPr>
          <w:rFonts w:ascii="Times New Roman" w:hAnsi="Times New Roman" w:cs="Times New Roman"/>
          <w:sz w:val="24"/>
          <w:szCs w:val="24"/>
        </w:rPr>
        <w:t>,</w:t>
      </w:r>
      <w:r w:rsidRPr="008063D4">
        <w:rPr>
          <w:rFonts w:ascii="Times New Roman" w:hAnsi="Times New Roman" w:cs="Times New Roman"/>
          <w:sz w:val="24"/>
          <w:szCs w:val="24"/>
        </w:rPr>
        <w:t xml:space="preserve"> etc</w:t>
      </w:r>
      <w:r w:rsidR="00490005">
        <w:rPr>
          <w:rFonts w:ascii="Times New Roman" w:hAnsi="Times New Roman" w:cs="Times New Roman"/>
          <w:sz w:val="24"/>
          <w:szCs w:val="24"/>
        </w:rPr>
        <w:t>.</w:t>
      </w:r>
      <w:r w:rsidRPr="008063D4">
        <w:rPr>
          <w:rFonts w:ascii="Times New Roman" w:hAnsi="Times New Roman" w:cs="Times New Roman"/>
          <w:sz w:val="24"/>
          <w:szCs w:val="24"/>
        </w:rPr>
        <w:t xml:space="preserve"> qui sont dans leur ensemble utilisées dans l’alimentation pour la consommation directe et pour la commercialisation). Grâce à ces multiples usages dans le mode de vie des populations togolaises, la biodiversité possède une valeur économique avérée qui s’apprécie à travers différentes domaines d’utilisation (MERF, 2014).</w:t>
      </w:r>
    </w:p>
    <w:p w14:paraId="1A29CA01" w14:textId="77777777" w:rsidR="00893926" w:rsidRDefault="00893926" w:rsidP="00254C9C">
      <w:pPr>
        <w:spacing w:after="0" w:line="240" w:lineRule="auto"/>
        <w:jc w:val="both"/>
        <w:rPr>
          <w:rFonts w:ascii="Times New Roman" w:hAnsi="Times New Roman" w:cs="Times New Roman"/>
          <w:b/>
          <w:sz w:val="24"/>
          <w:szCs w:val="24"/>
          <w:lang w:eastAsia="fr-FR"/>
        </w:rPr>
      </w:pPr>
    </w:p>
    <w:p w14:paraId="5037485A" w14:textId="77777777" w:rsidR="00F52EF3" w:rsidRPr="00893926" w:rsidRDefault="00F52EF3" w:rsidP="00254C9C">
      <w:pPr>
        <w:spacing w:after="0" w:line="240" w:lineRule="auto"/>
        <w:jc w:val="both"/>
        <w:rPr>
          <w:rFonts w:ascii="Times New Roman" w:hAnsi="Times New Roman" w:cs="Times New Roman"/>
          <w:b/>
          <w:i/>
          <w:sz w:val="24"/>
          <w:szCs w:val="24"/>
        </w:rPr>
      </w:pPr>
      <w:r w:rsidRPr="00893926">
        <w:rPr>
          <w:rFonts w:ascii="Times New Roman" w:hAnsi="Times New Roman" w:cs="Times New Roman"/>
          <w:b/>
          <w:i/>
          <w:sz w:val="24"/>
          <w:szCs w:val="24"/>
        </w:rPr>
        <w:t>Apport des produits forestiers ligneux</w:t>
      </w:r>
    </w:p>
    <w:p w14:paraId="73DF832D" w14:textId="77777777" w:rsidR="00B8641F" w:rsidRDefault="00B8641F" w:rsidP="00254C9C">
      <w:pPr>
        <w:spacing w:after="0" w:line="240" w:lineRule="auto"/>
        <w:jc w:val="both"/>
        <w:rPr>
          <w:rFonts w:ascii="Times New Roman" w:hAnsi="Times New Roman" w:cs="Times New Roman"/>
          <w:bCs/>
          <w:sz w:val="24"/>
          <w:szCs w:val="24"/>
        </w:rPr>
      </w:pPr>
    </w:p>
    <w:p w14:paraId="60B8576C" w14:textId="77777777" w:rsidR="00F52EF3" w:rsidRPr="008063D4" w:rsidRDefault="0014346B" w:rsidP="00254C9C">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L</w:t>
      </w:r>
      <w:r w:rsidR="00F52EF3" w:rsidRPr="008063D4">
        <w:rPr>
          <w:rFonts w:ascii="Times New Roman" w:hAnsi="Times New Roman" w:cs="Times New Roman"/>
          <w:bCs/>
          <w:sz w:val="24"/>
          <w:szCs w:val="24"/>
        </w:rPr>
        <w:t>es produits forestiers ligneux sont exploités pour différentes utilisations au Togo. Il s’agit de :</w:t>
      </w:r>
    </w:p>
    <w:p w14:paraId="1AFEB0AA" w14:textId="77777777" w:rsidR="00F52EF3" w:rsidRPr="008063D4" w:rsidRDefault="00F52EF3" w:rsidP="00E50666">
      <w:pPr>
        <w:numPr>
          <w:ilvl w:val="0"/>
          <w:numId w:val="10"/>
        </w:numPr>
        <w:spacing w:after="0" w:line="240" w:lineRule="auto"/>
        <w:jc w:val="both"/>
        <w:rPr>
          <w:rFonts w:ascii="Times New Roman" w:hAnsi="Times New Roman" w:cs="Times New Roman"/>
          <w:b/>
          <w:bCs/>
          <w:sz w:val="24"/>
          <w:szCs w:val="24"/>
        </w:rPr>
      </w:pPr>
      <w:r w:rsidRPr="008063D4">
        <w:rPr>
          <w:rFonts w:ascii="Times New Roman" w:hAnsi="Times New Roman" w:cs="Times New Roman"/>
          <w:b/>
          <w:bCs/>
          <w:sz w:val="24"/>
          <w:szCs w:val="24"/>
        </w:rPr>
        <w:t xml:space="preserve">Bois énergie </w:t>
      </w:r>
    </w:p>
    <w:p w14:paraId="37CC28D9" w14:textId="77777777" w:rsidR="00F52EF3" w:rsidRDefault="00F52EF3" w:rsidP="00254C9C">
      <w:pPr>
        <w:pStyle w:val="Default"/>
        <w:jc w:val="both"/>
      </w:pPr>
      <w:r w:rsidRPr="008063D4">
        <w:rPr>
          <w:bCs/>
        </w:rPr>
        <w:t xml:space="preserve">Au Togo, le bois énergie provient des forêts naturelles, des plantations forestières et des arbres hors forêt. Au plan national, le volume moyen de bois à vocation bois-énergie dans les strates forestières est estimé à 21,2m3/ha (MERF, 2017). En considérant les superficies et les volumes bois-énergie pour chaque strate, le volume exploitable annuel provenant des forêts naturelles et pouvant alimenter la filière bois-énergie est évalué à près de 2,23 millions de mètres cube soit 1 559 663 tonnes de bois par an. Pour ce qui concerne les plantations forestières, </w:t>
      </w:r>
      <w:r w:rsidRPr="008063D4">
        <w:t xml:space="preserve">la </w:t>
      </w:r>
      <w:r w:rsidRPr="008063D4">
        <w:rPr>
          <w:bCs/>
        </w:rPr>
        <w:t xml:space="preserve">production potentielle annuelle s’élève à 98 207 m³/an équivalent à 68 740 tonnes de bois. </w:t>
      </w:r>
      <w:r w:rsidRPr="008063D4">
        <w:t>La part de l’approvisionnement en bois-énergie provenant des reboisements est donc modeste tandis que la part des arbres hors forêt est grandissante. En effet, le volume potentiel d’exploitation de bois-énergie à partir des arbres hors forêt s’élève à environ 954 409 mètres cubes par a</w:t>
      </w:r>
      <w:r w:rsidR="00E17A45">
        <w:t>n, soit 668 086 tonnes de bois.</w:t>
      </w:r>
    </w:p>
    <w:p w14:paraId="2E47E46D" w14:textId="77777777" w:rsidR="00E17A45" w:rsidRPr="008063D4" w:rsidRDefault="00E17A45" w:rsidP="00254C9C">
      <w:pPr>
        <w:pStyle w:val="Default"/>
        <w:jc w:val="both"/>
      </w:pPr>
    </w:p>
    <w:p w14:paraId="1712EA0A" w14:textId="54E763ED" w:rsidR="00DB5C3A" w:rsidRDefault="00F52EF3" w:rsidP="00254C9C">
      <w:pPr>
        <w:pStyle w:val="Default"/>
        <w:jc w:val="both"/>
      </w:pPr>
      <w:r w:rsidRPr="008063D4">
        <w:t xml:space="preserve">Non seulement, le bois énergie </w:t>
      </w:r>
      <w:r w:rsidR="00490005">
        <w:t xml:space="preserve">est </w:t>
      </w:r>
      <w:r w:rsidRPr="008063D4">
        <w:t xml:space="preserve">destiné à l’exportation, mais il </w:t>
      </w:r>
      <w:r w:rsidR="00490005">
        <w:t xml:space="preserve">est </w:t>
      </w:r>
      <w:r w:rsidRPr="008063D4">
        <w:t>produit</w:t>
      </w:r>
      <w:r w:rsidR="00490005">
        <w:t>,</w:t>
      </w:r>
      <w:r w:rsidRPr="008063D4">
        <w:t xml:space="preserve"> dans la majorité des cas</w:t>
      </w:r>
      <w:r w:rsidR="00490005">
        <w:t>,</w:t>
      </w:r>
      <w:r w:rsidRPr="008063D4">
        <w:t xml:space="preserve"> pour la consommation nationale. Outre, la cuisson domestique, le bois-énergie est le combustible de choix dans l’artisanat et la transformation des produits agricoles ainsi que pour les structures sociocommunautaires. Il est utilisé sous forme de charbon de bois et de bois de feux. Il est noté à cet effet une variation du combustible principal en fonction du milieu de résidence considéré. En milieu rural, les besoins énergétiques de la majorité des ménages sont toujours satisfaits par le bois de feu. Cette prédominance est également constatée dans les études antérieures (DGE 2007 : 87%, QUIBB 2016 : 86,9%). Toutefois, la part des ménages ruraux qui utilisent le charbon de bois tend à augmenter.</w:t>
      </w:r>
    </w:p>
    <w:p w14:paraId="4BA93D33" w14:textId="77777777" w:rsidR="00DB5C3A" w:rsidRDefault="00DB5C3A" w:rsidP="00254C9C">
      <w:pPr>
        <w:pStyle w:val="Default"/>
        <w:jc w:val="both"/>
      </w:pPr>
    </w:p>
    <w:p w14:paraId="369DB6E1" w14:textId="77777777" w:rsidR="00F52EF3" w:rsidRDefault="00F52EF3" w:rsidP="00254C9C">
      <w:pPr>
        <w:pStyle w:val="Default"/>
        <w:jc w:val="both"/>
      </w:pPr>
      <w:r w:rsidRPr="008063D4">
        <w:t>En milieu urbain, une différenciation entre Lomé Commune (100% charbon) et le milieu urbain des régions (56,64%) a été noté. Au niveau régional,  la plus faible consommation de bois de feu est constatée en milieu rural dans la région de la Kara (216 kg/pers./an) alors que la plus élevée est observée en milieu urbain dans la région Centrale.  Concernant le charbon de bois, la plus faible consommation est également constatée en milieu rural dans la région de la Kara (82 kg/pers./an) alors que la plus élevée est observée en milieu urbain dans la région Centrale (205 kg/pers./an). En se basant sur ces coefficients de consommation, la consommation nationale actuelle des ménages en bois-énergie s’élève à 1 505 206 tonnes de bois de feu (2 150 294 m³) et à 285 245 tonnes de charbon de bois (équivalant à 4 074 923 m³ de bois), ce qui correspond à une consommation annuelle de 6,225 millions de mètres cubes de bois.</w:t>
      </w:r>
    </w:p>
    <w:p w14:paraId="5B7D980C" w14:textId="77777777" w:rsidR="00DB5C3A" w:rsidRPr="008063D4" w:rsidRDefault="00DB5C3A" w:rsidP="00254C9C">
      <w:pPr>
        <w:pStyle w:val="Default"/>
        <w:jc w:val="both"/>
      </w:pPr>
    </w:p>
    <w:p w14:paraId="7C3EFB0B" w14:textId="77777777" w:rsidR="00F52EF3" w:rsidRPr="008063D4" w:rsidRDefault="00F52EF3" w:rsidP="00254C9C">
      <w:pPr>
        <w:pStyle w:val="Default"/>
        <w:jc w:val="both"/>
        <w:rPr>
          <w:bCs/>
        </w:rPr>
      </w:pPr>
      <w:r w:rsidRPr="008063D4">
        <w:t>Pour ce qui concerne la filière bois-énergie, elle fait intervenir de nombreux acteurs. Il s’agit des opérateurs économiques, des services administratifs, des organisations de la société civile, et d’une partie de la population rurale. La filière bois-énergie génère donc de l’em</w:t>
      </w:r>
      <w:r w:rsidR="00256E0E">
        <w:t>ploi pour de nombreux togolais.</w:t>
      </w:r>
      <w:r w:rsidRPr="008063D4">
        <w:t xml:space="preserve"> En 2010, le nombre d’emploi estimé sur la filière était établit à 861 664 emplois dont 655 425 pour le bois de chauffe et 206 239 pour le charbon de bois (MERF/FAO, 2016).</w:t>
      </w:r>
    </w:p>
    <w:p w14:paraId="1731CA69" w14:textId="77777777" w:rsidR="00F52EF3" w:rsidRPr="008063D4" w:rsidRDefault="00F52EF3" w:rsidP="00254C9C">
      <w:pPr>
        <w:spacing w:after="0" w:line="240" w:lineRule="auto"/>
        <w:ind w:left="360"/>
        <w:jc w:val="both"/>
        <w:rPr>
          <w:rFonts w:ascii="Times New Roman" w:hAnsi="Times New Roman" w:cs="Times New Roman"/>
          <w:b/>
          <w:bCs/>
          <w:sz w:val="24"/>
          <w:szCs w:val="24"/>
        </w:rPr>
      </w:pPr>
    </w:p>
    <w:p w14:paraId="6C2EE9E5" w14:textId="77777777" w:rsidR="00F52EF3" w:rsidRPr="008063D4" w:rsidRDefault="00F52EF3" w:rsidP="00E50666">
      <w:pPr>
        <w:numPr>
          <w:ilvl w:val="0"/>
          <w:numId w:val="10"/>
        </w:numPr>
        <w:spacing w:after="0" w:line="240" w:lineRule="auto"/>
        <w:jc w:val="both"/>
        <w:rPr>
          <w:rFonts w:ascii="Times New Roman" w:hAnsi="Times New Roman" w:cs="Times New Roman"/>
          <w:b/>
          <w:bCs/>
          <w:sz w:val="24"/>
          <w:szCs w:val="24"/>
        </w:rPr>
      </w:pPr>
      <w:r w:rsidRPr="008063D4">
        <w:rPr>
          <w:rFonts w:ascii="Times New Roman" w:hAnsi="Times New Roman" w:cs="Times New Roman"/>
          <w:b/>
          <w:bCs/>
          <w:sz w:val="24"/>
          <w:szCs w:val="24"/>
        </w:rPr>
        <w:t>Bois d’œuvre et bois de service</w:t>
      </w:r>
    </w:p>
    <w:p w14:paraId="5ECFE888" w14:textId="77777777" w:rsidR="00B8641F" w:rsidRDefault="00B8641F" w:rsidP="00254C9C">
      <w:pPr>
        <w:spacing w:after="0" w:line="240" w:lineRule="auto"/>
        <w:jc w:val="both"/>
        <w:rPr>
          <w:rFonts w:ascii="Times New Roman" w:hAnsi="Times New Roman" w:cs="Times New Roman"/>
          <w:bCs/>
          <w:sz w:val="24"/>
          <w:szCs w:val="24"/>
        </w:rPr>
      </w:pPr>
    </w:p>
    <w:p w14:paraId="69188A70" w14:textId="77777777" w:rsidR="00DB5C3A" w:rsidRDefault="00F52EF3" w:rsidP="00254C9C">
      <w:pPr>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La production de bois d’œuvre se fait essentiellement dans les régions des Plateaux et Centrale et notamment dans les zones frontalières avec le Bénin et le Ghana en raison de leurs potentialités naturelles (MERF, 2014). La consommation de bois d’œuvre par tête d’habitant est de 0,008 m3 de sciages (MERF/FAO, 2011). Il est consommé aussi bien en milieu urbain qu’en milieu rural. En ce qui concerne le bois de service, la consommation moyenne est estimée à 0,08 m</w:t>
      </w:r>
      <w:r w:rsidRPr="00893926">
        <w:rPr>
          <w:rFonts w:ascii="Times New Roman" w:hAnsi="Times New Roman" w:cs="Times New Roman"/>
          <w:bCs/>
          <w:sz w:val="24"/>
          <w:szCs w:val="24"/>
          <w:vertAlign w:val="superscript"/>
        </w:rPr>
        <w:t>3</w:t>
      </w:r>
      <w:r w:rsidRPr="008063D4">
        <w:rPr>
          <w:rFonts w:ascii="Times New Roman" w:hAnsi="Times New Roman" w:cs="Times New Roman"/>
          <w:bCs/>
          <w:sz w:val="24"/>
          <w:szCs w:val="24"/>
        </w:rPr>
        <w:t xml:space="preserve"> (Akpabie, 2011). Il s’agit essentiellement de coquaires, des perches, des bambous, des poteaux, des Raphia. Les perches et les poteaux proviennent le plus souvent des plantations de teck et d’autres essences à croissance rapide telles des </w:t>
      </w:r>
      <w:r w:rsidRPr="008063D4">
        <w:rPr>
          <w:rFonts w:ascii="Times New Roman" w:hAnsi="Times New Roman" w:cs="Times New Roman"/>
          <w:bCs/>
          <w:i/>
          <w:sz w:val="24"/>
          <w:szCs w:val="24"/>
        </w:rPr>
        <w:t xml:space="preserve">Eucalyptus </w:t>
      </w:r>
      <w:r w:rsidRPr="00893926">
        <w:rPr>
          <w:rFonts w:ascii="Times New Roman" w:hAnsi="Times New Roman" w:cs="Times New Roman"/>
          <w:bCs/>
          <w:sz w:val="24"/>
          <w:szCs w:val="24"/>
        </w:rPr>
        <w:t>sp</w:t>
      </w:r>
      <w:r w:rsidR="00893926">
        <w:rPr>
          <w:rFonts w:ascii="Times New Roman" w:hAnsi="Times New Roman" w:cs="Times New Roman"/>
          <w:bCs/>
          <w:i/>
          <w:sz w:val="24"/>
          <w:szCs w:val="24"/>
        </w:rPr>
        <w:t>.</w:t>
      </w:r>
      <w:r w:rsidRPr="008063D4">
        <w:rPr>
          <w:rFonts w:ascii="Times New Roman" w:hAnsi="Times New Roman" w:cs="Times New Roman"/>
          <w:bCs/>
          <w:i/>
          <w:sz w:val="24"/>
          <w:szCs w:val="24"/>
        </w:rPr>
        <w:t xml:space="preserve">, Terminalia </w:t>
      </w:r>
      <w:r w:rsidRPr="00893926">
        <w:rPr>
          <w:rFonts w:ascii="Times New Roman" w:hAnsi="Times New Roman" w:cs="Times New Roman"/>
          <w:bCs/>
          <w:sz w:val="24"/>
          <w:szCs w:val="24"/>
        </w:rPr>
        <w:t>sp</w:t>
      </w:r>
      <w:r w:rsidR="00893926">
        <w:rPr>
          <w:rFonts w:ascii="Times New Roman" w:hAnsi="Times New Roman" w:cs="Times New Roman"/>
          <w:bCs/>
          <w:i/>
          <w:sz w:val="24"/>
          <w:szCs w:val="24"/>
        </w:rPr>
        <w:t>.</w:t>
      </w:r>
      <w:r w:rsidRPr="008063D4">
        <w:rPr>
          <w:rFonts w:ascii="Times New Roman" w:hAnsi="Times New Roman" w:cs="Times New Roman"/>
          <w:bCs/>
          <w:i/>
          <w:sz w:val="24"/>
          <w:szCs w:val="24"/>
        </w:rPr>
        <w:t>, Cedrela sp, Bambusa sp</w:t>
      </w:r>
      <w:r w:rsidRPr="008063D4">
        <w:rPr>
          <w:rFonts w:ascii="Times New Roman" w:hAnsi="Times New Roman" w:cs="Times New Roman"/>
          <w:bCs/>
          <w:sz w:val="24"/>
          <w:szCs w:val="24"/>
        </w:rPr>
        <w:t>, etc.</w:t>
      </w:r>
    </w:p>
    <w:p w14:paraId="6D83CD24" w14:textId="77777777" w:rsidR="00DB5C3A" w:rsidRDefault="00DB5C3A" w:rsidP="00254C9C">
      <w:pPr>
        <w:spacing w:after="0" w:line="240" w:lineRule="auto"/>
        <w:jc w:val="both"/>
        <w:rPr>
          <w:rFonts w:ascii="Times New Roman" w:hAnsi="Times New Roman" w:cs="Times New Roman"/>
          <w:bCs/>
          <w:sz w:val="24"/>
          <w:szCs w:val="24"/>
        </w:rPr>
      </w:pPr>
    </w:p>
    <w:p w14:paraId="7461D1D7" w14:textId="77777777" w:rsidR="00F52EF3" w:rsidRDefault="00F52EF3" w:rsidP="00254C9C">
      <w:pPr>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Il faut toutefois noter que le bois produit au Togo n’est pas seulement destiné à la consommation nationale mais aussi à l’exportation. Selon MERF (2016), le bois au Togo est exporté et réexporté sous forme de grumes et madriers essentiellement écorcés, désaubiérés et sous forme de bois équarris. Autrement dit, le Togo exporte, pour une large part, ses ressources ligneuses sans transformation. Seule une infime partie (moins de 2%) est transformée avant exportation. Entre 2003 et 2009, le Togo a exporté au total 121 058,99 tonnes de bois toutes formes confondues (bois bruts, bois semi transformés, bois transformés et bois énergie) selon la Direction Générale de la Statistique et de la Comptabilité Nationale (DGSCN). Entre 2010 et 2014, l’exportation du Togo a atteint un total de 251 084,22 tonnes de bois toutes formes confondues. En termes de contribution à l’économie, entre 2010 et 2014, le Togo a exporté en moyenne 41 480,55 tonnes de produits bois par an pour une valeur annuelle d’environ 597,28 millions de FCFA. La Chine est le premier importateur de produits bois du Togo. Les ventes vers ce pays représentent 87,32% des ventes de bois à l’extérieur. Elle est suivie par l’Inde (10,25%) (MERF, 2016).</w:t>
      </w:r>
    </w:p>
    <w:p w14:paraId="74864644" w14:textId="77777777" w:rsidR="00E76A8E" w:rsidRPr="008063D4" w:rsidRDefault="00E76A8E" w:rsidP="00254C9C">
      <w:pPr>
        <w:spacing w:after="0" w:line="240" w:lineRule="auto"/>
        <w:jc w:val="both"/>
        <w:rPr>
          <w:rFonts w:ascii="Times New Roman" w:hAnsi="Times New Roman" w:cs="Times New Roman"/>
          <w:bCs/>
          <w:sz w:val="24"/>
          <w:szCs w:val="24"/>
        </w:rPr>
      </w:pPr>
    </w:p>
    <w:p w14:paraId="67BC175E" w14:textId="77777777" w:rsidR="00F52EF3" w:rsidRPr="008063D4" w:rsidRDefault="00F52EF3" w:rsidP="00254C9C">
      <w:pPr>
        <w:spacing w:after="0" w:line="240" w:lineRule="auto"/>
        <w:jc w:val="both"/>
        <w:rPr>
          <w:rFonts w:ascii="Times New Roman" w:hAnsi="Times New Roman" w:cs="Times New Roman"/>
          <w:bCs/>
          <w:sz w:val="24"/>
          <w:szCs w:val="24"/>
        </w:rPr>
      </w:pPr>
    </w:p>
    <w:p w14:paraId="35D97180" w14:textId="77777777" w:rsidR="00F52EF3" w:rsidRPr="00256E0E" w:rsidRDefault="00F52EF3" w:rsidP="00254C9C">
      <w:pPr>
        <w:spacing w:after="0" w:line="240" w:lineRule="auto"/>
        <w:jc w:val="both"/>
        <w:rPr>
          <w:rFonts w:ascii="Times New Roman" w:hAnsi="Times New Roman" w:cs="Times New Roman"/>
          <w:b/>
          <w:bCs/>
          <w:i/>
          <w:sz w:val="24"/>
          <w:szCs w:val="24"/>
        </w:rPr>
      </w:pPr>
      <w:r w:rsidRPr="00256E0E">
        <w:rPr>
          <w:rFonts w:ascii="Times New Roman" w:hAnsi="Times New Roman" w:cs="Times New Roman"/>
          <w:b/>
          <w:bCs/>
          <w:i/>
          <w:sz w:val="24"/>
          <w:szCs w:val="24"/>
        </w:rPr>
        <w:t>Apport des produits forestiers non ligneux (PFNL)</w:t>
      </w:r>
    </w:p>
    <w:p w14:paraId="71E41B1B" w14:textId="77777777" w:rsidR="00B8641F" w:rsidRDefault="00B8641F" w:rsidP="00254C9C">
      <w:pPr>
        <w:autoSpaceDE w:val="0"/>
        <w:autoSpaceDN w:val="0"/>
        <w:adjustRightInd w:val="0"/>
        <w:spacing w:after="0" w:line="240" w:lineRule="auto"/>
        <w:jc w:val="both"/>
        <w:rPr>
          <w:rFonts w:ascii="Times New Roman" w:hAnsi="Times New Roman" w:cs="Times New Roman"/>
          <w:sz w:val="24"/>
          <w:szCs w:val="24"/>
        </w:rPr>
      </w:pPr>
    </w:p>
    <w:p w14:paraId="56F0D251"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Les écosystèmes forestiers du Togo regorgent d’importantes espèces pourvoyeuses de produits à l’usage des populations. Selon FAO (2018), on dénombre une centaine d’espèces végétales spontanées ou plantées utilisées dans l’alimentation des communautés sur l’ensemble du territoire national. Par ailleurs, plus d’une centaine d’espèces sont couramment utilisées dans la médecine traditionnelle, plein d’autres sont utilisés de diverses manières dans l’artisanat.</w:t>
      </w:r>
    </w:p>
    <w:p w14:paraId="6FC162D6"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p>
    <w:p w14:paraId="68F99DC8" w14:textId="77777777" w:rsidR="00F52EF3" w:rsidRPr="00256E0E" w:rsidRDefault="00F52EF3" w:rsidP="00254C9C">
      <w:pPr>
        <w:autoSpaceDE w:val="0"/>
        <w:autoSpaceDN w:val="0"/>
        <w:adjustRightInd w:val="0"/>
        <w:spacing w:after="0" w:line="240" w:lineRule="auto"/>
        <w:jc w:val="both"/>
        <w:rPr>
          <w:rFonts w:ascii="Times New Roman" w:hAnsi="Times New Roman" w:cs="Times New Roman"/>
          <w:b/>
          <w:sz w:val="24"/>
          <w:szCs w:val="24"/>
        </w:rPr>
      </w:pPr>
      <w:r w:rsidRPr="00256E0E">
        <w:rPr>
          <w:rFonts w:ascii="Times New Roman" w:hAnsi="Times New Roman" w:cs="Times New Roman"/>
          <w:b/>
          <w:sz w:val="24"/>
          <w:szCs w:val="24"/>
        </w:rPr>
        <w:t>Plantes alimentaires</w:t>
      </w:r>
    </w:p>
    <w:p w14:paraId="4B26ED2E" w14:textId="77777777" w:rsidR="00B8641F" w:rsidRDefault="00B8641F" w:rsidP="00254C9C">
      <w:pPr>
        <w:autoSpaceDE w:val="0"/>
        <w:autoSpaceDN w:val="0"/>
        <w:adjustRightInd w:val="0"/>
        <w:spacing w:after="0" w:line="240" w:lineRule="auto"/>
        <w:jc w:val="both"/>
        <w:rPr>
          <w:rFonts w:ascii="Times New Roman" w:hAnsi="Times New Roman" w:cs="Times New Roman"/>
          <w:sz w:val="24"/>
          <w:szCs w:val="24"/>
        </w:rPr>
      </w:pPr>
    </w:p>
    <w:p w14:paraId="2F65CA4A" w14:textId="7357B26F"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Selon les parties des plantes utilisées, on distingue les espèces utilisées comme légumes</w:t>
      </w:r>
      <w:r w:rsidR="00720D07">
        <w:rPr>
          <w:rFonts w:ascii="Times New Roman" w:hAnsi="Times New Roman" w:cs="Times New Roman"/>
          <w:sz w:val="24"/>
          <w:szCs w:val="24"/>
        </w:rPr>
        <w:t xml:space="preserve"> </w:t>
      </w:r>
      <w:r w:rsidRPr="008063D4">
        <w:rPr>
          <w:rFonts w:ascii="Times New Roman" w:hAnsi="Times New Roman" w:cs="Times New Roman"/>
          <w:sz w:val="24"/>
          <w:szCs w:val="24"/>
        </w:rPr>
        <w:t xml:space="preserve">(feuilles et fleurs), les fruits, les graines (huile et oléagineux) ainsi que les sèves et vins. </w:t>
      </w:r>
    </w:p>
    <w:p w14:paraId="6F0E44C8" w14:textId="77777777" w:rsidR="00F52EF3" w:rsidRPr="008063D4" w:rsidRDefault="00F52EF3" w:rsidP="00E50666">
      <w:pPr>
        <w:numPr>
          <w:ilvl w:val="0"/>
          <w:numId w:val="10"/>
        </w:numPr>
        <w:spacing w:after="0" w:line="240" w:lineRule="auto"/>
        <w:jc w:val="both"/>
        <w:rPr>
          <w:rFonts w:ascii="Times New Roman" w:hAnsi="Times New Roman" w:cs="Times New Roman"/>
          <w:b/>
          <w:bCs/>
          <w:sz w:val="24"/>
          <w:szCs w:val="24"/>
        </w:rPr>
      </w:pPr>
      <w:r w:rsidRPr="008063D4">
        <w:rPr>
          <w:rFonts w:ascii="Times New Roman" w:hAnsi="Times New Roman" w:cs="Times New Roman"/>
          <w:b/>
          <w:bCs/>
          <w:sz w:val="24"/>
          <w:szCs w:val="24"/>
        </w:rPr>
        <w:t>Espèces utilisées comme légumes et assaisonnements</w:t>
      </w:r>
    </w:p>
    <w:p w14:paraId="1171ACF0" w14:textId="748F474F"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Autrefois localisée dans certaines régions du pays, l’utilisation de ces légumes issus des forêts est aujourd’hui répandue sur l’ensemble du territoire grâce, notamment au brassage culturel, mais aussi grâce à la découverte de nombreuses vertus de ces espèces. Le cas des feuilles de baobab est bien illustratif. Riches en fer, en magnésium et en d’autres éléments, leur consommation gagne toutes les régions du pays. Dans l’ensemble, on dénombre 16 espèces dont les feuilles, fruits et graines entrent activement dans l’alimentation des populations aussi bien des campagnes qu</w:t>
      </w:r>
      <w:r w:rsidR="001127E6">
        <w:rPr>
          <w:rFonts w:ascii="Times New Roman" w:hAnsi="Times New Roman" w:cs="Times New Roman"/>
          <w:sz w:val="24"/>
          <w:szCs w:val="24"/>
        </w:rPr>
        <w:t>e des centres urbains (Tableau 1</w:t>
      </w:r>
      <w:r w:rsidR="00720D07">
        <w:rPr>
          <w:rFonts w:ascii="Times New Roman" w:hAnsi="Times New Roman" w:cs="Times New Roman"/>
          <w:sz w:val="24"/>
          <w:szCs w:val="24"/>
        </w:rPr>
        <w:t>5</w:t>
      </w:r>
      <w:r w:rsidRPr="008063D4">
        <w:rPr>
          <w:rFonts w:ascii="Times New Roman" w:hAnsi="Times New Roman" w:cs="Times New Roman"/>
          <w:sz w:val="24"/>
          <w:szCs w:val="24"/>
        </w:rPr>
        <w:t xml:space="preserve">). </w:t>
      </w:r>
    </w:p>
    <w:p w14:paraId="51042577"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p>
    <w:p w14:paraId="271E1B80" w14:textId="1936266F" w:rsidR="00C23E0C" w:rsidRPr="001127E6" w:rsidRDefault="001127E6" w:rsidP="001127E6">
      <w:pPr>
        <w:pStyle w:val="Lgende"/>
        <w:rPr>
          <w:rFonts w:ascii="Times New Roman" w:hAnsi="Times New Roman"/>
          <w:b w:val="0"/>
          <w:sz w:val="24"/>
          <w:szCs w:val="24"/>
        </w:rPr>
      </w:pPr>
      <w:bookmarkStart w:id="111" w:name="_Toc533413486"/>
      <w:r w:rsidRPr="00720D07">
        <w:rPr>
          <w:rFonts w:ascii="Times New Roman" w:hAnsi="Times New Roman"/>
          <w:sz w:val="24"/>
          <w:szCs w:val="24"/>
          <w:u w:val="single"/>
        </w:rPr>
        <w:t xml:space="preserve">Tableau </w:t>
      </w:r>
      <w:r w:rsidR="00620BEA" w:rsidRPr="00720D07">
        <w:rPr>
          <w:rFonts w:ascii="Times New Roman" w:hAnsi="Times New Roman"/>
          <w:sz w:val="24"/>
          <w:szCs w:val="24"/>
          <w:u w:val="single"/>
        </w:rPr>
        <w:fldChar w:fldCharType="begin"/>
      </w:r>
      <w:r w:rsidRPr="00720D07">
        <w:rPr>
          <w:rFonts w:ascii="Times New Roman" w:hAnsi="Times New Roman"/>
          <w:sz w:val="24"/>
          <w:szCs w:val="24"/>
          <w:u w:val="single"/>
        </w:rPr>
        <w:instrText xml:space="preserve"> SEQ Tableau \* ARABIC </w:instrText>
      </w:r>
      <w:r w:rsidR="00620BEA" w:rsidRPr="00720D07">
        <w:rPr>
          <w:rFonts w:ascii="Times New Roman" w:hAnsi="Times New Roman"/>
          <w:sz w:val="24"/>
          <w:szCs w:val="24"/>
          <w:u w:val="single"/>
        </w:rPr>
        <w:fldChar w:fldCharType="separate"/>
      </w:r>
      <w:r w:rsidR="00C47BFF">
        <w:rPr>
          <w:rFonts w:ascii="Times New Roman" w:hAnsi="Times New Roman"/>
          <w:noProof/>
          <w:sz w:val="24"/>
          <w:szCs w:val="24"/>
          <w:u w:val="single"/>
        </w:rPr>
        <w:t>15</w:t>
      </w:r>
      <w:r w:rsidR="00620BEA" w:rsidRPr="00720D07">
        <w:rPr>
          <w:rFonts w:ascii="Times New Roman" w:hAnsi="Times New Roman"/>
          <w:sz w:val="24"/>
          <w:szCs w:val="24"/>
          <w:u w:val="single"/>
        </w:rPr>
        <w:fldChar w:fldCharType="end"/>
      </w:r>
      <w:r w:rsidRPr="001127E6">
        <w:rPr>
          <w:rFonts w:ascii="Times New Roman" w:hAnsi="Times New Roman"/>
          <w:sz w:val="24"/>
          <w:szCs w:val="24"/>
        </w:rPr>
        <w:t>: Espèces alimentaires utilisées comme légumes</w:t>
      </w:r>
      <w:bookmarkEnd w:id="111"/>
    </w:p>
    <w:tbl>
      <w:tblPr>
        <w:tblW w:w="0" w:type="auto"/>
        <w:tblInd w:w="303" w:type="dxa"/>
        <w:tblLayout w:type="fixed"/>
        <w:tblCellMar>
          <w:left w:w="0" w:type="dxa"/>
          <w:right w:w="0" w:type="dxa"/>
        </w:tblCellMar>
        <w:tblLook w:val="0000" w:firstRow="0" w:lastRow="0" w:firstColumn="0" w:lastColumn="0" w:noHBand="0" w:noVBand="0"/>
      </w:tblPr>
      <w:tblGrid>
        <w:gridCol w:w="720"/>
        <w:gridCol w:w="2238"/>
        <w:gridCol w:w="2981"/>
        <w:gridCol w:w="1761"/>
        <w:gridCol w:w="791"/>
      </w:tblGrid>
      <w:tr w:rsidR="00AC5BA0" w:rsidRPr="00AC13F9" w14:paraId="51AAEC60" w14:textId="77777777" w:rsidTr="00AC5BA0">
        <w:trPr>
          <w:trHeight w:val="326"/>
        </w:trPr>
        <w:tc>
          <w:tcPr>
            <w:tcW w:w="720" w:type="dxa"/>
            <w:tcBorders>
              <w:top w:val="single" w:sz="4" w:space="0" w:color="auto"/>
              <w:bottom w:val="single" w:sz="4" w:space="0" w:color="auto"/>
            </w:tcBorders>
            <w:shd w:val="clear" w:color="auto" w:fill="auto"/>
            <w:vAlign w:val="bottom"/>
          </w:tcPr>
          <w:p w14:paraId="4911CC19" w14:textId="77777777" w:rsidR="00AC5BA0" w:rsidRPr="00AC13F9" w:rsidRDefault="00AC5BA0" w:rsidP="00AC13F9">
            <w:pPr>
              <w:spacing w:after="0" w:line="240" w:lineRule="auto"/>
              <w:rPr>
                <w:rFonts w:ascii="Times New Roman" w:eastAsia="Arial" w:hAnsi="Times New Roman" w:cs="Times New Roman"/>
                <w:b/>
                <w:sz w:val="24"/>
                <w:szCs w:val="24"/>
              </w:rPr>
            </w:pPr>
            <w:r w:rsidRPr="00AC13F9">
              <w:rPr>
                <w:rFonts w:ascii="Times New Roman" w:eastAsia="Arial" w:hAnsi="Times New Roman" w:cs="Times New Roman"/>
                <w:b/>
                <w:sz w:val="24"/>
                <w:szCs w:val="24"/>
              </w:rPr>
              <w:t>N°</w:t>
            </w:r>
          </w:p>
        </w:tc>
        <w:tc>
          <w:tcPr>
            <w:tcW w:w="2238" w:type="dxa"/>
            <w:tcBorders>
              <w:top w:val="single" w:sz="4" w:space="0" w:color="auto"/>
              <w:bottom w:val="single" w:sz="4" w:space="0" w:color="auto"/>
            </w:tcBorders>
            <w:shd w:val="clear" w:color="auto" w:fill="auto"/>
            <w:vAlign w:val="bottom"/>
          </w:tcPr>
          <w:p w14:paraId="4ACFC9AD" w14:textId="77777777" w:rsidR="00AC5BA0" w:rsidRPr="00AC13F9" w:rsidRDefault="00AC5BA0" w:rsidP="00AC13F9">
            <w:pPr>
              <w:spacing w:after="0" w:line="240" w:lineRule="auto"/>
              <w:rPr>
                <w:rFonts w:ascii="Times New Roman" w:eastAsia="Arial" w:hAnsi="Times New Roman" w:cs="Times New Roman"/>
                <w:b/>
                <w:sz w:val="24"/>
                <w:szCs w:val="24"/>
              </w:rPr>
            </w:pPr>
            <w:r w:rsidRPr="00AC13F9">
              <w:rPr>
                <w:rFonts w:ascii="Times New Roman" w:eastAsia="Arial" w:hAnsi="Times New Roman" w:cs="Times New Roman"/>
                <w:b/>
                <w:sz w:val="24"/>
                <w:szCs w:val="24"/>
              </w:rPr>
              <w:t>Espèces</w:t>
            </w:r>
          </w:p>
        </w:tc>
        <w:tc>
          <w:tcPr>
            <w:tcW w:w="2981" w:type="dxa"/>
            <w:tcBorders>
              <w:top w:val="single" w:sz="4" w:space="0" w:color="auto"/>
              <w:bottom w:val="single" w:sz="4" w:space="0" w:color="auto"/>
            </w:tcBorders>
            <w:shd w:val="clear" w:color="auto" w:fill="auto"/>
            <w:vAlign w:val="bottom"/>
          </w:tcPr>
          <w:p w14:paraId="2078CF96" w14:textId="77777777" w:rsidR="00AC5BA0" w:rsidRPr="00AC13F9" w:rsidRDefault="00AC5BA0" w:rsidP="00AC13F9">
            <w:pPr>
              <w:spacing w:after="0" w:line="240" w:lineRule="auto"/>
              <w:rPr>
                <w:rFonts w:ascii="Times New Roman" w:eastAsia="Arial" w:hAnsi="Times New Roman" w:cs="Times New Roman"/>
                <w:b/>
                <w:sz w:val="24"/>
                <w:szCs w:val="24"/>
              </w:rPr>
            </w:pPr>
            <w:r w:rsidRPr="00AC13F9">
              <w:rPr>
                <w:rFonts w:ascii="Times New Roman" w:eastAsia="Arial" w:hAnsi="Times New Roman" w:cs="Times New Roman"/>
                <w:b/>
                <w:sz w:val="24"/>
                <w:szCs w:val="24"/>
              </w:rPr>
              <w:t>Noms communs</w:t>
            </w:r>
          </w:p>
        </w:tc>
        <w:tc>
          <w:tcPr>
            <w:tcW w:w="2552" w:type="dxa"/>
            <w:gridSpan w:val="2"/>
            <w:tcBorders>
              <w:top w:val="single" w:sz="4" w:space="0" w:color="auto"/>
              <w:bottom w:val="single" w:sz="4" w:space="0" w:color="auto"/>
            </w:tcBorders>
            <w:shd w:val="clear" w:color="auto" w:fill="auto"/>
            <w:vAlign w:val="bottom"/>
          </w:tcPr>
          <w:p w14:paraId="55C069E2" w14:textId="77777777" w:rsidR="00AC5BA0" w:rsidRPr="00AC13F9" w:rsidRDefault="00AC5BA0" w:rsidP="00AC13F9">
            <w:pPr>
              <w:spacing w:after="0" w:line="240" w:lineRule="auto"/>
              <w:rPr>
                <w:rFonts w:ascii="Times New Roman" w:eastAsia="Arial" w:hAnsi="Times New Roman" w:cs="Times New Roman"/>
                <w:b/>
                <w:sz w:val="24"/>
                <w:szCs w:val="24"/>
              </w:rPr>
            </w:pPr>
            <w:r w:rsidRPr="00AC13F9">
              <w:rPr>
                <w:rFonts w:ascii="Times New Roman" w:eastAsia="Arial" w:hAnsi="Times New Roman" w:cs="Times New Roman"/>
                <w:b/>
                <w:sz w:val="24"/>
                <w:szCs w:val="24"/>
              </w:rPr>
              <w:t>Parties utilisées</w:t>
            </w:r>
          </w:p>
        </w:tc>
      </w:tr>
      <w:tr w:rsidR="00AC5BA0" w:rsidRPr="00AC13F9" w14:paraId="11E352EC" w14:textId="77777777" w:rsidTr="00AC5BA0">
        <w:trPr>
          <w:trHeight w:val="220"/>
        </w:trPr>
        <w:tc>
          <w:tcPr>
            <w:tcW w:w="720" w:type="dxa"/>
            <w:tcBorders>
              <w:top w:val="single" w:sz="4" w:space="0" w:color="auto"/>
            </w:tcBorders>
            <w:shd w:val="clear" w:color="auto" w:fill="auto"/>
            <w:vAlign w:val="bottom"/>
          </w:tcPr>
          <w:p w14:paraId="253B0095"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1</w:t>
            </w:r>
          </w:p>
        </w:tc>
        <w:tc>
          <w:tcPr>
            <w:tcW w:w="2238" w:type="dxa"/>
            <w:tcBorders>
              <w:top w:val="single" w:sz="4" w:space="0" w:color="auto"/>
            </w:tcBorders>
            <w:shd w:val="clear" w:color="auto" w:fill="auto"/>
            <w:vAlign w:val="bottom"/>
          </w:tcPr>
          <w:p w14:paraId="63922892"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Adansonia digitata</w:t>
            </w:r>
          </w:p>
        </w:tc>
        <w:tc>
          <w:tcPr>
            <w:tcW w:w="2981" w:type="dxa"/>
            <w:tcBorders>
              <w:top w:val="single" w:sz="4" w:space="0" w:color="auto"/>
            </w:tcBorders>
            <w:shd w:val="clear" w:color="auto" w:fill="auto"/>
            <w:vAlign w:val="bottom"/>
          </w:tcPr>
          <w:p w14:paraId="792B5E13"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Baobab</w:t>
            </w:r>
          </w:p>
        </w:tc>
        <w:tc>
          <w:tcPr>
            <w:tcW w:w="2552" w:type="dxa"/>
            <w:gridSpan w:val="2"/>
            <w:tcBorders>
              <w:top w:val="single" w:sz="4" w:space="0" w:color="auto"/>
            </w:tcBorders>
            <w:shd w:val="clear" w:color="auto" w:fill="auto"/>
            <w:vAlign w:val="bottom"/>
          </w:tcPr>
          <w:p w14:paraId="0FC4F478"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Feuilles, graines</w:t>
            </w:r>
          </w:p>
        </w:tc>
      </w:tr>
      <w:tr w:rsidR="00AC5BA0" w:rsidRPr="00AC13F9" w14:paraId="55408EDB" w14:textId="77777777" w:rsidTr="00AC5BA0">
        <w:trPr>
          <w:trHeight w:val="239"/>
        </w:trPr>
        <w:tc>
          <w:tcPr>
            <w:tcW w:w="720" w:type="dxa"/>
            <w:shd w:val="clear" w:color="auto" w:fill="auto"/>
            <w:vAlign w:val="bottom"/>
          </w:tcPr>
          <w:p w14:paraId="58F0EB78"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2</w:t>
            </w:r>
          </w:p>
        </w:tc>
        <w:tc>
          <w:tcPr>
            <w:tcW w:w="2238" w:type="dxa"/>
            <w:shd w:val="clear" w:color="auto" w:fill="auto"/>
            <w:vAlign w:val="bottom"/>
          </w:tcPr>
          <w:p w14:paraId="2D863C3A"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Bombax costatum</w:t>
            </w:r>
          </w:p>
        </w:tc>
        <w:tc>
          <w:tcPr>
            <w:tcW w:w="2981" w:type="dxa"/>
            <w:shd w:val="clear" w:color="auto" w:fill="auto"/>
            <w:vAlign w:val="bottom"/>
          </w:tcPr>
          <w:p w14:paraId="11C14A8D"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Kapokier</w:t>
            </w:r>
          </w:p>
        </w:tc>
        <w:tc>
          <w:tcPr>
            <w:tcW w:w="2552" w:type="dxa"/>
            <w:gridSpan w:val="2"/>
            <w:shd w:val="clear" w:color="auto" w:fill="auto"/>
            <w:vAlign w:val="bottom"/>
          </w:tcPr>
          <w:p w14:paraId="3F55AFA8"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Feuilles, graines</w:t>
            </w:r>
          </w:p>
        </w:tc>
      </w:tr>
      <w:tr w:rsidR="00AC5BA0" w:rsidRPr="00AC13F9" w14:paraId="5D03C135" w14:textId="77777777" w:rsidTr="00AC5BA0">
        <w:trPr>
          <w:trHeight w:val="229"/>
        </w:trPr>
        <w:tc>
          <w:tcPr>
            <w:tcW w:w="720" w:type="dxa"/>
            <w:shd w:val="clear" w:color="auto" w:fill="auto"/>
            <w:vAlign w:val="bottom"/>
          </w:tcPr>
          <w:p w14:paraId="28B544B2"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3</w:t>
            </w:r>
          </w:p>
        </w:tc>
        <w:tc>
          <w:tcPr>
            <w:tcW w:w="2238" w:type="dxa"/>
            <w:shd w:val="clear" w:color="auto" w:fill="auto"/>
            <w:vAlign w:val="bottom"/>
          </w:tcPr>
          <w:p w14:paraId="4D193209"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Ceiba pentandra</w:t>
            </w:r>
          </w:p>
        </w:tc>
        <w:tc>
          <w:tcPr>
            <w:tcW w:w="2981" w:type="dxa"/>
            <w:shd w:val="clear" w:color="auto" w:fill="auto"/>
            <w:vAlign w:val="bottom"/>
          </w:tcPr>
          <w:p w14:paraId="5AA16726"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Fromager</w:t>
            </w:r>
          </w:p>
        </w:tc>
        <w:tc>
          <w:tcPr>
            <w:tcW w:w="2552" w:type="dxa"/>
            <w:gridSpan w:val="2"/>
            <w:shd w:val="clear" w:color="auto" w:fill="auto"/>
            <w:vAlign w:val="bottom"/>
          </w:tcPr>
          <w:p w14:paraId="7CFEFB83"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Calice de la fleur</w:t>
            </w:r>
          </w:p>
        </w:tc>
      </w:tr>
      <w:tr w:rsidR="00AC5BA0" w:rsidRPr="00AC13F9" w14:paraId="4C4AA3B3" w14:textId="77777777" w:rsidTr="00AC5BA0">
        <w:trPr>
          <w:trHeight w:val="240"/>
        </w:trPr>
        <w:tc>
          <w:tcPr>
            <w:tcW w:w="720" w:type="dxa"/>
            <w:shd w:val="clear" w:color="auto" w:fill="auto"/>
            <w:vAlign w:val="bottom"/>
          </w:tcPr>
          <w:p w14:paraId="7417E864"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4</w:t>
            </w:r>
          </w:p>
        </w:tc>
        <w:tc>
          <w:tcPr>
            <w:tcW w:w="2238" w:type="dxa"/>
            <w:shd w:val="clear" w:color="auto" w:fill="auto"/>
            <w:vAlign w:val="bottom"/>
          </w:tcPr>
          <w:p w14:paraId="543B31DF"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Vitex doniana</w:t>
            </w:r>
          </w:p>
        </w:tc>
        <w:tc>
          <w:tcPr>
            <w:tcW w:w="2981" w:type="dxa"/>
            <w:shd w:val="clear" w:color="auto" w:fill="auto"/>
            <w:vAlign w:val="bottom"/>
          </w:tcPr>
          <w:p w14:paraId="7DF5276D"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Prunier sauvage</w:t>
            </w:r>
          </w:p>
        </w:tc>
        <w:tc>
          <w:tcPr>
            <w:tcW w:w="2552" w:type="dxa"/>
            <w:gridSpan w:val="2"/>
            <w:shd w:val="clear" w:color="auto" w:fill="auto"/>
            <w:vAlign w:val="bottom"/>
          </w:tcPr>
          <w:p w14:paraId="40F6849F"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Feuilles</w:t>
            </w:r>
          </w:p>
        </w:tc>
      </w:tr>
      <w:tr w:rsidR="00AC5BA0" w:rsidRPr="00AC13F9" w14:paraId="65B0F49C" w14:textId="77777777" w:rsidTr="00AC5BA0">
        <w:trPr>
          <w:trHeight w:val="239"/>
        </w:trPr>
        <w:tc>
          <w:tcPr>
            <w:tcW w:w="720" w:type="dxa"/>
            <w:shd w:val="clear" w:color="auto" w:fill="auto"/>
            <w:vAlign w:val="bottom"/>
          </w:tcPr>
          <w:p w14:paraId="6676DEFE"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5</w:t>
            </w:r>
          </w:p>
        </w:tc>
        <w:tc>
          <w:tcPr>
            <w:tcW w:w="2238" w:type="dxa"/>
            <w:shd w:val="clear" w:color="auto" w:fill="auto"/>
            <w:vAlign w:val="bottom"/>
          </w:tcPr>
          <w:p w14:paraId="7955B5B9"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Cissus populnea</w:t>
            </w:r>
          </w:p>
        </w:tc>
        <w:tc>
          <w:tcPr>
            <w:tcW w:w="2981" w:type="dxa"/>
            <w:shd w:val="clear" w:color="auto" w:fill="auto"/>
            <w:vAlign w:val="bottom"/>
          </w:tcPr>
          <w:p w14:paraId="68297949" w14:textId="77777777" w:rsidR="00AC5BA0" w:rsidRPr="00AC13F9" w:rsidRDefault="00AC5BA0" w:rsidP="00AC13F9">
            <w:pPr>
              <w:spacing w:after="0" w:line="240" w:lineRule="auto"/>
              <w:rPr>
                <w:rFonts w:ascii="Times New Roman" w:eastAsia="Times New Roman" w:hAnsi="Times New Roman" w:cs="Times New Roman"/>
                <w:sz w:val="24"/>
                <w:szCs w:val="24"/>
              </w:rPr>
            </w:pPr>
          </w:p>
        </w:tc>
        <w:tc>
          <w:tcPr>
            <w:tcW w:w="1761" w:type="dxa"/>
            <w:shd w:val="clear" w:color="auto" w:fill="auto"/>
            <w:vAlign w:val="bottom"/>
          </w:tcPr>
          <w:p w14:paraId="1A1EC1C2"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Feuilles, graines</w:t>
            </w:r>
          </w:p>
        </w:tc>
        <w:tc>
          <w:tcPr>
            <w:tcW w:w="791" w:type="dxa"/>
            <w:shd w:val="clear" w:color="auto" w:fill="auto"/>
            <w:vAlign w:val="bottom"/>
          </w:tcPr>
          <w:p w14:paraId="28FBF9F5" w14:textId="77777777" w:rsidR="00AC5BA0" w:rsidRPr="00AC13F9" w:rsidRDefault="00AC5BA0" w:rsidP="00AC13F9">
            <w:pPr>
              <w:spacing w:after="0" w:line="240" w:lineRule="auto"/>
              <w:rPr>
                <w:rFonts w:ascii="Times New Roman" w:eastAsia="Times New Roman" w:hAnsi="Times New Roman" w:cs="Times New Roman"/>
                <w:sz w:val="24"/>
                <w:szCs w:val="24"/>
              </w:rPr>
            </w:pPr>
          </w:p>
        </w:tc>
      </w:tr>
      <w:tr w:rsidR="00AC5BA0" w:rsidRPr="00AC13F9" w14:paraId="4778E17E" w14:textId="77777777" w:rsidTr="00AC5BA0">
        <w:trPr>
          <w:trHeight w:val="309"/>
        </w:trPr>
        <w:tc>
          <w:tcPr>
            <w:tcW w:w="720" w:type="dxa"/>
            <w:shd w:val="clear" w:color="auto" w:fill="auto"/>
            <w:vAlign w:val="bottom"/>
          </w:tcPr>
          <w:p w14:paraId="50A4DEE3"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6</w:t>
            </w:r>
          </w:p>
        </w:tc>
        <w:tc>
          <w:tcPr>
            <w:tcW w:w="2238" w:type="dxa"/>
            <w:shd w:val="clear" w:color="auto" w:fill="auto"/>
            <w:vAlign w:val="bottom"/>
          </w:tcPr>
          <w:p w14:paraId="6007789D"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Annona senegalensis</w:t>
            </w:r>
          </w:p>
        </w:tc>
        <w:tc>
          <w:tcPr>
            <w:tcW w:w="2981" w:type="dxa"/>
            <w:tcBorders>
              <w:bottom w:val="nil"/>
            </w:tcBorders>
            <w:shd w:val="clear" w:color="auto" w:fill="auto"/>
            <w:vAlign w:val="bottom"/>
          </w:tcPr>
          <w:p w14:paraId="19AB0A2F" w14:textId="77777777" w:rsidR="00AC5BA0" w:rsidRPr="00AC13F9" w:rsidRDefault="00AC5BA0" w:rsidP="00AC13F9">
            <w:pPr>
              <w:spacing w:after="0" w:line="240" w:lineRule="auto"/>
              <w:rPr>
                <w:rFonts w:ascii="Times New Roman" w:eastAsia="Arial" w:hAnsi="Times New Roman" w:cs="Times New Roman"/>
                <w:sz w:val="24"/>
                <w:szCs w:val="24"/>
              </w:rPr>
            </w:pPr>
            <w:r>
              <w:rPr>
                <w:rFonts w:ascii="Times New Roman" w:eastAsia="Arial" w:hAnsi="Times New Roman" w:cs="Times New Roman"/>
                <w:sz w:val="24"/>
                <w:szCs w:val="24"/>
              </w:rPr>
              <w:t xml:space="preserve">Pomme </w:t>
            </w:r>
            <w:r w:rsidRPr="00AC13F9">
              <w:rPr>
                <w:rFonts w:ascii="Times New Roman" w:eastAsia="Arial" w:hAnsi="Times New Roman" w:cs="Times New Roman"/>
                <w:sz w:val="24"/>
                <w:szCs w:val="24"/>
              </w:rPr>
              <w:t>cannelle</w:t>
            </w:r>
            <w:r>
              <w:rPr>
                <w:rFonts w:ascii="Times New Roman" w:eastAsia="Arial" w:hAnsi="Times New Roman" w:cs="Times New Roman"/>
                <w:sz w:val="24"/>
                <w:szCs w:val="24"/>
              </w:rPr>
              <w:t xml:space="preserve"> du </w:t>
            </w:r>
            <w:r w:rsidRPr="00AC13F9">
              <w:rPr>
                <w:rFonts w:ascii="Times New Roman" w:eastAsia="Arial" w:hAnsi="Times New Roman" w:cs="Times New Roman"/>
                <w:sz w:val="24"/>
                <w:szCs w:val="24"/>
              </w:rPr>
              <w:t>Sénégal</w:t>
            </w:r>
          </w:p>
        </w:tc>
        <w:tc>
          <w:tcPr>
            <w:tcW w:w="2552" w:type="dxa"/>
            <w:gridSpan w:val="2"/>
            <w:tcBorders>
              <w:bottom w:val="nil"/>
            </w:tcBorders>
            <w:shd w:val="clear" w:color="auto" w:fill="auto"/>
            <w:vAlign w:val="bottom"/>
          </w:tcPr>
          <w:p w14:paraId="51B27D2C"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Feuilles</w:t>
            </w:r>
          </w:p>
        </w:tc>
      </w:tr>
      <w:tr w:rsidR="00AC5BA0" w:rsidRPr="00AC13F9" w14:paraId="42E8C105" w14:textId="77777777" w:rsidTr="00AC5BA0">
        <w:trPr>
          <w:trHeight w:val="239"/>
        </w:trPr>
        <w:tc>
          <w:tcPr>
            <w:tcW w:w="720" w:type="dxa"/>
            <w:shd w:val="clear" w:color="auto" w:fill="auto"/>
            <w:vAlign w:val="bottom"/>
          </w:tcPr>
          <w:p w14:paraId="036F76D1"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7</w:t>
            </w:r>
          </w:p>
        </w:tc>
        <w:tc>
          <w:tcPr>
            <w:tcW w:w="2238" w:type="dxa"/>
            <w:shd w:val="clear" w:color="auto" w:fill="auto"/>
            <w:vAlign w:val="bottom"/>
          </w:tcPr>
          <w:p w14:paraId="662DF3CF"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Grewia cissoides</w:t>
            </w:r>
          </w:p>
        </w:tc>
        <w:tc>
          <w:tcPr>
            <w:tcW w:w="2981" w:type="dxa"/>
            <w:shd w:val="clear" w:color="auto" w:fill="auto"/>
            <w:vAlign w:val="bottom"/>
          </w:tcPr>
          <w:p w14:paraId="0BEF3BC5" w14:textId="77777777" w:rsidR="00AC5BA0" w:rsidRPr="00AC13F9" w:rsidRDefault="00AC5BA0" w:rsidP="00AC13F9">
            <w:pPr>
              <w:spacing w:after="0" w:line="240" w:lineRule="auto"/>
              <w:rPr>
                <w:rFonts w:ascii="Times New Roman" w:eastAsia="Times New Roman" w:hAnsi="Times New Roman" w:cs="Times New Roman"/>
                <w:sz w:val="24"/>
                <w:szCs w:val="24"/>
              </w:rPr>
            </w:pPr>
          </w:p>
        </w:tc>
        <w:tc>
          <w:tcPr>
            <w:tcW w:w="2552" w:type="dxa"/>
            <w:gridSpan w:val="2"/>
            <w:shd w:val="clear" w:color="auto" w:fill="auto"/>
            <w:vAlign w:val="bottom"/>
          </w:tcPr>
          <w:p w14:paraId="73D4B9CC"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Feuilles</w:t>
            </w:r>
          </w:p>
        </w:tc>
      </w:tr>
      <w:tr w:rsidR="00AC5BA0" w:rsidRPr="00AC13F9" w14:paraId="2B3AF114" w14:textId="77777777" w:rsidTr="00AC5BA0">
        <w:trPr>
          <w:trHeight w:val="230"/>
        </w:trPr>
        <w:tc>
          <w:tcPr>
            <w:tcW w:w="720" w:type="dxa"/>
            <w:shd w:val="clear" w:color="auto" w:fill="auto"/>
            <w:vAlign w:val="bottom"/>
          </w:tcPr>
          <w:p w14:paraId="7641A4AB"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8</w:t>
            </w:r>
          </w:p>
        </w:tc>
        <w:tc>
          <w:tcPr>
            <w:tcW w:w="2238" w:type="dxa"/>
            <w:shd w:val="clear" w:color="auto" w:fill="auto"/>
            <w:vAlign w:val="bottom"/>
          </w:tcPr>
          <w:p w14:paraId="4F573BBE"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Vernonia amygdalina</w:t>
            </w:r>
          </w:p>
        </w:tc>
        <w:tc>
          <w:tcPr>
            <w:tcW w:w="2981" w:type="dxa"/>
            <w:shd w:val="clear" w:color="auto" w:fill="auto"/>
            <w:vAlign w:val="bottom"/>
          </w:tcPr>
          <w:p w14:paraId="609BB92B" w14:textId="77777777" w:rsidR="00AC5BA0" w:rsidRPr="00AC13F9" w:rsidRDefault="00AC5BA0" w:rsidP="00AC13F9">
            <w:pPr>
              <w:spacing w:after="0" w:line="240" w:lineRule="auto"/>
              <w:rPr>
                <w:rFonts w:ascii="Times New Roman" w:eastAsia="Times New Roman" w:hAnsi="Times New Roman" w:cs="Times New Roman"/>
                <w:sz w:val="24"/>
                <w:szCs w:val="24"/>
              </w:rPr>
            </w:pPr>
          </w:p>
        </w:tc>
        <w:tc>
          <w:tcPr>
            <w:tcW w:w="2552" w:type="dxa"/>
            <w:gridSpan w:val="2"/>
            <w:shd w:val="clear" w:color="auto" w:fill="auto"/>
            <w:vAlign w:val="bottom"/>
          </w:tcPr>
          <w:p w14:paraId="511B9BF5"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Feuilles</w:t>
            </w:r>
          </w:p>
        </w:tc>
      </w:tr>
      <w:tr w:rsidR="00AC5BA0" w:rsidRPr="00AC13F9" w14:paraId="3A4F07DD" w14:textId="77777777" w:rsidTr="00AC5BA0">
        <w:trPr>
          <w:trHeight w:val="301"/>
        </w:trPr>
        <w:tc>
          <w:tcPr>
            <w:tcW w:w="720" w:type="dxa"/>
            <w:shd w:val="clear" w:color="auto" w:fill="auto"/>
            <w:vAlign w:val="bottom"/>
          </w:tcPr>
          <w:p w14:paraId="0F3F5566"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9</w:t>
            </w:r>
          </w:p>
        </w:tc>
        <w:tc>
          <w:tcPr>
            <w:tcW w:w="2238" w:type="dxa"/>
            <w:shd w:val="clear" w:color="auto" w:fill="auto"/>
            <w:vAlign w:val="bottom"/>
          </w:tcPr>
          <w:p w14:paraId="0BBBE853"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Zanthoxylum</w:t>
            </w:r>
          </w:p>
          <w:p w14:paraId="42CC6975"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Zanthozyloides</w:t>
            </w:r>
          </w:p>
        </w:tc>
        <w:tc>
          <w:tcPr>
            <w:tcW w:w="2981" w:type="dxa"/>
            <w:shd w:val="clear" w:color="auto" w:fill="auto"/>
            <w:vAlign w:val="bottom"/>
          </w:tcPr>
          <w:p w14:paraId="36F674E9"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Fagara</w:t>
            </w:r>
          </w:p>
        </w:tc>
        <w:tc>
          <w:tcPr>
            <w:tcW w:w="2552" w:type="dxa"/>
            <w:gridSpan w:val="2"/>
            <w:shd w:val="clear" w:color="auto" w:fill="auto"/>
            <w:vAlign w:val="bottom"/>
          </w:tcPr>
          <w:p w14:paraId="27EFEC75"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Ecorce-racine</w:t>
            </w:r>
          </w:p>
        </w:tc>
      </w:tr>
      <w:tr w:rsidR="00AC5BA0" w:rsidRPr="00AC13F9" w14:paraId="12DD448B" w14:textId="77777777" w:rsidTr="00AC5BA0">
        <w:trPr>
          <w:trHeight w:val="230"/>
        </w:trPr>
        <w:tc>
          <w:tcPr>
            <w:tcW w:w="720" w:type="dxa"/>
            <w:shd w:val="clear" w:color="auto" w:fill="auto"/>
            <w:vAlign w:val="bottom"/>
          </w:tcPr>
          <w:p w14:paraId="04ED8E71"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10</w:t>
            </w:r>
          </w:p>
        </w:tc>
        <w:tc>
          <w:tcPr>
            <w:tcW w:w="2238" w:type="dxa"/>
            <w:shd w:val="clear" w:color="auto" w:fill="auto"/>
            <w:vAlign w:val="bottom"/>
          </w:tcPr>
          <w:p w14:paraId="287E40C5"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Xylopia aethiopica</w:t>
            </w:r>
          </w:p>
        </w:tc>
        <w:tc>
          <w:tcPr>
            <w:tcW w:w="2981" w:type="dxa"/>
            <w:shd w:val="clear" w:color="auto" w:fill="auto"/>
            <w:vAlign w:val="bottom"/>
          </w:tcPr>
          <w:p w14:paraId="0E87967E"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Piment de guinée</w:t>
            </w:r>
          </w:p>
        </w:tc>
        <w:tc>
          <w:tcPr>
            <w:tcW w:w="2552" w:type="dxa"/>
            <w:gridSpan w:val="2"/>
            <w:shd w:val="clear" w:color="auto" w:fill="auto"/>
            <w:vAlign w:val="bottom"/>
          </w:tcPr>
          <w:p w14:paraId="02A519D9"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Fruits, graines</w:t>
            </w:r>
          </w:p>
        </w:tc>
      </w:tr>
      <w:tr w:rsidR="00AC5BA0" w:rsidRPr="00AC13F9" w14:paraId="517C2556" w14:textId="77777777" w:rsidTr="00AC5BA0">
        <w:trPr>
          <w:trHeight w:val="239"/>
        </w:trPr>
        <w:tc>
          <w:tcPr>
            <w:tcW w:w="720" w:type="dxa"/>
            <w:shd w:val="clear" w:color="auto" w:fill="auto"/>
            <w:vAlign w:val="bottom"/>
          </w:tcPr>
          <w:p w14:paraId="4D9B5081"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11</w:t>
            </w:r>
          </w:p>
        </w:tc>
        <w:tc>
          <w:tcPr>
            <w:tcW w:w="2238" w:type="dxa"/>
            <w:shd w:val="clear" w:color="auto" w:fill="auto"/>
            <w:vAlign w:val="bottom"/>
          </w:tcPr>
          <w:p w14:paraId="5A6C44B2"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Monodora myristica</w:t>
            </w:r>
          </w:p>
        </w:tc>
        <w:tc>
          <w:tcPr>
            <w:tcW w:w="2981" w:type="dxa"/>
            <w:shd w:val="clear" w:color="auto" w:fill="auto"/>
            <w:vAlign w:val="bottom"/>
          </w:tcPr>
          <w:p w14:paraId="069446B8"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Faux muscadier</w:t>
            </w:r>
          </w:p>
        </w:tc>
        <w:tc>
          <w:tcPr>
            <w:tcW w:w="2552" w:type="dxa"/>
            <w:gridSpan w:val="2"/>
            <w:shd w:val="clear" w:color="auto" w:fill="auto"/>
            <w:vAlign w:val="bottom"/>
          </w:tcPr>
          <w:p w14:paraId="0169C376"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Graines</w:t>
            </w:r>
          </w:p>
        </w:tc>
      </w:tr>
      <w:tr w:rsidR="00AC5BA0" w:rsidRPr="00AC13F9" w14:paraId="4F3DD28D" w14:textId="77777777" w:rsidTr="00AC5BA0">
        <w:trPr>
          <w:trHeight w:val="271"/>
        </w:trPr>
        <w:tc>
          <w:tcPr>
            <w:tcW w:w="720" w:type="dxa"/>
            <w:tcBorders>
              <w:bottom w:val="single" w:sz="4" w:space="0" w:color="auto"/>
            </w:tcBorders>
            <w:shd w:val="clear" w:color="auto" w:fill="auto"/>
            <w:vAlign w:val="bottom"/>
          </w:tcPr>
          <w:p w14:paraId="22B1392D" w14:textId="77777777" w:rsidR="00AC5BA0" w:rsidRPr="00AC13F9" w:rsidRDefault="00AC5BA0" w:rsidP="00AC13F9">
            <w:pPr>
              <w:spacing w:after="0" w:line="240" w:lineRule="auto"/>
              <w:rPr>
                <w:rFonts w:ascii="Times New Roman" w:eastAsia="Times New Roman" w:hAnsi="Times New Roman" w:cs="Times New Roman"/>
                <w:sz w:val="24"/>
                <w:szCs w:val="24"/>
              </w:rPr>
            </w:pPr>
            <w:r w:rsidRPr="00AC13F9">
              <w:rPr>
                <w:rFonts w:ascii="Times New Roman" w:eastAsia="Arial" w:hAnsi="Times New Roman" w:cs="Times New Roman"/>
                <w:sz w:val="24"/>
                <w:szCs w:val="24"/>
              </w:rPr>
              <w:t>12</w:t>
            </w:r>
          </w:p>
        </w:tc>
        <w:tc>
          <w:tcPr>
            <w:tcW w:w="2238" w:type="dxa"/>
            <w:tcBorders>
              <w:bottom w:val="single" w:sz="4" w:space="0" w:color="auto"/>
            </w:tcBorders>
            <w:shd w:val="clear" w:color="auto" w:fill="auto"/>
            <w:vAlign w:val="bottom"/>
          </w:tcPr>
          <w:p w14:paraId="03EB25A1" w14:textId="77777777" w:rsidR="00AC5BA0" w:rsidRPr="00AC13F9" w:rsidRDefault="00AC5BA0" w:rsidP="00AC13F9">
            <w:pPr>
              <w:spacing w:after="0" w:line="240" w:lineRule="auto"/>
              <w:rPr>
                <w:rFonts w:ascii="Times New Roman" w:eastAsia="Arial" w:hAnsi="Times New Roman" w:cs="Times New Roman"/>
                <w:i/>
                <w:sz w:val="24"/>
                <w:szCs w:val="24"/>
              </w:rPr>
            </w:pPr>
            <w:r w:rsidRPr="00AC13F9">
              <w:rPr>
                <w:rFonts w:ascii="Times New Roman" w:eastAsia="Arial" w:hAnsi="Times New Roman" w:cs="Times New Roman"/>
                <w:i/>
                <w:sz w:val="24"/>
                <w:szCs w:val="24"/>
              </w:rPr>
              <w:t>Blighia sapida</w:t>
            </w:r>
          </w:p>
        </w:tc>
        <w:tc>
          <w:tcPr>
            <w:tcW w:w="2981" w:type="dxa"/>
            <w:tcBorders>
              <w:bottom w:val="single" w:sz="4" w:space="0" w:color="auto"/>
            </w:tcBorders>
            <w:shd w:val="clear" w:color="auto" w:fill="auto"/>
            <w:vAlign w:val="bottom"/>
          </w:tcPr>
          <w:p w14:paraId="6F0F4064"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Fisanier</w:t>
            </w:r>
          </w:p>
        </w:tc>
        <w:tc>
          <w:tcPr>
            <w:tcW w:w="2552" w:type="dxa"/>
            <w:gridSpan w:val="2"/>
            <w:tcBorders>
              <w:bottom w:val="single" w:sz="4" w:space="0" w:color="auto"/>
            </w:tcBorders>
            <w:shd w:val="clear" w:color="auto" w:fill="auto"/>
            <w:vAlign w:val="bottom"/>
          </w:tcPr>
          <w:p w14:paraId="3726314B" w14:textId="77777777" w:rsidR="00AC5BA0" w:rsidRPr="00AC13F9" w:rsidRDefault="00AC5BA0" w:rsidP="00AC13F9">
            <w:pPr>
              <w:spacing w:after="0" w:line="240" w:lineRule="auto"/>
              <w:rPr>
                <w:rFonts w:ascii="Times New Roman" w:eastAsia="Arial" w:hAnsi="Times New Roman" w:cs="Times New Roman"/>
                <w:sz w:val="24"/>
                <w:szCs w:val="24"/>
              </w:rPr>
            </w:pPr>
            <w:r w:rsidRPr="00AC13F9">
              <w:rPr>
                <w:rFonts w:ascii="Times New Roman" w:eastAsia="Arial" w:hAnsi="Times New Roman" w:cs="Times New Roman"/>
                <w:sz w:val="24"/>
                <w:szCs w:val="24"/>
              </w:rPr>
              <w:t>Graines</w:t>
            </w:r>
          </w:p>
        </w:tc>
      </w:tr>
    </w:tbl>
    <w:p w14:paraId="11C34FEE" w14:textId="77777777" w:rsidR="00F52EF3" w:rsidRDefault="00F52EF3" w:rsidP="00254C9C">
      <w:pPr>
        <w:spacing w:after="0" w:line="240" w:lineRule="auto"/>
        <w:ind w:left="360"/>
        <w:rPr>
          <w:rFonts w:ascii="Times New Roman" w:hAnsi="Times New Roman" w:cs="Times New Roman"/>
          <w:sz w:val="24"/>
          <w:szCs w:val="24"/>
        </w:rPr>
      </w:pPr>
      <w:r w:rsidRPr="008063D4">
        <w:rPr>
          <w:rFonts w:ascii="Times New Roman" w:hAnsi="Times New Roman" w:cs="Times New Roman"/>
          <w:sz w:val="24"/>
          <w:szCs w:val="24"/>
        </w:rPr>
        <w:t>Source : (FAO, 2018)</w:t>
      </w:r>
    </w:p>
    <w:p w14:paraId="0CDE15BC" w14:textId="77777777" w:rsidR="009777ED" w:rsidRPr="009777ED" w:rsidRDefault="009777ED" w:rsidP="00254C9C">
      <w:pPr>
        <w:spacing w:after="0" w:line="240" w:lineRule="auto"/>
        <w:ind w:left="360"/>
        <w:rPr>
          <w:rFonts w:ascii="Times New Roman" w:hAnsi="Times New Roman" w:cs="Times New Roman"/>
          <w:sz w:val="24"/>
          <w:szCs w:val="24"/>
        </w:rPr>
      </w:pPr>
    </w:p>
    <w:p w14:paraId="3EF49095" w14:textId="77777777" w:rsidR="00F52EF3" w:rsidRPr="008063D4" w:rsidRDefault="00F52EF3" w:rsidP="00E50666">
      <w:pPr>
        <w:numPr>
          <w:ilvl w:val="0"/>
          <w:numId w:val="11"/>
        </w:numPr>
        <w:spacing w:after="0" w:line="240" w:lineRule="auto"/>
        <w:rPr>
          <w:rFonts w:ascii="Times New Roman" w:eastAsia="Arial" w:hAnsi="Times New Roman" w:cs="Times New Roman"/>
          <w:b/>
          <w:sz w:val="24"/>
          <w:szCs w:val="24"/>
        </w:rPr>
      </w:pPr>
      <w:r w:rsidRPr="008063D4">
        <w:rPr>
          <w:rFonts w:ascii="Times New Roman" w:eastAsia="Arial" w:hAnsi="Times New Roman" w:cs="Times New Roman"/>
          <w:b/>
          <w:sz w:val="24"/>
          <w:szCs w:val="24"/>
        </w:rPr>
        <w:t>Espèces à fruits comestibles</w:t>
      </w:r>
    </w:p>
    <w:p w14:paraId="475B8250" w14:textId="6522AC46" w:rsidR="00F52EF3" w:rsidRDefault="00F52EF3" w:rsidP="00254C9C">
      <w:pPr>
        <w:spacing w:after="0" w:line="240" w:lineRule="auto"/>
        <w:ind w:left="160" w:right="180"/>
        <w:jc w:val="both"/>
        <w:rPr>
          <w:rFonts w:ascii="Times New Roman" w:hAnsi="Times New Roman" w:cs="Times New Roman"/>
          <w:sz w:val="24"/>
          <w:szCs w:val="24"/>
        </w:rPr>
      </w:pPr>
      <w:r w:rsidRPr="008063D4">
        <w:rPr>
          <w:rFonts w:ascii="Times New Roman" w:hAnsi="Times New Roman" w:cs="Times New Roman"/>
          <w:sz w:val="24"/>
          <w:szCs w:val="24"/>
        </w:rPr>
        <w:t>De nombreuses autres plantes sont utilisées comme des plantes espèces fruitières spontanées essentiellement à des fins alimentaires. On note p</w:t>
      </w:r>
      <w:r w:rsidRPr="008063D4">
        <w:rPr>
          <w:rFonts w:ascii="Times New Roman" w:eastAsia="Arial" w:hAnsi="Times New Roman" w:cs="Times New Roman"/>
          <w:sz w:val="24"/>
          <w:szCs w:val="24"/>
        </w:rPr>
        <w:t>lus d’une centaine d’espèces d’arbres produisant des fruits qui sont consommés par les communautés locales. Les fruits sont consommés soit crus, bouillis ou fumés. Ces espèces sont disséminées sur l’ensemble du territoire national. Une trentaine d’espèces à caractère spontané produisent des fruits qui entrent dans l’alimentation de</w:t>
      </w:r>
      <w:r w:rsidR="001127E6">
        <w:rPr>
          <w:rFonts w:ascii="Times New Roman" w:eastAsia="Arial" w:hAnsi="Times New Roman" w:cs="Times New Roman"/>
          <w:sz w:val="24"/>
          <w:szCs w:val="24"/>
        </w:rPr>
        <w:t>s populations locales (Tableau 1</w:t>
      </w:r>
      <w:r w:rsidR="00720D07">
        <w:rPr>
          <w:rFonts w:ascii="Times New Roman" w:eastAsia="Arial" w:hAnsi="Times New Roman" w:cs="Times New Roman"/>
          <w:sz w:val="24"/>
          <w:szCs w:val="24"/>
        </w:rPr>
        <w:t>6</w:t>
      </w:r>
      <w:r w:rsidRPr="008063D4">
        <w:rPr>
          <w:rFonts w:ascii="Times New Roman" w:eastAsia="Arial" w:hAnsi="Times New Roman" w:cs="Times New Roman"/>
          <w:sz w:val="24"/>
          <w:szCs w:val="24"/>
        </w:rPr>
        <w:t>) (FAO, 2018). En plus de ces espèces, il convient de signaler des espèces domestiquées qui comprennent les agrumes (oranger, pamplemoussier, mandarinier et citronnier), l’avocatier, le palmier à huile, l’anacardier, etc.</w:t>
      </w:r>
      <w:r w:rsidRPr="008063D4">
        <w:rPr>
          <w:rFonts w:ascii="Times New Roman" w:hAnsi="Times New Roman" w:cs="Times New Roman"/>
          <w:sz w:val="24"/>
          <w:szCs w:val="24"/>
        </w:rPr>
        <w:t xml:space="preserve"> Certaines de ces espèces font l’objet de commerce local, national et même international constituant ainsi de véritables sources de revenus pour les populations locales (Atato et </w:t>
      </w:r>
      <w:r w:rsidRPr="008063D4">
        <w:rPr>
          <w:rFonts w:ascii="Times New Roman" w:hAnsi="Times New Roman" w:cs="Times New Roman"/>
          <w:i/>
          <w:iCs/>
          <w:sz w:val="24"/>
          <w:szCs w:val="24"/>
        </w:rPr>
        <w:t xml:space="preserve">al., </w:t>
      </w:r>
      <w:r w:rsidRPr="008063D4">
        <w:rPr>
          <w:rFonts w:ascii="Times New Roman" w:hAnsi="Times New Roman" w:cs="Times New Roman"/>
          <w:sz w:val="24"/>
          <w:szCs w:val="24"/>
        </w:rPr>
        <w:t>2010). Parmi ces espèces on peut noter l’anacardier dont la production annuelle des 2 210 ha de plantations que compte le pays est estimée à 87 tonnes de noix, soit un rendement annuel moyen de 7,74 Kg/ha (MERF, 2014). On peut noter aussi les kolatiers qui sont estimés à 196 305 pieds et leur production à 2 355 tonnes de cola par an, soit un rendement annuel d’environ 12 tonnes.</w:t>
      </w:r>
    </w:p>
    <w:p w14:paraId="1CA31D44" w14:textId="77777777" w:rsidR="001127E6" w:rsidRDefault="001127E6" w:rsidP="00254C9C">
      <w:pPr>
        <w:spacing w:after="0" w:line="240" w:lineRule="auto"/>
        <w:ind w:left="160" w:right="180"/>
        <w:jc w:val="both"/>
        <w:rPr>
          <w:rFonts w:ascii="Times New Roman" w:hAnsi="Times New Roman" w:cs="Times New Roman"/>
          <w:sz w:val="24"/>
          <w:szCs w:val="24"/>
        </w:rPr>
      </w:pPr>
    </w:p>
    <w:p w14:paraId="38A68A40" w14:textId="1E1FE332" w:rsidR="001127E6" w:rsidRPr="001127E6" w:rsidRDefault="001127E6" w:rsidP="001127E6">
      <w:pPr>
        <w:pStyle w:val="Lgende"/>
        <w:rPr>
          <w:rFonts w:ascii="Times New Roman" w:eastAsia="Arial" w:hAnsi="Times New Roman"/>
          <w:sz w:val="24"/>
          <w:szCs w:val="24"/>
        </w:rPr>
      </w:pPr>
      <w:bookmarkStart w:id="112" w:name="_Toc533413487"/>
      <w:r w:rsidRPr="001127E6">
        <w:rPr>
          <w:rFonts w:ascii="Times New Roman" w:hAnsi="Times New Roman"/>
          <w:sz w:val="24"/>
          <w:szCs w:val="24"/>
        </w:rPr>
        <w:t xml:space="preserve">Tableau </w:t>
      </w:r>
      <w:r w:rsidR="00620BEA" w:rsidRPr="001127E6">
        <w:rPr>
          <w:rFonts w:ascii="Times New Roman" w:hAnsi="Times New Roman"/>
          <w:sz w:val="24"/>
          <w:szCs w:val="24"/>
        </w:rPr>
        <w:fldChar w:fldCharType="begin"/>
      </w:r>
      <w:r w:rsidRPr="001127E6">
        <w:rPr>
          <w:rFonts w:ascii="Times New Roman" w:hAnsi="Times New Roman"/>
          <w:sz w:val="24"/>
          <w:szCs w:val="24"/>
        </w:rPr>
        <w:instrText xml:space="preserve"> SEQ Tableau \* ARABIC </w:instrText>
      </w:r>
      <w:r w:rsidR="00620BEA" w:rsidRPr="001127E6">
        <w:rPr>
          <w:rFonts w:ascii="Times New Roman" w:hAnsi="Times New Roman"/>
          <w:sz w:val="24"/>
          <w:szCs w:val="24"/>
        </w:rPr>
        <w:fldChar w:fldCharType="separate"/>
      </w:r>
      <w:r w:rsidR="00C47BFF">
        <w:rPr>
          <w:rFonts w:ascii="Times New Roman" w:hAnsi="Times New Roman"/>
          <w:noProof/>
          <w:sz w:val="24"/>
          <w:szCs w:val="24"/>
        </w:rPr>
        <w:t>16</w:t>
      </w:r>
      <w:r w:rsidR="00620BEA" w:rsidRPr="001127E6">
        <w:rPr>
          <w:rFonts w:ascii="Times New Roman" w:hAnsi="Times New Roman"/>
          <w:sz w:val="24"/>
          <w:szCs w:val="24"/>
        </w:rPr>
        <w:fldChar w:fldCharType="end"/>
      </w:r>
      <w:r w:rsidRPr="001127E6">
        <w:rPr>
          <w:rFonts w:ascii="Times New Roman" w:hAnsi="Times New Roman"/>
          <w:sz w:val="24"/>
          <w:szCs w:val="24"/>
        </w:rPr>
        <w:t>: Espèces à fruits comestibles usuelles du Togo</w:t>
      </w:r>
      <w:bookmarkEnd w:id="112"/>
    </w:p>
    <w:tbl>
      <w:tblPr>
        <w:tblW w:w="11199" w:type="dxa"/>
        <w:tblInd w:w="-1064" w:type="dxa"/>
        <w:tblCellMar>
          <w:left w:w="70" w:type="dxa"/>
          <w:right w:w="70" w:type="dxa"/>
        </w:tblCellMar>
        <w:tblLook w:val="04A0" w:firstRow="1" w:lastRow="0" w:firstColumn="1" w:lastColumn="0" w:noHBand="0" w:noVBand="1"/>
      </w:tblPr>
      <w:tblGrid>
        <w:gridCol w:w="1200"/>
        <w:gridCol w:w="2820"/>
        <w:gridCol w:w="3740"/>
        <w:gridCol w:w="604"/>
        <w:gridCol w:w="708"/>
        <w:gridCol w:w="709"/>
        <w:gridCol w:w="709"/>
        <w:gridCol w:w="709"/>
      </w:tblGrid>
      <w:tr w:rsidR="008D3966" w:rsidRPr="008708C6" w14:paraId="25DE384B" w14:textId="77777777" w:rsidTr="00D624C0">
        <w:trPr>
          <w:trHeight w:val="315"/>
        </w:trPr>
        <w:tc>
          <w:tcPr>
            <w:tcW w:w="1200" w:type="dxa"/>
            <w:vMerge w:val="restart"/>
            <w:tcBorders>
              <w:top w:val="single" w:sz="4" w:space="0" w:color="auto"/>
              <w:left w:val="nil"/>
              <w:bottom w:val="single" w:sz="4" w:space="0" w:color="000000"/>
              <w:right w:val="nil"/>
            </w:tcBorders>
            <w:shd w:val="clear" w:color="auto" w:fill="auto"/>
            <w:noWrap/>
            <w:vAlign w:val="bottom"/>
            <w:hideMark/>
          </w:tcPr>
          <w:p w14:paraId="68129D34" w14:textId="77777777" w:rsidR="008D3966" w:rsidRPr="008708C6" w:rsidRDefault="008D3966" w:rsidP="00D624C0">
            <w:pPr>
              <w:spacing w:after="0" w:line="240" w:lineRule="auto"/>
              <w:jc w:val="center"/>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N°</w:t>
            </w:r>
          </w:p>
        </w:tc>
        <w:tc>
          <w:tcPr>
            <w:tcW w:w="2820" w:type="dxa"/>
            <w:vMerge w:val="restart"/>
            <w:tcBorders>
              <w:top w:val="single" w:sz="4" w:space="0" w:color="auto"/>
              <w:left w:val="nil"/>
              <w:bottom w:val="single" w:sz="4" w:space="0" w:color="000000"/>
              <w:right w:val="nil"/>
            </w:tcBorders>
            <w:shd w:val="clear" w:color="auto" w:fill="auto"/>
            <w:noWrap/>
            <w:vAlign w:val="bottom"/>
            <w:hideMark/>
          </w:tcPr>
          <w:p w14:paraId="2D25B992" w14:textId="77777777" w:rsidR="008D3966" w:rsidRPr="008708C6" w:rsidRDefault="008D3966" w:rsidP="00D624C0">
            <w:pPr>
              <w:spacing w:after="0" w:line="240" w:lineRule="auto"/>
              <w:jc w:val="center"/>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Noms scientifiques</w:t>
            </w:r>
          </w:p>
        </w:tc>
        <w:tc>
          <w:tcPr>
            <w:tcW w:w="3740" w:type="dxa"/>
            <w:vMerge w:val="restart"/>
            <w:tcBorders>
              <w:top w:val="single" w:sz="4" w:space="0" w:color="auto"/>
              <w:left w:val="nil"/>
              <w:bottom w:val="single" w:sz="4" w:space="0" w:color="000000"/>
              <w:right w:val="nil"/>
            </w:tcBorders>
            <w:shd w:val="clear" w:color="auto" w:fill="auto"/>
            <w:noWrap/>
            <w:vAlign w:val="bottom"/>
            <w:hideMark/>
          </w:tcPr>
          <w:p w14:paraId="1B4CDC2D" w14:textId="77777777" w:rsidR="008D3966" w:rsidRPr="008708C6" w:rsidRDefault="008D3966" w:rsidP="00D624C0">
            <w:pPr>
              <w:spacing w:after="0" w:line="240" w:lineRule="auto"/>
              <w:jc w:val="center"/>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Noms communs et/ou vernaculaires</w:t>
            </w:r>
          </w:p>
        </w:tc>
        <w:tc>
          <w:tcPr>
            <w:tcW w:w="3439" w:type="dxa"/>
            <w:gridSpan w:val="5"/>
            <w:tcBorders>
              <w:top w:val="single" w:sz="4" w:space="0" w:color="auto"/>
              <w:left w:val="nil"/>
              <w:bottom w:val="single" w:sz="4" w:space="0" w:color="auto"/>
              <w:right w:val="nil"/>
            </w:tcBorders>
            <w:shd w:val="clear" w:color="auto" w:fill="auto"/>
            <w:noWrap/>
            <w:vAlign w:val="bottom"/>
            <w:hideMark/>
          </w:tcPr>
          <w:p w14:paraId="6EA75E6C" w14:textId="77777777" w:rsidR="008D3966" w:rsidRPr="008708C6" w:rsidRDefault="008D3966" w:rsidP="00D624C0">
            <w:pPr>
              <w:spacing w:after="0" w:line="240" w:lineRule="auto"/>
              <w:jc w:val="center"/>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Régions de production</w:t>
            </w:r>
          </w:p>
        </w:tc>
      </w:tr>
      <w:tr w:rsidR="008D3966" w:rsidRPr="008708C6" w14:paraId="11F4A307" w14:textId="77777777" w:rsidTr="00D624C0">
        <w:trPr>
          <w:trHeight w:val="315"/>
        </w:trPr>
        <w:tc>
          <w:tcPr>
            <w:tcW w:w="1200" w:type="dxa"/>
            <w:vMerge/>
            <w:tcBorders>
              <w:top w:val="single" w:sz="4" w:space="0" w:color="auto"/>
              <w:left w:val="nil"/>
              <w:bottom w:val="single" w:sz="4" w:space="0" w:color="000000"/>
              <w:right w:val="nil"/>
            </w:tcBorders>
            <w:vAlign w:val="center"/>
            <w:hideMark/>
          </w:tcPr>
          <w:p w14:paraId="59224DD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2820" w:type="dxa"/>
            <w:vMerge/>
            <w:tcBorders>
              <w:top w:val="single" w:sz="4" w:space="0" w:color="auto"/>
              <w:left w:val="nil"/>
              <w:bottom w:val="single" w:sz="4" w:space="0" w:color="000000"/>
              <w:right w:val="nil"/>
            </w:tcBorders>
            <w:vAlign w:val="center"/>
            <w:hideMark/>
          </w:tcPr>
          <w:p w14:paraId="14102A1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3740" w:type="dxa"/>
            <w:vMerge/>
            <w:tcBorders>
              <w:top w:val="single" w:sz="4" w:space="0" w:color="auto"/>
              <w:left w:val="nil"/>
              <w:bottom w:val="single" w:sz="4" w:space="0" w:color="000000"/>
              <w:right w:val="nil"/>
            </w:tcBorders>
            <w:vAlign w:val="center"/>
            <w:hideMark/>
          </w:tcPr>
          <w:p w14:paraId="4B2B5BB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604" w:type="dxa"/>
            <w:tcBorders>
              <w:top w:val="nil"/>
              <w:left w:val="nil"/>
              <w:bottom w:val="single" w:sz="4" w:space="0" w:color="auto"/>
              <w:right w:val="nil"/>
            </w:tcBorders>
            <w:shd w:val="clear" w:color="auto" w:fill="auto"/>
            <w:noWrap/>
            <w:vAlign w:val="bottom"/>
            <w:hideMark/>
          </w:tcPr>
          <w:p w14:paraId="59697D0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RS</w:t>
            </w:r>
          </w:p>
        </w:tc>
        <w:tc>
          <w:tcPr>
            <w:tcW w:w="708" w:type="dxa"/>
            <w:tcBorders>
              <w:top w:val="nil"/>
              <w:left w:val="nil"/>
              <w:bottom w:val="single" w:sz="4" w:space="0" w:color="auto"/>
              <w:right w:val="nil"/>
            </w:tcBorders>
            <w:shd w:val="clear" w:color="auto" w:fill="auto"/>
            <w:noWrap/>
            <w:vAlign w:val="bottom"/>
            <w:hideMark/>
          </w:tcPr>
          <w:p w14:paraId="3EED51D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RK</w:t>
            </w:r>
          </w:p>
        </w:tc>
        <w:tc>
          <w:tcPr>
            <w:tcW w:w="709" w:type="dxa"/>
            <w:tcBorders>
              <w:top w:val="nil"/>
              <w:left w:val="nil"/>
              <w:bottom w:val="single" w:sz="4" w:space="0" w:color="auto"/>
              <w:right w:val="nil"/>
            </w:tcBorders>
            <w:shd w:val="clear" w:color="auto" w:fill="auto"/>
            <w:noWrap/>
            <w:vAlign w:val="bottom"/>
            <w:hideMark/>
          </w:tcPr>
          <w:p w14:paraId="3168E9E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RC</w:t>
            </w:r>
          </w:p>
        </w:tc>
        <w:tc>
          <w:tcPr>
            <w:tcW w:w="709" w:type="dxa"/>
            <w:tcBorders>
              <w:top w:val="nil"/>
              <w:left w:val="nil"/>
              <w:bottom w:val="single" w:sz="4" w:space="0" w:color="auto"/>
              <w:right w:val="nil"/>
            </w:tcBorders>
            <w:shd w:val="clear" w:color="auto" w:fill="auto"/>
            <w:noWrap/>
            <w:vAlign w:val="bottom"/>
            <w:hideMark/>
          </w:tcPr>
          <w:p w14:paraId="20E27CD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RP</w:t>
            </w:r>
          </w:p>
        </w:tc>
        <w:tc>
          <w:tcPr>
            <w:tcW w:w="709" w:type="dxa"/>
            <w:tcBorders>
              <w:top w:val="nil"/>
              <w:left w:val="nil"/>
              <w:bottom w:val="single" w:sz="4" w:space="0" w:color="auto"/>
              <w:right w:val="nil"/>
            </w:tcBorders>
            <w:shd w:val="clear" w:color="auto" w:fill="auto"/>
            <w:noWrap/>
            <w:vAlign w:val="bottom"/>
            <w:hideMark/>
          </w:tcPr>
          <w:p w14:paraId="2BDB2A5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RM</w:t>
            </w:r>
          </w:p>
        </w:tc>
      </w:tr>
      <w:tr w:rsidR="008D3966" w:rsidRPr="008708C6" w14:paraId="3D560A7C" w14:textId="77777777" w:rsidTr="00D624C0">
        <w:trPr>
          <w:trHeight w:val="315"/>
        </w:trPr>
        <w:tc>
          <w:tcPr>
            <w:tcW w:w="1200" w:type="dxa"/>
            <w:tcBorders>
              <w:top w:val="nil"/>
              <w:left w:val="nil"/>
              <w:bottom w:val="nil"/>
              <w:right w:val="nil"/>
            </w:tcBorders>
            <w:shd w:val="clear" w:color="auto" w:fill="auto"/>
            <w:noWrap/>
            <w:vAlign w:val="bottom"/>
            <w:hideMark/>
          </w:tcPr>
          <w:p w14:paraId="711EFF55"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w:t>
            </w:r>
          </w:p>
        </w:tc>
        <w:tc>
          <w:tcPr>
            <w:tcW w:w="2820" w:type="dxa"/>
            <w:tcBorders>
              <w:top w:val="nil"/>
              <w:left w:val="nil"/>
              <w:bottom w:val="nil"/>
              <w:right w:val="nil"/>
            </w:tcBorders>
            <w:shd w:val="clear" w:color="auto" w:fill="auto"/>
            <w:vAlign w:val="bottom"/>
            <w:hideMark/>
          </w:tcPr>
          <w:p w14:paraId="4D365E22"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Vitellaria paradoxa</w:t>
            </w:r>
          </w:p>
        </w:tc>
        <w:tc>
          <w:tcPr>
            <w:tcW w:w="3740" w:type="dxa"/>
            <w:tcBorders>
              <w:top w:val="nil"/>
              <w:left w:val="nil"/>
              <w:bottom w:val="nil"/>
              <w:right w:val="nil"/>
            </w:tcBorders>
            <w:shd w:val="clear" w:color="auto" w:fill="auto"/>
            <w:vAlign w:val="bottom"/>
            <w:hideMark/>
          </w:tcPr>
          <w:p w14:paraId="39C61ABD"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Karité</w:t>
            </w:r>
          </w:p>
        </w:tc>
        <w:tc>
          <w:tcPr>
            <w:tcW w:w="604" w:type="dxa"/>
            <w:tcBorders>
              <w:top w:val="nil"/>
              <w:left w:val="nil"/>
              <w:bottom w:val="nil"/>
              <w:right w:val="nil"/>
            </w:tcBorders>
            <w:shd w:val="clear" w:color="auto" w:fill="auto"/>
            <w:noWrap/>
            <w:vAlign w:val="bottom"/>
            <w:hideMark/>
          </w:tcPr>
          <w:p w14:paraId="7FFC9D1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1922C8A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677A38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6C9401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1ADA31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734B0C4B" w14:textId="77777777" w:rsidTr="00D624C0">
        <w:trPr>
          <w:trHeight w:val="315"/>
        </w:trPr>
        <w:tc>
          <w:tcPr>
            <w:tcW w:w="1200" w:type="dxa"/>
            <w:tcBorders>
              <w:top w:val="nil"/>
              <w:left w:val="nil"/>
              <w:bottom w:val="nil"/>
              <w:right w:val="nil"/>
            </w:tcBorders>
            <w:shd w:val="clear" w:color="auto" w:fill="auto"/>
            <w:noWrap/>
            <w:vAlign w:val="bottom"/>
            <w:hideMark/>
          </w:tcPr>
          <w:p w14:paraId="28DD172E"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w:t>
            </w:r>
          </w:p>
        </w:tc>
        <w:tc>
          <w:tcPr>
            <w:tcW w:w="2820" w:type="dxa"/>
            <w:tcBorders>
              <w:top w:val="nil"/>
              <w:left w:val="nil"/>
              <w:bottom w:val="nil"/>
              <w:right w:val="nil"/>
            </w:tcBorders>
            <w:shd w:val="clear" w:color="auto" w:fill="auto"/>
            <w:vAlign w:val="bottom"/>
            <w:hideMark/>
          </w:tcPr>
          <w:p w14:paraId="44CF1B46"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Parkia biglobosa</w:t>
            </w:r>
          </w:p>
        </w:tc>
        <w:tc>
          <w:tcPr>
            <w:tcW w:w="3740" w:type="dxa"/>
            <w:tcBorders>
              <w:top w:val="nil"/>
              <w:left w:val="nil"/>
              <w:bottom w:val="nil"/>
              <w:right w:val="nil"/>
            </w:tcBorders>
            <w:shd w:val="clear" w:color="auto" w:fill="auto"/>
            <w:vAlign w:val="bottom"/>
            <w:hideMark/>
          </w:tcPr>
          <w:p w14:paraId="585624EB"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Néré</w:t>
            </w:r>
          </w:p>
        </w:tc>
        <w:tc>
          <w:tcPr>
            <w:tcW w:w="604" w:type="dxa"/>
            <w:tcBorders>
              <w:top w:val="nil"/>
              <w:left w:val="nil"/>
              <w:bottom w:val="nil"/>
              <w:right w:val="nil"/>
            </w:tcBorders>
            <w:shd w:val="clear" w:color="auto" w:fill="auto"/>
            <w:noWrap/>
            <w:vAlign w:val="bottom"/>
            <w:hideMark/>
          </w:tcPr>
          <w:p w14:paraId="7BD3391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7141180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9433F5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3E30B55"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836A45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2BEC0D77" w14:textId="77777777" w:rsidTr="00D624C0">
        <w:trPr>
          <w:trHeight w:val="315"/>
        </w:trPr>
        <w:tc>
          <w:tcPr>
            <w:tcW w:w="1200" w:type="dxa"/>
            <w:tcBorders>
              <w:top w:val="nil"/>
              <w:left w:val="nil"/>
              <w:bottom w:val="nil"/>
              <w:right w:val="nil"/>
            </w:tcBorders>
            <w:shd w:val="clear" w:color="auto" w:fill="auto"/>
            <w:noWrap/>
            <w:vAlign w:val="bottom"/>
            <w:hideMark/>
          </w:tcPr>
          <w:p w14:paraId="21239B06"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3</w:t>
            </w:r>
          </w:p>
        </w:tc>
        <w:tc>
          <w:tcPr>
            <w:tcW w:w="2820" w:type="dxa"/>
            <w:tcBorders>
              <w:top w:val="nil"/>
              <w:left w:val="nil"/>
              <w:bottom w:val="nil"/>
              <w:right w:val="nil"/>
            </w:tcBorders>
            <w:shd w:val="clear" w:color="auto" w:fill="auto"/>
            <w:vAlign w:val="bottom"/>
            <w:hideMark/>
          </w:tcPr>
          <w:p w14:paraId="6DFEFFBB"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Annona senegalensis</w:t>
            </w:r>
          </w:p>
        </w:tc>
        <w:tc>
          <w:tcPr>
            <w:tcW w:w="3740" w:type="dxa"/>
            <w:tcBorders>
              <w:top w:val="nil"/>
              <w:left w:val="nil"/>
              <w:bottom w:val="nil"/>
              <w:right w:val="nil"/>
            </w:tcBorders>
            <w:shd w:val="clear" w:color="auto" w:fill="auto"/>
            <w:noWrap/>
            <w:vAlign w:val="bottom"/>
            <w:hideMark/>
          </w:tcPr>
          <w:p w14:paraId="6AA59ED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Pomme canelle du Sénégal (Annone)</w:t>
            </w:r>
          </w:p>
        </w:tc>
        <w:tc>
          <w:tcPr>
            <w:tcW w:w="604" w:type="dxa"/>
            <w:tcBorders>
              <w:top w:val="nil"/>
              <w:left w:val="nil"/>
              <w:bottom w:val="nil"/>
              <w:right w:val="nil"/>
            </w:tcBorders>
            <w:shd w:val="clear" w:color="auto" w:fill="auto"/>
            <w:noWrap/>
            <w:vAlign w:val="bottom"/>
            <w:hideMark/>
          </w:tcPr>
          <w:p w14:paraId="6ECCA74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3C39451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C1BC96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10B97DE"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4CDF2E5"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64E7F079" w14:textId="77777777" w:rsidTr="00D624C0">
        <w:trPr>
          <w:trHeight w:val="315"/>
        </w:trPr>
        <w:tc>
          <w:tcPr>
            <w:tcW w:w="1200" w:type="dxa"/>
            <w:tcBorders>
              <w:top w:val="nil"/>
              <w:left w:val="nil"/>
              <w:bottom w:val="nil"/>
              <w:right w:val="nil"/>
            </w:tcBorders>
            <w:shd w:val="clear" w:color="auto" w:fill="auto"/>
            <w:noWrap/>
            <w:vAlign w:val="bottom"/>
            <w:hideMark/>
          </w:tcPr>
          <w:p w14:paraId="19CD52A5"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4</w:t>
            </w:r>
          </w:p>
        </w:tc>
        <w:tc>
          <w:tcPr>
            <w:tcW w:w="2820" w:type="dxa"/>
            <w:tcBorders>
              <w:top w:val="nil"/>
              <w:left w:val="nil"/>
              <w:bottom w:val="nil"/>
              <w:right w:val="nil"/>
            </w:tcBorders>
            <w:shd w:val="clear" w:color="auto" w:fill="auto"/>
            <w:noWrap/>
            <w:vAlign w:val="bottom"/>
            <w:hideMark/>
          </w:tcPr>
          <w:p w14:paraId="74E83132"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Detarium microcarpum</w:t>
            </w:r>
          </w:p>
        </w:tc>
        <w:tc>
          <w:tcPr>
            <w:tcW w:w="3740" w:type="dxa"/>
            <w:tcBorders>
              <w:top w:val="nil"/>
              <w:left w:val="nil"/>
              <w:bottom w:val="nil"/>
              <w:right w:val="nil"/>
            </w:tcBorders>
            <w:shd w:val="clear" w:color="auto" w:fill="auto"/>
            <w:noWrap/>
            <w:vAlign w:val="bottom"/>
            <w:hideMark/>
          </w:tcPr>
          <w:p w14:paraId="0AB44048"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Grand détar</w:t>
            </w:r>
          </w:p>
        </w:tc>
        <w:tc>
          <w:tcPr>
            <w:tcW w:w="604" w:type="dxa"/>
            <w:tcBorders>
              <w:top w:val="nil"/>
              <w:left w:val="nil"/>
              <w:bottom w:val="nil"/>
              <w:right w:val="nil"/>
            </w:tcBorders>
            <w:shd w:val="clear" w:color="auto" w:fill="auto"/>
            <w:noWrap/>
            <w:vAlign w:val="bottom"/>
            <w:hideMark/>
          </w:tcPr>
          <w:p w14:paraId="4012BA0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2977C7B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336305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00E8760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104EC3E"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6154E4F2" w14:textId="77777777" w:rsidTr="00D624C0">
        <w:trPr>
          <w:trHeight w:val="300"/>
        </w:trPr>
        <w:tc>
          <w:tcPr>
            <w:tcW w:w="1200" w:type="dxa"/>
            <w:tcBorders>
              <w:top w:val="nil"/>
              <w:left w:val="nil"/>
              <w:bottom w:val="nil"/>
              <w:right w:val="nil"/>
            </w:tcBorders>
            <w:shd w:val="clear" w:color="auto" w:fill="auto"/>
            <w:noWrap/>
            <w:vAlign w:val="bottom"/>
            <w:hideMark/>
          </w:tcPr>
          <w:p w14:paraId="31013131"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5</w:t>
            </w:r>
          </w:p>
        </w:tc>
        <w:tc>
          <w:tcPr>
            <w:tcW w:w="2820" w:type="dxa"/>
            <w:tcBorders>
              <w:top w:val="nil"/>
              <w:left w:val="nil"/>
              <w:bottom w:val="nil"/>
              <w:right w:val="nil"/>
            </w:tcBorders>
            <w:shd w:val="clear" w:color="auto" w:fill="auto"/>
            <w:vAlign w:val="bottom"/>
            <w:hideMark/>
          </w:tcPr>
          <w:p w14:paraId="15C8F979"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Detarium senegalense</w:t>
            </w:r>
          </w:p>
        </w:tc>
        <w:tc>
          <w:tcPr>
            <w:tcW w:w="3740" w:type="dxa"/>
            <w:tcBorders>
              <w:top w:val="nil"/>
              <w:left w:val="nil"/>
              <w:bottom w:val="nil"/>
              <w:right w:val="nil"/>
            </w:tcBorders>
            <w:shd w:val="clear" w:color="auto" w:fill="auto"/>
            <w:noWrap/>
            <w:vAlign w:val="bottom"/>
            <w:hideMark/>
          </w:tcPr>
          <w:p w14:paraId="5A17542C"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Grand détar</w:t>
            </w:r>
          </w:p>
        </w:tc>
        <w:tc>
          <w:tcPr>
            <w:tcW w:w="604" w:type="dxa"/>
            <w:tcBorders>
              <w:top w:val="nil"/>
              <w:left w:val="nil"/>
              <w:bottom w:val="nil"/>
              <w:right w:val="nil"/>
            </w:tcBorders>
            <w:shd w:val="clear" w:color="auto" w:fill="auto"/>
            <w:noWrap/>
            <w:vAlign w:val="bottom"/>
            <w:hideMark/>
          </w:tcPr>
          <w:p w14:paraId="4C05052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77A4B6C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0506222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7581A7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9FB1B5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4ED712B3" w14:textId="77777777" w:rsidTr="00D624C0">
        <w:trPr>
          <w:trHeight w:val="315"/>
        </w:trPr>
        <w:tc>
          <w:tcPr>
            <w:tcW w:w="1200" w:type="dxa"/>
            <w:tcBorders>
              <w:top w:val="nil"/>
              <w:left w:val="nil"/>
              <w:bottom w:val="nil"/>
              <w:right w:val="nil"/>
            </w:tcBorders>
            <w:shd w:val="clear" w:color="auto" w:fill="auto"/>
            <w:noWrap/>
            <w:vAlign w:val="bottom"/>
            <w:hideMark/>
          </w:tcPr>
          <w:p w14:paraId="10DFF9EC"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6</w:t>
            </w:r>
          </w:p>
        </w:tc>
        <w:tc>
          <w:tcPr>
            <w:tcW w:w="2820" w:type="dxa"/>
            <w:tcBorders>
              <w:top w:val="nil"/>
              <w:left w:val="nil"/>
              <w:bottom w:val="nil"/>
              <w:right w:val="nil"/>
            </w:tcBorders>
            <w:shd w:val="clear" w:color="auto" w:fill="auto"/>
            <w:vAlign w:val="bottom"/>
            <w:hideMark/>
          </w:tcPr>
          <w:p w14:paraId="7B839CAF"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Tamarindus indica</w:t>
            </w:r>
          </w:p>
        </w:tc>
        <w:tc>
          <w:tcPr>
            <w:tcW w:w="3740" w:type="dxa"/>
            <w:tcBorders>
              <w:top w:val="nil"/>
              <w:left w:val="nil"/>
              <w:bottom w:val="nil"/>
              <w:right w:val="nil"/>
            </w:tcBorders>
            <w:shd w:val="clear" w:color="auto" w:fill="auto"/>
            <w:noWrap/>
            <w:vAlign w:val="bottom"/>
            <w:hideMark/>
          </w:tcPr>
          <w:p w14:paraId="031EF07F"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Tamarinier</w:t>
            </w:r>
          </w:p>
        </w:tc>
        <w:tc>
          <w:tcPr>
            <w:tcW w:w="604" w:type="dxa"/>
            <w:tcBorders>
              <w:top w:val="nil"/>
              <w:left w:val="nil"/>
              <w:bottom w:val="nil"/>
              <w:right w:val="nil"/>
            </w:tcBorders>
            <w:shd w:val="clear" w:color="auto" w:fill="auto"/>
            <w:noWrap/>
            <w:vAlign w:val="bottom"/>
            <w:hideMark/>
          </w:tcPr>
          <w:p w14:paraId="54FCE29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048EC73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47DE84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D445DA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62C8DD1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6DAA014E" w14:textId="77777777" w:rsidTr="00D624C0">
        <w:trPr>
          <w:trHeight w:val="315"/>
        </w:trPr>
        <w:tc>
          <w:tcPr>
            <w:tcW w:w="1200" w:type="dxa"/>
            <w:tcBorders>
              <w:top w:val="nil"/>
              <w:left w:val="nil"/>
              <w:bottom w:val="nil"/>
              <w:right w:val="nil"/>
            </w:tcBorders>
            <w:shd w:val="clear" w:color="auto" w:fill="auto"/>
            <w:noWrap/>
            <w:vAlign w:val="bottom"/>
            <w:hideMark/>
          </w:tcPr>
          <w:p w14:paraId="2BF53837"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7</w:t>
            </w:r>
          </w:p>
        </w:tc>
        <w:tc>
          <w:tcPr>
            <w:tcW w:w="2820" w:type="dxa"/>
            <w:tcBorders>
              <w:top w:val="nil"/>
              <w:left w:val="nil"/>
              <w:bottom w:val="nil"/>
              <w:right w:val="nil"/>
            </w:tcBorders>
            <w:shd w:val="clear" w:color="auto" w:fill="auto"/>
            <w:vAlign w:val="bottom"/>
            <w:hideMark/>
          </w:tcPr>
          <w:p w14:paraId="797A71FD"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Adansonia digitata</w:t>
            </w:r>
          </w:p>
        </w:tc>
        <w:tc>
          <w:tcPr>
            <w:tcW w:w="3740" w:type="dxa"/>
            <w:tcBorders>
              <w:top w:val="nil"/>
              <w:left w:val="nil"/>
              <w:bottom w:val="nil"/>
              <w:right w:val="nil"/>
            </w:tcBorders>
            <w:shd w:val="clear" w:color="auto" w:fill="auto"/>
            <w:vAlign w:val="bottom"/>
            <w:hideMark/>
          </w:tcPr>
          <w:p w14:paraId="6973F935"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Baobab</w:t>
            </w:r>
          </w:p>
        </w:tc>
        <w:tc>
          <w:tcPr>
            <w:tcW w:w="604" w:type="dxa"/>
            <w:tcBorders>
              <w:top w:val="nil"/>
              <w:left w:val="nil"/>
              <w:bottom w:val="nil"/>
              <w:right w:val="nil"/>
            </w:tcBorders>
            <w:shd w:val="clear" w:color="auto" w:fill="auto"/>
            <w:vAlign w:val="bottom"/>
            <w:hideMark/>
          </w:tcPr>
          <w:p w14:paraId="212C61A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3EAB707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205E6B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77196E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BB72F9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1293A47C" w14:textId="77777777" w:rsidTr="00D624C0">
        <w:trPr>
          <w:trHeight w:val="315"/>
        </w:trPr>
        <w:tc>
          <w:tcPr>
            <w:tcW w:w="1200" w:type="dxa"/>
            <w:tcBorders>
              <w:top w:val="nil"/>
              <w:left w:val="nil"/>
              <w:bottom w:val="nil"/>
              <w:right w:val="nil"/>
            </w:tcBorders>
            <w:shd w:val="clear" w:color="auto" w:fill="auto"/>
            <w:noWrap/>
            <w:vAlign w:val="bottom"/>
            <w:hideMark/>
          </w:tcPr>
          <w:p w14:paraId="2E010FF0"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8</w:t>
            </w:r>
          </w:p>
        </w:tc>
        <w:tc>
          <w:tcPr>
            <w:tcW w:w="2820" w:type="dxa"/>
            <w:tcBorders>
              <w:top w:val="nil"/>
              <w:left w:val="nil"/>
              <w:bottom w:val="nil"/>
              <w:right w:val="nil"/>
            </w:tcBorders>
            <w:shd w:val="clear" w:color="auto" w:fill="auto"/>
            <w:vAlign w:val="bottom"/>
            <w:hideMark/>
          </w:tcPr>
          <w:p w14:paraId="79CD34BD"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Borassus aethiopium</w:t>
            </w:r>
          </w:p>
        </w:tc>
        <w:tc>
          <w:tcPr>
            <w:tcW w:w="3740" w:type="dxa"/>
            <w:tcBorders>
              <w:top w:val="nil"/>
              <w:left w:val="nil"/>
              <w:bottom w:val="nil"/>
              <w:right w:val="nil"/>
            </w:tcBorders>
            <w:shd w:val="clear" w:color="auto" w:fill="auto"/>
            <w:vAlign w:val="bottom"/>
            <w:hideMark/>
          </w:tcPr>
          <w:p w14:paraId="506D2C99"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Rônier</w:t>
            </w:r>
          </w:p>
        </w:tc>
        <w:tc>
          <w:tcPr>
            <w:tcW w:w="604" w:type="dxa"/>
            <w:tcBorders>
              <w:top w:val="nil"/>
              <w:left w:val="nil"/>
              <w:bottom w:val="nil"/>
              <w:right w:val="nil"/>
            </w:tcBorders>
            <w:shd w:val="clear" w:color="auto" w:fill="auto"/>
            <w:vAlign w:val="bottom"/>
            <w:hideMark/>
          </w:tcPr>
          <w:p w14:paraId="0754BFD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594FDE1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808DDE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373662F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3C7FEC2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40B81786" w14:textId="77777777" w:rsidTr="00D624C0">
        <w:trPr>
          <w:trHeight w:val="300"/>
        </w:trPr>
        <w:tc>
          <w:tcPr>
            <w:tcW w:w="1200" w:type="dxa"/>
            <w:tcBorders>
              <w:top w:val="nil"/>
              <w:left w:val="nil"/>
              <w:bottom w:val="nil"/>
              <w:right w:val="nil"/>
            </w:tcBorders>
            <w:shd w:val="clear" w:color="auto" w:fill="auto"/>
            <w:noWrap/>
            <w:vAlign w:val="bottom"/>
            <w:hideMark/>
          </w:tcPr>
          <w:p w14:paraId="4519D661"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9</w:t>
            </w:r>
          </w:p>
        </w:tc>
        <w:tc>
          <w:tcPr>
            <w:tcW w:w="2820" w:type="dxa"/>
            <w:tcBorders>
              <w:top w:val="nil"/>
              <w:left w:val="nil"/>
              <w:bottom w:val="nil"/>
              <w:right w:val="nil"/>
            </w:tcBorders>
            <w:shd w:val="clear" w:color="auto" w:fill="auto"/>
            <w:vAlign w:val="bottom"/>
            <w:hideMark/>
          </w:tcPr>
          <w:p w14:paraId="0B421CF6"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Balanites aegyptiaca</w:t>
            </w:r>
          </w:p>
        </w:tc>
        <w:tc>
          <w:tcPr>
            <w:tcW w:w="3740" w:type="dxa"/>
            <w:tcBorders>
              <w:top w:val="nil"/>
              <w:left w:val="nil"/>
              <w:bottom w:val="nil"/>
              <w:right w:val="nil"/>
            </w:tcBorders>
            <w:shd w:val="clear" w:color="auto" w:fill="auto"/>
            <w:vAlign w:val="bottom"/>
            <w:hideMark/>
          </w:tcPr>
          <w:p w14:paraId="025DB50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Dattier du désert</w:t>
            </w:r>
          </w:p>
        </w:tc>
        <w:tc>
          <w:tcPr>
            <w:tcW w:w="604" w:type="dxa"/>
            <w:tcBorders>
              <w:top w:val="nil"/>
              <w:left w:val="nil"/>
              <w:bottom w:val="nil"/>
              <w:right w:val="nil"/>
            </w:tcBorders>
            <w:shd w:val="clear" w:color="auto" w:fill="auto"/>
            <w:vAlign w:val="bottom"/>
            <w:hideMark/>
          </w:tcPr>
          <w:p w14:paraId="5FF7899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366645D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0C922DB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5EF15CF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6C88372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192D56B9" w14:textId="77777777" w:rsidTr="00D624C0">
        <w:trPr>
          <w:trHeight w:val="315"/>
        </w:trPr>
        <w:tc>
          <w:tcPr>
            <w:tcW w:w="1200" w:type="dxa"/>
            <w:tcBorders>
              <w:top w:val="nil"/>
              <w:left w:val="nil"/>
              <w:bottom w:val="nil"/>
              <w:right w:val="nil"/>
            </w:tcBorders>
            <w:shd w:val="clear" w:color="auto" w:fill="auto"/>
            <w:noWrap/>
            <w:vAlign w:val="bottom"/>
            <w:hideMark/>
          </w:tcPr>
          <w:p w14:paraId="716B5967"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10</w:t>
            </w:r>
          </w:p>
        </w:tc>
        <w:tc>
          <w:tcPr>
            <w:tcW w:w="2820" w:type="dxa"/>
            <w:tcBorders>
              <w:top w:val="nil"/>
              <w:left w:val="nil"/>
              <w:bottom w:val="nil"/>
              <w:right w:val="nil"/>
            </w:tcBorders>
            <w:shd w:val="clear" w:color="auto" w:fill="auto"/>
            <w:vAlign w:val="bottom"/>
            <w:hideMark/>
          </w:tcPr>
          <w:p w14:paraId="3E51A992"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Lannea microcarpa</w:t>
            </w:r>
          </w:p>
        </w:tc>
        <w:tc>
          <w:tcPr>
            <w:tcW w:w="3740" w:type="dxa"/>
            <w:tcBorders>
              <w:top w:val="nil"/>
              <w:left w:val="nil"/>
              <w:bottom w:val="nil"/>
              <w:right w:val="nil"/>
            </w:tcBorders>
            <w:shd w:val="clear" w:color="auto" w:fill="auto"/>
            <w:vAlign w:val="bottom"/>
            <w:hideMark/>
          </w:tcPr>
          <w:p w14:paraId="5DE32845"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Raisinier</w:t>
            </w:r>
          </w:p>
        </w:tc>
        <w:tc>
          <w:tcPr>
            <w:tcW w:w="604" w:type="dxa"/>
            <w:tcBorders>
              <w:top w:val="nil"/>
              <w:left w:val="nil"/>
              <w:bottom w:val="nil"/>
              <w:right w:val="nil"/>
            </w:tcBorders>
            <w:shd w:val="clear" w:color="auto" w:fill="auto"/>
            <w:vAlign w:val="bottom"/>
            <w:hideMark/>
          </w:tcPr>
          <w:p w14:paraId="6E8CBDE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285F054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05AB9C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1395F59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7AFB63B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5A9706C8" w14:textId="77777777" w:rsidTr="00D624C0">
        <w:trPr>
          <w:trHeight w:val="315"/>
        </w:trPr>
        <w:tc>
          <w:tcPr>
            <w:tcW w:w="1200" w:type="dxa"/>
            <w:tcBorders>
              <w:top w:val="nil"/>
              <w:left w:val="nil"/>
              <w:bottom w:val="nil"/>
              <w:right w:val="nil"/>
            </w:tcBorders>
            <w:shd w:val="clear" w:color="auto" w:fill="auto"/>
            <w:noWrap/>
            <w:vAlign w:val="bottom"/>
            <w:hideMark/>
          </w:tcPr>
          <w:p w14:paraId="7B64B8C4"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11</w:t>
            </w:r>
          </w:p>
        </w:tc>
        <w:tc>
          <w:tcPr>
            <w:tcW w:w="2820" w:type="dxa"/>
            <w:tcBorders>
              <w:top w:val="nil"/>
              <w:left w:val="nil"/>
              <w:bottom w:val="nil"/>
              <w:right w:val="nil"/>
            </w:tcBorders>
            <w:shd w:val="clear" w:color="auto" w:fill="auto"/>
            <w:vAlign w:val="bottom"/>
            <w:hideMark/>
          </w:tcPr>
          <w:p w14:paraId="621134EE"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Lannea acida</w:t>
            </w:r>
          </w:p>
        </w:tc>
        <w:tc>
          <w:tcPr>
            <w:tcW w:w="3740" w:type="dxa"/>
            <w:tcBorders>
              <w:top w:val="nil"/>
              <w:left w:val="nil"/>
              <w:bottom w:val="nil"/>
              <w:right w:val="nil"/>
            </w:tcBorders>
            <w:shd w:val="clear" w:color="auto" w:fill="auto"/>
            <w:vAlign w:val="bottom"/>
            <w:hideMark/>
          </w:tcPr>
          <w:p w14:paraId="492886DF"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Raisinier</w:t>
            </w:r>
          </w:p>
        </w:tc>
        <w:tc>
          <w:tcPr>
            <w:tcW w:w="604" w:type="dxa"/>
            <w:tcBorders>
              <w:top w:val="nil"/>
              <w:left w:val="nil"/>
              <w:bottom w:val="nil"/>
              <w:right w:val="nil"/>
            </w:tcBorders>
            <w:shd w:val="clear" w:color="auto" w:fill="auto"/>
            <w:vAlign w:val="bottom"/>
            <w:hideMark/>
          </w:tcPr>
          <w:p w14:paraId="32CAEEE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2E3B0DB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A8A3FD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4BFAF1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8ADB21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283207B2" w14:textId="77777777" w:rsidTr="00D624C0">
        <w:trPr>
          <w:trHeight w:val="315"/>
        </w:trPr>
        <w:tc>
          <w:tcPr>
            <w:tcW w:w="1200" w:type="dxa"/>
            <w:tcBorders>
              <w:top w:val="nil"/>
              <w:left w:val="nil"/>
              <w:bottom w:val="nil"/>
              <w:right w:val="nil"/>
            </w:tcBorders>
            <w:shd w:val="clear" w:color="auto" w:fill="auto"/>
            <w:noWrap/>
            <w:vAlign w:val="bottom"/>
            <w:hideMark/>
          </w:tcPr>
          <w:p w14:paraId="6EEC1759"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12</w:t>
            </w:r>
          </w:p>
        </w:tc>
        <w:tc>
          <w:tcPr>
            <w:tcW w:w="2820" w:type="dxa"/>
            <w:tcBorders>
              <w:top w:val="nil"/>
              <w:left w:val="nil"/>
              <w:bottom w:val="nil"/>
              <w:right w:val="nil"/>
            </w:tcBorders>
            <w:shd w:val="clear" w:color="auto" w:fill="auto"/>
            <w:vAlign w:val="bottom"/>
            <w:hideMark/>
          </w:tcPr>
          <w:p w14:paraId="7248925D"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Lannea kerstingii</w:t>
            </w:r>
          </w:p>
        </w:tc>
        <w:tc>
          <w:tcPr>
            <w:tcW w:w="3740" w:type="dxa"/>
            <w:tcBorders>
              <w:top w:val="nil"/>
              <w:left w:val="nil"/>
              <w:bottom w:val="nil"/>
              <w:right w:val="nil"/>
            </w:tcBorders>
            <w:shd w:val="clear" w:color="auto" w:fill="auto"/>
            <w:vAlign w:val="bottom"/>
            <w:hideMark/>
          </w:tcPr>
          <w:p w14:paraId="6523DC50"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Raisiner</w:t>
            </w:r>
          </w:p>
        </w:tc>
        <w:tc>
          <w:tcPr>
            <w:tcW w:w="604" w:type="dxa"/>
            <w:tcBorders>
              <w:top w:val="nil"/>
              <w:left w:val="nil"/>
              <w:bottom w:val="nil"/>
              <w:right w:val="nil"/>
            </w:tcBorders>
            <w:shd w:val="clear" w:color="auto" w:fill="auto"/>
            <w:vAlign w:val="bottom"/>
            <w:hideMark/>
          </w:tcPr>
          <w:p w14:paraId="2BC7E3D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2E7DB0B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6F01F2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4E75B5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AA788A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712104EB" w14:textId="77777777" w:rsidTr="00D624C0">
        <w:trPr>
          <w:trHeight w:val="315"/>
        </w:trPr>
        <w:tc>
          <w:tcPr>
            <w:tcW w:w="1200" w:type="dxa"/>
            <w:tcBorders>
              <w:top w:val="nil"/>
              <w:left w:val="nil"/>
              <w:bottom w:val="nil"/>
              <w:right w:val="nil"/>
            </w:tcBorders>
            <w:shd w:val="clear" w:color="auto" w:fill="auto"/>
            <w:noWrap/>
            <w:vAlign w:val="bottom"/>
            <w:hideMark/>
          </w:tcPr>
          <w:p w14:paraId="225E04C4"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13</w:t>
            </w:r>
          </w:p>
        </w:tc>
        <w:tc>
          <w:tcPr>
            <w:tcW w:w="2820" w:type="dxa"/>
            <w:tcBorders>
              <w:top w:val="nil"/>
              <w:left w:val="nil"/>
              <w:bottom w:val="nil"/>
              <w:right w:val="nil"/>
            </w:tcBorders>
            <w:shd w:val="clear" w:color="auto" w:fill="auto"/>
            <w:vAlign w:val="bottom"/>
            <w:hideMark/>
          </w:tcPr>
          <w:p w14:paraId="0BE9A986"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Vitex doniana</w:t>
            </w:r>
          </w:p>
        </w:tc>
        <w:tc>
          <w:tcPr>
            <w:tcW w:w="3740" w:type="dxa"/>
            <w:tcBorders>
              <w:top w:val="nil"/>
              <w:left w:val="nil"/>
              <w:bottom w:val="nil"/>
              <w:right w:val="nil"/>
            </w:tcBorders>
            <w:shd w:val="clear" w:color="auto" w:fill="auto"/>
            <w:vAlign w:val="bottom"/>
            <w:hideMark/>
          </w:tcPr>
          <w:p w14:paraId="1E1936C0"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Prunier sauvage</w:t>
            </w:r>
          </w:p>
        </w:tc>
        <w:tc>
          <w:tcPr>
            <w:tcW w:w="604" w:type="dxa"/>
            <w:tcBorders>
              <w:top w:val="nil"/>
              <w:left w:val="nil"/>
              <w:bottom w:val="nil"/>
              <w:right w:val="nil"/>
            </w:tcBorders>
            <w:shd w:val="clear" w:color="auto" w:fill="auto"/>
            <w:vAlign w:val="bottom"/>
            <w:hideMark/>
          </w:tcPr>
          <w:p w14:paraId="485618A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29FC7B4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612775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D78F39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425970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4C2BB5B8" w14:textId="77777777" w:rsidTr="00D624C0">
        <w:trPr>
          <w:trHeight w:val="315"/>
        </w:trPr>
        <w:tc>
          <w:tcPr>
            <w:tcW w:w="1200" w:type="dxa"/>
            <w:tcBorders>
              <w:top w:val="nil"/>
              <w:left w:val="nil"/>
              <w:bottom w:val="nil"/>
              <w:right w:val="nil"/>
            </w:tcBorders>
            <w:shd w:val="clear" w:color="auto" w:fill="auto"/>
            <w:noWrap/>
            <w:vAlign w:val="bottom"/>
            <w:hideMark/>
          </w:tcPr>
          <w:p w14:paraId="1AC6AFD9"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14</w:t>
            </w:r>
          </w:p>
        </w:tc>
        <w:tc>
          <w:tcPr>
            <w:tcW w:w="2820" w:type="dxa"/>
            <w:tcBorders>
              <w:top w:val="nil"/>
              <w:left w:val="nil"/>
              <w:bottom w:val="nil"/>
              <w:right w:val="nil"/>
            </w:tcBorders>
            <w:shd w:val="clear" w:color="auto" w:fill="auto"/>
            <w:noWrap/>
            <w:vAlign w:val="bottom"/>
            <w:hideMark/>
          </w:tcPr>
          <w:p w14:paraId="5354D0B4"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Diospyros mespiliformis</w:t>
            </w:r>
          </w:p>
        </w:tc>
        <w:tc>
          <w:tcPr>
            <w:tcW w:w="3740" w:type="dxa"/>
            <w:tcBorders>
              <w:top w:val="nil"/>
              <w:left w:val="nil"/>
              <w:bottom w:val="nil"/>
              <w:right w:val="nil"/>
            </w:tcBorders>
            <w:shd w:val="clear" w:color="auto" w:fill="auto"/>
            <w:noWrap/>
            <w:vAlign w:val="bottom"/>
            <w:hideMark/>
          </w:tcPr>
          <w:p w14:paraId="77D75E0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Ebénier</w:t>
            </w:r>
          </w:p>
        </w:tc>
        <w:tc>
          <w:tcPr>
            <w:tcW w:w="604" w:type="dxa"/>
            <w:tcBorders>
              <w:top w:val="nil"/>
              <w:left w:val="nil"/>
              <w:bottom w:val="nil"/>
              <w:right w:val="nil"/>
            </w:tcBorders>
            <w:shd w:val="clear" w:color="auto" w:fill="auto"/>
            <w:vAlign w:val="bottom"/>
            <w:hideMark/>
          </w:tcPr>
          <w:p w14:paraId="1C40490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693E7AD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CFA85A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1E56C4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9786E4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6900DFFA" w14:textId="77777777" w:rsidTr="00D624C0">
        <w:trPr>
          <w:trHeight w:val="315"/>
        </w:trPr>
        <w:tc>
          <w:tcPr>
            <w:tcW w:w="1200" w:type="dxa"/>
            <w:tcBorders>
              <w:top w:val="nil"/>
              <w:left w:val="nil"/>
              <w:bottom w:val="nil"/>
              <w:right w:val="nil"/>
            </w:tcBorders>
            <w:shd w:val="clear" w:color="auto" w:fill="auto"/>
            <w:noWrap/>
            <w:vAlign w:val="bottom"/>
            <w:hideMark/>
          </w:tcPr>
          <w:p w14:paraId="43E72D75"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15</w:t>
            </w:r>
          </w:p>
        </w:tc>
        <w:tc>
          <w:tcPr>
            <w:tcW w:w="2820" w:type="dxa"/>
            <w:tcBorders>
              <w:top w:val="nil"/>
              <w:left w:val="nil"/>
              <w:bottom w:val="nil"/>
              <w:right w:val="nil"/>
            </w:tcBorders>
            <w:shd w:val="clear" w:color="auto" w:fill="auto"/>
            <w:vAlign w:val="bottom"/>
            <w:hideMark/>
          </w:tcPr>
          <w:p w14:paraId="16C7C4A3"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Blighia sapida</w:t>
            </w:r>
          </w:p>
        </w:tc>
        <w:tc>
          <w:tcPr>
            <w:tcW w:w="3740" w:type="dxa"/>
            <w:tcBorders>
              <w:top w:val="nil"/>
              <w:left w:val="nil"/>
              <w:bottom w:val="nil"/>
              <w:right w:val="nil"/>
            </w:tcBorders>
            <w:shd w:val="clear" w:color="auto" w:fill="auto"/>
            <w:vAlign w:val="bottom"/>
            <w:hideMark/>
          </w:tcPr>
          <w:p w14:paraId="08CF609C"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Fisanier</w:t>
            </w:r>
          </w:p>
        </w:tc>
        <w:tc>
          <w:tcPr>
            <w:tcW w:w="604" w:type="dxa"/>
            <w:tcBorders>
              <w:top w:val="nil"/>
              <w:left w:val="nil"/>
              <w:bottom w:val="nil"/>
              <w:right w:val="nil"/>
            </w:tcBorders>
            <w:shd w:val="clear" w:color="auto" w:fill="auto"/>
            <w:vAlign w:val="bottom"/>
            <w:hideMark/>
          </w:tcPr>
          <w:p w14:paraId="16B9E76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74EF7D7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2ACFB4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1316DF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053C6D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328F5989" w14:textId="77777777" w:rsidTr="00D624C0">
        <w:trPr>
          <w:trHeight w:val="315"/>
        </w:trPr>
        <w:tc>
          <w:tcPr>
            <w:tcW w:w="1200" w:type="dxa"/>
            <w:tcBorders>
              <w:top w:val="nil"/>
              <w:left w:val="nil"/>
              <w:bottom w:val="nil"/>
              <w:right w:val="nil"/>
            </w:tcBorders>
            <w:shd w:val="clear" w:color="auto" w:fill="auto"/>
            <w:noWrap/>
            <w:vAlign w:val="bottom"/>
            <w:hideMark/>
          </w:tcPr>
          <w:p w14:paraId="619D75E6"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16</w:t>
            </w:r>
          </w:p>
        </w:tc>
        <w:tc>
          <w:tcPr>
            <w:tcW w:w="2820" w:type="dxa"/>
            <w:tcBorders>
              <w:top w:val="nil"/>
              <w:left w:val="nil"/>
              <w:bottom w:val="nil"/>
              <w:right w:val="nil"/>
            </w:tcBorders>
            <w:shd w:val="clear" w:color="auto" w:fill="auto"/>
            <w:vAlign w:val="bottom"/>
            <w:hideMark/>
          </w:tcPr>
          <w:p w14:paraId="70C0F0F6"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Strychnos spinosa</w:t>
            </w:r>
          </w:p>
        </w:tc>
        <w:tc>
          <w:tcPr>
            <w:tcW w:w="3740" w:type="dxa"/>
            <w:tcBorders>
              <w:top w:val="nil"/>
              <w:left w:val="nil"/>
              <w:bottom w:val="nil"/>
              <w:right w:val="nil"/>
            </w:tcBorders>
            <w:shd w:val="clear" w:color="auto" w:fill="auto"/>
            <w:vAlign w:val="bottom"/>
            <w:hideMark/>
          </w:tcPr>
          <w:p w14:paraId="34E90999"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Oranger sauvage</w:t>
            </w:r>
          </w:p>
        </w:tc>
        <w:tc>
          <w:tcPr>
            <w:tcW w:w="604" w:type="dxa"/>
            <w:tcBorders>
              <w:top w:val="nil"/>
              <w:left w:val="nil"/>
              <w:bottom w:val="nil"/>
              <w:right w:val="nil"/>
            </w:tcBorders>
            <w:shd w:val="clear" w:color="auto" w:fill="auto"/>
            <w:vAlign w:val="bottom"/>
            <w:hideMark/>
          </w:tcPr>
          <w:p w14:paraId="6B2212B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1534D20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66AC8A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99FEA7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36F365A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51A23A39" w14:textId="77777777" w:rsidTr="00D624C0">
        <w:trPr>
          <w:trHeight w:val="315"/>
        </w:trPr>
        <w:tc>
          <w:tcPr>
            <w:tcW w:w="1200" w:type="dxa"/>
            <w:tcBorders>
              <w:top w:val="nil"/>
              <w:left w:val="nil"/>
              <w:bottom w:val="nil"/>
              <w:right w:val="nil"/>
            </w:tcBorders>
            <w:shd w:val="clear" w:color="auto" w:fill="auto"/>
            <w:noWrap/>
            <w:vAlign w:val="bottom"/>
            <w:hideMark/>
          </w:tcPr>
          <w:p w14:paraId="406ABA81"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17</w:t>
            </w:r>
          </w:p>
        </w:tc>
        <w:tc>
          <w:tcPr>
            <w:tcW w:w="2820" w:type="dxa"/>
            <w:tcBorders>
              <w:top w:val="nil"/>
              <w:left w:val="nil"/>
              <w:bottom w:val="nil"/>
              <w:right w:val="nil"/>
            </w:tcBorders>
            <w:shd w:val="clear" w:color="auto" w:fill="auto"/>
            <w:vAlign w:val="bottom"/>
            <w:hideMark/>
          </w:tcPr>
          <w:p w14:paraId="5981C99E"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Spondias monbin</w:t>
            </w:r>
          </w:p>
        </w:tc>
        <w:tc>
          <w:tcPr>
            <w:tcW w:w="3740" w:type="dxa"/>
            <w:tcBorders>
              <w:top w:val="nil"/>
              <w:left w:val="nil"/>
              <w:bottom w:val="nil"/>
              <w:right w:val="nil"/>
            </w:tcBorders>
            <w:shd w:val="clear" w:color="auto" w:fill="auto"/>
            <w:vAlign w:val="bottom"/>
            <w:hideMark/>
          </w:tcPr>
          <w:p w14:paraId="63209BAC"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Prunier monbin</w:t>
            </w:r>
          </w:p>
        </w:tc>
        <w:tc>
          <w:tcPr>
            <w:tcW w:w="604" w:type="dxa"/>
            <w:tcBorders>
              <w:top w:val="nil"/>
              <w:left w:val="nil"/>
              <w:bottom w:val="nil"/>
              <w:right w:val="nil"/>
            </w:tcBorders>
            <w:shd w:val="clear" w:color="auto" w:fill="auto"/>
            <w:vAlign w:val="bottom"/>
            <w:hideMark/>
          </w:tcPr>
          <w:p w14:paraId="7500F73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4117E73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D0F2AA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9E3856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0880D61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414BFBD4" w14:textId="77777777" w:rsidTr="00D624C0">
        <w:trPr>
          <w:trHeight w:val="315"/>
        </w:trPr>
        <w:tc>
          <w:tcPr>
            <w:tcW w:w="1200" w:type="dxa"/>
            <w:tcBorders>
              <w:top w:val="nil"/>
              <w:left w:val="nil"/>
              <w:bottom w:val="nil"/>
              <w:right w:val="nil"/>
            </w:tcBorders>
            <w:shd w:val="clear" w:color="auto" w:fill="auto"/>
            <w:noWrap/>
            <w:vAlign w:val="bottom"/>
            <w:hideMark/>
          </w:tcPr>
          <w:p w14:paraId="57A07EF0"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18</w:t>
            </w:r>
          </w:p>
        </w:tc>
        <w:tc>
          <w:tcPr>
            <w:tcW w:w="2820" w:type="dxa"/>
            <w:tcBorders>
              <w:top w:val="nil"/>
              <w:left w:val="nil"/>
              <w:bottom w:val="nil"/>
              <w:right w:val="nil"/>
            </w:tcBorders>
            <w:shd w:val="clear" w:color="auto" w:fill="auto"/>
            <w:vAlign w:val="bottom"/>
            <w:hideMark/>
          </w:tcPr>
          <w:p w14:paraId="43329C0C"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Ficus gnaphalocarpus</w:t>
            </w:r>
          </w:p>
        </w:tc>
        <w:tc>
          <w:tcPr>
            <w:tcW w:w="3740" w:type="dxa"/>
            <w:tcBorders>
              <w:top w:val="nil"/>
              <w:left w:val="nil"/>
              <w:bottom w:val="nil"/>
              <w:right w:val="nil"/>
            </w:tcBorders>
            <w:shd w:val="clear" w:color="auto" w:fill="auto"/>
            <w:vAlign w:val="bottom"/>
            <w:hideMark/>
          </w:tcPr>
          <w:p w14:paraId="0799508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Figuier</w:t>
            </w:r>
          </w:p>
        </w:tc>
        <w:tc>
          <w:tcPr>
            <w:tcW w:w="604" w:type="dxa"/>
            <w:tcBorders>
              <w:top w:val="nil"/>
              <w:left w:val="nil"/>
              <w:bottom w:val="nil"/>
              <w:right w:val="nil"/>
            </w:tcBorders>
            <w:shd w:val="clear" w:color="auto" w:fill="auto"/>
            <w:vAlign w:val="bottom"/>
            <w:hideMark/>
          </w:tcPr>
          <w:p w14:paraId="1FB4030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57E5A45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FDDCA2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AA06D3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78AC24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72C92966" w14:textId="77777777" w:rsidTr="00D624C0">
        <w:trPr>
          <w:trHeight w:val="315"/>
        </w:trPr>
        <w:tc>
          <w:tcPr>
            <w:tcW w:w="1200" w:type="dxa"/>
            <w:tcBorders>
              <w:top w:val="nil"/>
              <w:left w:val="nil"/>
              <w:bottom w:val="nil"/>
              <w:right w:val="nil"/>
            </w:tcBorders>
            <w:shd w:val="clear" w:color="auto" w:fill="auto"/>
            <w:noWrap/>
            <w:vAlign w:val="bottom"/>
            <w:hideMark/>
          </w:tcPr>
          <w:p w14:paraId="1B08CC49"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19</w:t>
            </w:r>
          </w:p>
        </w:tc>
        <w:tc>
          <w:tcPr>
            <w:tcW w:w="2820" w:type="dxa"/>
            <w:tcBorders>
              <w:top w:val="nil"/>
              <w:left w:val="nil"/>
              <w:bottom w:val="nil"/>
              <w:right w:val="nil"/>
            </w:tcBorders>
            <w:shd w:val="clear" w:color="auto" w:fill="auto"/>
            <w:noWrap/>
            <w:vAlign w:val="bottom"/>
            <w:hideMark/>
          </w:tcPr>
          <w:p w14:paraId="3B91BEF2"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Cissus populnea</w:t>
            </w:r>
          </w:p>
        </w:tc>
        <w:tc>
          <w:tcPr>
            <w:tcW w:w="3740" w:type="dxa"/>
            <w:tcBorders>
              <w:top w:val="nil"/>
              <w:left w:val="nil"/>
              <w:bottom w:val="nil"/>
              <w:right w:val="nil"/>
            </w:tcBorders>
            <w:shd w:val="clear" w:color="auto" w:fill="auto"/>
            <w:noWrap/>
            <w:vAlign w:val="bottom"/>
            <w:hideMark/>
          </w:tcPr>
          <w:p w14:paraId="61572D1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p>
        </w:tc>
        <w:tc>
          <w:tcPr>
            <w:tcW w:w="604" w:type="dxa"/>
            <w:tcBorders>
              <w:top w:val="nil"/>
              <w:left w:val="nil"/>
              <w:bottom w:val="nil"/>
              <w:right w:val="nil"/>
            </w:tcBorders>
            <w:shd w:val="clear" w:color="auto" w:fill="auto"/>
            <w:vAlign w:val="bottom"/>
            <w:hideMark/>
          </w:tcPr>
          <w:p w14:paraId="686AC49E"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6305D0B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125DFB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5044F6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16675F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2A2409D3" w14:textId="77777777" w:rsidTr="00D624C0">
        <w:trPr>
          <w:trHeight w:val="315"/>
        </w:trPr>
        <w:tc>
          <w:tcPr>
            <w:tcW w:w="1200" w:type="dxa"/>
            <w:tcBorders>
              <w:top w:val="nil"/>
              <w:left w:val="nil"/>
              <w:bottom w:val="nil"/>
              <w:right w:val="nil"/>
            </w:tcBorders>
            <w:shd w:val="clear" w:color="auto" w:fill="auto"/>
            <w:noWrap/>
            <w:vAlign w:val="bottom"/>
            <w:hideMark/>
          </w:tcPr>
          <w:p w14:paraId="2A461AA1"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20</w:t>
            </w:r>
          </w:p>
        </w:tc>
        <w:tc>
          <w:tcPr>
            <w:tcW w:w="2820" w:type="dxa"/>
            <w:tcBorders>
              <w:top w:val="nil"/>
              <w:left w:val="nil"/>
              <w:bottom w:val="nil"/>
              <w:right w:val="nil"/>
            </w:tcBorders>
            <w:shd w:val="clear" w:color="auto" w:fill="auto"/>
            <w:noWrap/>
            <w:vAlign w:val="bottom"/>
            <w:hideMark/>
          </w:tcPr>
          <w:p w14:paraId="5E784D9B"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Gardenia erubescens</w:t>
            </w:r>
          </w:p>
        </w:tc>
        <w:tc>
          <w:tcPr>
            <w:tcW w:w="3740" w:type="dxa"/>
            <w:tcBorders>
              <w:top w:val="nil"/>
              <w:left w:val="nil"/>
              <w:bottom w:val="nil"/>
              <w:right w:val="nil"/>
            </w:tcBorders>
            <w:shd w:val="clear" w:color="auto" w:fill="auto"/>
            <w:noWrap/>
            <w:vAlign w:val="bottom"/>
            <w:hideMark/>
          </w:tcPr>
          <w:p w14:paraId="48461936"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p>
        </w:tc>
        <w:tc>
          <w:tcPr>
            <w:tcW w:w="604" w:type="dxa"/>
            <w:tcBorders>
              <w:top w:val="nil"/>
              <w:left w:val="nil"/>
              <w:bottom w:val="nil"/>
              <w:right w:val="nil"/>
            </w:tcBorders>
            <w:shd w:val="clear" w:color="auto" w:fill="auto"/>
            <w:vAlign w:val="bottom"/>
            <w:hideMark/>
          </w:tcPr>
          <w:p w14:paraId="444207A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nil"/>
              <w:right w:val="nil"/>
            </w:tcBorders>
            <w:shd w:val="clear" w:color="auto" w:fill="auto"/>
            <w:noWrap/>
            <w:vAlign w:val="bottom"/>
            <w:hideMark/>
          </w:tcPr>
          <w:p w14:paraId="342C861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B219DF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3B6C72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56021D1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3DF7F10B" w14:textId="77777777" w:rsidTr="00D624C0">
        <w:trPr>
          <w:trHeight w:val="315"/>
        </w:trPr>
        <w:tc>
          <w:tcPr>
            <w:tcW w:w="1200" w:type="dxa"/>
            <w:tcBorders>
              <w:top w:val="nil"/>
              <w:left w:val="nil"/>
              <w:bottom w:val="nil"/>
              <w:right w:val="nil"/>
            </w:tcBorders>
            <w:shd w:val="clear" w:color="auto" w:fill="auto"/>
            <w:noWrap/>
            <w:vAlign w:val="bottom"/>
            <w:hideMark/>
          </w:tcPr>
          <w:p w14:paraId="4399BC25"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21</w:t>
            </w:r>
          </w:p>
        </w:tc>
        <w:tc>
          <w:tcPr>
            <w:tcW w:w="2820" w:type="dxa"/>
            <w:tcBorders>
              <w:top w:val="nil"/>
              <w:left w:val="nil"/>
              <w:bottom w:val="nil"/>
              <w:right w:val="nil"/>
            </w:tcBorders>
            <w:shd w:val="clear" w:color="auto" w:fill="auto"/>
            <w:vAlign w:val="bottom"/>
            <w:hideMark/>
          </w:tcPr>
          <w:p w14:paraId="7BD39EC5"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Hyphaene thebaica</w:t>
            </w:r>
          </w:p>
        </w:tc>
        <w:tc>
          <w:tcPr>
            <w:tcW w:w="3740" w:type="dxa"/>
            <w:tcBorders>
              <w:top w:val="nil"/>
              <w:left w:val="nil"/>
              <w:bottom w:val="nil"/>
              <w:right w:val="nil"/>
            </w:tcBorders>
            <w:shd w:val="clear" w:color="auto" w:fill="auto"/>
            <w:vAlign w:val="bottom"/>
            <w:hideMark/>
          </w:tcPr>
          <w:p w14:paraId="007EE8C7"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Palmier doum</w:t>
            </w:r>
          </w:p>
        </w:tc>
        <w:tc>
          <w:tcPr>
            <w:tcW w:w="604" w:type="dxa"/>
            <w:tcBorders>
              <w:top w:val="nil"/>
              <w:left w:val="nil"/>
              <w:bottom w:val="nil"/>
              <w:right w:val="nil"/>
            </w:tcBorders>
            <w:shd w:val="clear" w:color="auto" w:fill="auto"/>
            <w:vAlign w:val="bottom"/>
            <w:hideMark/>
          </w:tcPr>
          <w:p w14:paraId="1FB4BB7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73896FC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A92ABB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7D2F33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22CA179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43B8464B" w14:textId="77777777" w:rsidTr="00D624C0">
        <w:trPr>
          <w:trHeight w:val="270"/>
        </w:trPr>
        <w:tc>
          <w:tcPr>
            <w:tcW w:w="1200" w:type="dxa"/>
            <w:tcBorders>
              <w:top w:val="nil"/>
              <w:left w:val="nil"/>
              <w:bottom w:val="nil"/>
              <w:right w:val="nil"/>
            </w:tcBorders>
            <w:shd w:val="clear" w:color="auto" w:fill="auto"/>
            <w:noWrap/>
            <w:vAlign w:val="bottom"/>
            <w:hideMark/>
          </w:tcPr>
          <w:p w14:paraId="6BE71021"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22</w:t>
            </w:r>
          </w:p>
        </w:tc>
        <w:tc>
          <w:tcPr>
            <w:tcW w:w="2820" w:type="dxa"/>
            <w:tcBorders>
              <w:top w:val="nil"/>
              <w:left w:val="nil"/>
              <w:bottom w:val="nil"/>
              <w:right w:val="nil"/>
            </w:tcBorders>
            <w:shd w:val="clear" w:color="auto" w:fill="auto"/>
            <w:vAlign w:val="bottom"/>
            <w:hideMark/>
          </w:tcPr>
          <w:p w14:paraId="1A62B9BA"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Xylopia aegyptiaca</w:t>
            </w:r>
          </w:p>
        </w:tc>
        <w:tc>
          <w:tcPr>
            <w:tcW w:w="3740" w:type="dxa"/>
            <w:tcBorders>
              <w:top w:val="nil"/>
              <w:left w:val="nil"/>
              <w:bottom w:val="nil"/>
              <w:right w:val="nil"/>
            </w:tcBorders>
            <w:shd w:val="clear" w:color="auto" w:fill="auto"/>
            <w:vAlign w:val="bottom"/>
            <w:hideMark/>
          </w:tcPr>
          <w:p w14:paraId="587BD23C"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Piment de Guinée</w:t>
            </w:r>
          </w:p>
        </w:tc>
        <w:tc>
          <w:tcPr>
            <w:tcW w:w="604" w:type="dxa"/>
            <w:tcBorders>
              <w:top w:val="nil"/>
              <w:left w:val="nil"/>
              <w:bottom w:val="nil"/>
              <w:right w:val="nil"/>
            </w:tcBorders>
            <w:shd w:val="clear" w:color="auto" w:fill="auto"/>
            <w:noWrap/>
            <w:vAlign w:val="bottom"/>
            <w:hideMark/>
          </w:tcPr>
          <w:p w14:paraId="213D347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4411BB6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7501F6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7D1DEA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958837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5D394DB0" w14:textId="77777777" w:rsidTr="00D624C0">
        <w:trPr>
          <w:trHeight w:val="315"/>
        </w:trPr>
        <w:tc>
          <w:tcPr>
            <w:tcW w:w="1200" w:type="dxa"/>
            <w:tcBorders>
              <w:top w:val="nil"/>
              <w:left w:val="nil"/>
              <w:bottom w:val="nil"/>
              <w:right w:val="nil"/>
            </w:tcBorders>
            <w:shd w:val="clear" w:color="auto" w:fill="auto"/>
            <w:noWrap/>
            <w:vAlign w:val="bottom"/>
            <w:hideMark/>
          </w:tcPr>
          <w:p w14:paraId="0F6D91D4"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23</w:t>
            </w:r>
          </w:p>
        </w:tc>
        <w:tc>
          <w:tcPr>
            <w:tcW w:w="2820" w:type="dxa"/>
            <w:tcBorders>
              <w:top w:val="nil"/>
              <w:left w:val="nil"/>
              <w:bottom w:val="nil"/>
              <w:right w:val="nil"/>
            </w:tcBorders>
            <w:shd w:val="clear" w:color="auto" w:fill="auto"/>
            <w:noWrap/>
            <w:vAlign w:val="bottom"/>
            <w:hideMark/>
          </w:tcPr>
          <w:p w14:paraId="798018AD"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Dialium guineense</w:t>
            </w:r>
          </w:p>
        </w:tc>
        <w:tc>
          <w:tcPr>
            <w:tcW w:w="3740" w:type="dxa"/>
            <w:tcBorders>
              <w:top w:val="nil"/>
              <w:left w:val="nil"/>
              <w:bottom w:val="nil"/>
              <w:right w:val="nil"/>
            </w:tcBorders>
            <w:shd w:val="clear" w:color="auto" w:fill="auto"/>
            <w:vAlign w:val="bottom"/>
            <w:hideMark/>
          </w:tcPr>
          <w:p w14:paraId="423F9A8F"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Tamarinier noir</w:t>
            </w:r>
          </w:p>
        </w:tc>
        <w:tc>
          <w:tcPr>
            <w:tcW w:w="604" w:type="dxa"/>
            <w:tcBorders>
              <w:top w:val="nil"/>
              <w:left w:val="nil"/>
              <w:bottom w:val="nil"/>
              <w:right w:val="nil"/>
            </w:tcBorders>
            <w:shd w:val="clear" w:color="auto" w:fill="auto"/>
            <w:noWrap/>
            <w:vAlign w:val="bottom"/>
            <w:hideMark/>
          </w:tcPr>
          <w:p w14:paraId="1D19479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6DDBB44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09F2A5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528D1E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A0A6E6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0ABE5B8A" w14:textId="77777777" w:rsidTr="00D624C0">
        <w:trPr>
          <w:trHeight w:val="315"/>
        </w:trPr>
        <w:tc>
          <w:tcPr>
            <w:tcW w:w="1200" w:type="dxa"/>
            <w:tcBorders>
              <w:top w:val="nil"/>
              <w:left w:val="nil"/>
              <w:bottom w:val="nil"/>
              <w:right w:val="nil"/>
            </w:tcBorders>
            <w:shd w:val="clear" w:color="auto" w:fill="auto"/>
            <w:noWrap/>
            <w:vAlign w:val="bottom"/>
            <w:hideMark/>
          </w:tcPr>
          <w:p w14:paraId="7A663997"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24</w:t>
            </w:r>
          </w:p>
        </w:tc>
        <w:tc>
          <w:tcPr>
            <w:tcW w:w="2820" w:type="dxa"/>
            <w:tcBorders>
              <w:top w:val="nil"/>
              <w:left w:val="nil"/>
              <w:bottom w:val="nil"/>
              <w:right w:val="nil"/>
            </w:tcBorders>
            <w:shd w:val="clear" w:color="auto" w:fill="auto"/>
            <w:noWrap/>
            <w:vAlign w:val="bottom"/>
            <w:hideMark/>
          </w:tcPr>
          <w:p w14:paraId="3EBC6232"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Uvaria chamae</w:t>
            </w:r>
          </w:p>
        </w:tc>
        <w:tc>
          <w:tcPr>
            <w:tcW w:w="3740" w:type="dxa"/>
            <w:tcBorders>
              <w:top w:val="nil"/>
              <w:left w:val="nil"/>
              <w:bottom w:val="nil"/>
              <w:right w:val="nil"/>
            </w:tcBorders>
            <w:shd w:val="clear" w:color="auto" w:fill="auto"/>
            <w:noWrap/>
            <w:vAlign w:val="bottom"/>
            <w:hideMark/>
          </w:tcPr>
          <w:p w14:paraId="5C0FFA3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p>
        </w:tc>
        <w:tc>
          <w:tcPr>
            <w:tcW w:w="604" w:type="dxa"/>
            <w:tcBorders>
              <w:top w:val="nil"/>
              <w:left w:val="nil"/>
              <w:bottom w:val="nil"/>
              <w:right w:val="nil"/>
            </w:tcBorders>
            <w:shd w:val="clear" w:color="auto" w:fill="auto"/>
            <w:noWrap/>
            <w:vAlign w:val="bottom"/>
            <w:hideMark/>
          </w:tcPr>
          <w:p w14:paraId="6C0013CF"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5A04CCA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052B340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576B2F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5BCE58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1DDC796C" w14:textId="77777777" w:rsidTr="00D624C0">
        <w:trPr>
          <w:trHeight w:val="315"/>
        </w:trPr>
        <w:tc>
          <w:tcPr>
            <w:tcW w:w="1200" w:type="dxa"/>
            <w:tcBorders>
              <w:top w:val="nil"/>
              <w:left w:val="nil"/>
              <w:bottom w:val="nil"/>
              <w:right w:val="nil"/>
            </w:tcBorders>
            <w:shd w:val="clear" w:color="auto" w:fill="auto"/>
            <w:noWrap/>
            <w:vAlign w:val="bottom"/>
            <w:hideMark/>
          </w:tcPr>
          <w:p w14:paraId="43CA7B66"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25</w:t>
            </w:r>
          </w:p>
        </w:tc>
        <w:tc>
          <w:tcPr>
            <w:tcW w:w="2820" w:type="dxa"/>
            <w:tcBorders>
              <w:top w:val="nil"/>
              <w:left w:val="nil"/>
              <w:bottom w:val="nil"/>
              <w:right w:val="nil"/>
            </w:tcBorders>
            <w:shd w:val="clear" w:color="auto" w:fill="auto"/>
            <w:vAlign w:val="bottom"/>
            <w:hideMark/>
          </w:tcPr>
          <w:p w14:paraId="49ECCFB8"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Cola ssp</w:t>
            </w:r>
          </w:p>
        </w:tc>
        <w:tc>
          <w:tcPr>
            <w:tcW w:w="3740" w:type="dxa"/>
            <w:tcBorders>
              <w:top w:val="nil"/>
              <w:left w:val="nil"/>
              <w:bottom w:val="nil"/>
              <w:right w:val="nil"/>
            </w:tcBorders>
            <w:shd w:val="clear" w:color="auto" w:fill="auto"/>
            <w:vAlign w:val="bottom"/>
            <w:hideMark/>
          </w:tcPr>
          <w:p w14:paraId="1CE9B39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Colatier</w:t>
            </w:r>
          </w:p>
        </w:tc>
        <w:tc>
          <w:tcPr>
            <w:tcW w:w="604" w:type="dxa"/>
            <w:tcBorders>
              <w:top w:val="nil"/>
              <w:left w:val="nil"/>
              <w:bottom w:val="nil"/>
              <w:right w:val="nil"/>
            </w:tcBorders>
            <w:shd w:val="clear" w:color="auto" w:fill="auto"/>
            <w:noWrap/>
            <w:vAlign w:val="bottom"/>
            <w:hideMark/>
          </w:tcPr>
          <w:p w14:paraId="4C9C6BD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27E2273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A0667F5"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2CEDDB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651CD32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3C9A901A" w14:textId="77777777" w:rsidTr="00D624C0">
        <w:trPr>
          <w:trHeight w:val="315"/>
        </w:trPr>
        <w:tc>
          <w:tcPr>
            <w:tcW w:w="1200" w:type="dxa"/>
            <w:tcBorders>
              <w:top w:val="nil"/>
              <w:left w:val="nil"/>
              <w:bottom w:val="nil"/>
              <w:right w:val="nil"/>
            </w:tcBorders>
            <w:shd w:val="clear" w:color="auto" w:fill="auto"/>
            <w:noWrap/>
            <w:vAlign w:val="bottom"/>
            <w:hideMark/>
          </w:tcPr>
          <w:p w14:paraId="2E2AF54F"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26</w:t>
            </w:r>
          </w:p>
        </w:tc>
        <w:tc>
          <w:tcPr>
            <w:tcW w:w="2820" w:type="dxa"/>
            <w:tcBorders>
              <w:top w:val="nil"/>
              <w:left w:val="nil"/>
              <w:bottom w:val="nil"/>
              <w:right w:val="nil"/>
            </w:tcBorders>
            <w:shd w:val="clear" w:color="auto" w:fill="auto"/>
            <w:vAlign w:val="bottom"/>
            <w:hideMark/>
          </w:tcPr>
          <w:p w14:paraId="41119FB5"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Pentadesma butyracea</w:t>
            </w:r>
          </w:p>
        </w:tc>
        <w:tc>
          <w:tcPr>
            <w:tcW w:w="3740" w:type="dxa"/>
            <w:tcBorders>
              <w:top w:val="nil"/>
              <w:left w:val="nil"/>
              <w:bottom w:val="nil"/>
              <w:right w:val="nil"/>
            </w:tcBorders>
            <w:shd w:val="clear" w:color="auto" w:fill="auto"/>
            <w:vAlign w:val="bottom"/>
            <w:hideMark/>
          </w:tcPr>
          <w:p w14:paraId="5C28AB95"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Arbre à beurre</w:t>
            </w:r>
          </w:p>
        </w:tc>
        <w:tc>
          <w:tcPr>
            <w:tcW w:w="604" w:type="dxa"/>
            <w:tcBorders>
              <w:top w:val="nil"/>
              <w:left w:val="nil"/>
              <w:bottom w:val="nil"/>
              <w:right w:val="nil"/>
            </w:tcBorders>
            <w:shd w:val="clear" w:color="auto" w:fill="auto"/>
            <w:noWrap/>
            <w:vAlign w:val="bottom"/>
            <w:hideMark/>
          </w:tcPr>
          <w:p w14:paraId="1F4B6240"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2A04F30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1AEC8C8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7FD8760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E34D9F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2FAE766D" w14:textId="77777777" w:rsidTr="00D624C0">
        <w:trPr>
          <w:trHeight w:val="345"/>
        </w:trPr>
        <w:tc>
          <w:tcPr>
            <w:tcW w:w="1200" w:type="dxa"/>
            <w:tcBorders>
              <w:top w:val="nil"/>
              <w:left w:val="nil"/>
              <w:bottom w:val="nil"/>
              <w:right w:val="nil"/>
            </w:tcBorders>
            <w:shd w:val="clear" w:color="auto" w:fill="auto"/>
            <w:noWrap/>
            <w:vAlign w:val="bottom"/>
            <w:hideMark/>
          </w:tcPr>
          <w:p w14:paraId="10971834"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27</w:t>
            </w:r>
          </w:p>
        </w:tc>
        <w:tc>
          <w:tcPr>
            <w:tcW w:w="2820" w:type="dxa"/>
            <w:tcBorders>
              <w:top w:val="nil"/>
              <w:left w:val="nil"/>
              <w:bottom w:val="nil"/>
              <w:right w:val="nil"/>
            </w:tcBorders>
            <w:shd w:val="clear" w:color="auto" w:fill="auto"/>
            <w:vAlign w:val="bottom"/>
            <w:hideMark/>
          </w:tcPr>
          <w:p w14:paraId="0F8845CE"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Phoenix reclinata</w:t>
            </w:r>
          </w:p>
        </w:tc>
        <w:tc>
          <w:tcPr>
            <w:tcW w:w="3740" w:type="dxa"/>
            <w:tcBorders>
              <w:top w:val="nil"/>
              <w:left w:val="nil"/>
              <w:bottom w:val="nil"/>
              <w:right w:val="nil"/>
            </w:tcBorders>
            <w:shd w:val="clear" w:color="auto" w:fill="auto"/>
            <w:vAlign w:val="bottom"/>
            <w:hideMark/>
          </w:tcPr>
          <w:p w14:paraId="79EAAB2D"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Palmier dattier sauvage</w:t>
            </w:r>
          </w:p>
        </w:tc>
        <w:tc>
          <w:tcPr>
            <w:tcW w:w="604" w:type="dxa"/>
            <w:tcBorders>
              <w:top w:val="nil"/>
              <w:left w:val="nil"/>
              <w:bottom w:val="nil"/>
              <w:right w:val="nil"/>
            </w:tcBorders>
            <w:shd w:val="clear" w:color="auto" w:fill="auto"/>
            <w:noWrap/>
            <w:vAlign w:val="bottom"/>
            <w:hideMark/>
          </w:tcPr>
          <w:p w14:paraId="3AB5D82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6D32454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3C98B153"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48D792C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1127673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6D8CD64B" w14:textId="77777777" w:rsidTr="00D624C0">
        <w:trPr>
          <w:trHeight w:val="315"/>
        </w:trPr>
        <w:tc>
          <w:tcPr>
            <w:tcW w:w="1200" w:type="dxa"/>
            <w:tcBorders>
              <w:top w:val="nil"/>
              <w:left w:val="nil"/>
              <w:bottom w:val="nil"/>
              <w:right w:val="nil"/>
            </w:tcBorders>
            <w:shd w:val="clear" w:color="auto" w:fill="auto"/>
            <w:noWrap/>
            <w:vAlign w:val="bottom"/>
            <w:hideMark/>
          </w:tcPr>
          <w:p w14:paraId="53021335"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28</w:t>
            </w:r>
          </w:p>
        </w:tc>
        <w:tc>
          <w:tcPr>
            <w:tcW w:w="2820" w:type="dxa"/>
            <w:tcBorders>
              <w:top w:val="nil"/>
              <w:left w:val="nil"/>
              <w:bottom w:val="nil"/>
              <w:right w:val="nil"/>
            </w:tcBorders>
            <w:shd w:val="clear" w:color="auto" w:fill="auto"/>
            <w:vAlign w:val="bottom"/>
            <w:hideMark/>
          </w:tcPr>
          <w:p w14:paraId="11A7A968"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Irvingia gabonensis</w:t>
            </w:r>
          </w:p>
        </w:tc>
        <w:tc>
          <w:tcPr>
            <w:tcW w:w="3740" w:type="dxa"/>
            <w:tcBorders>
              <w:top w:val="nil"/>
              <w:left w:val="nil"/>
              <w:bottom w:val="nil"/>
              <w:right w:val="nil"/>
            </w:tcBorders>
            <w:shd w:val="clear" w:color="auto" w:fill="auto"/>
            <w:vAlign w:val="bottom"/>
            <w:hideMark/>
          </w:tcPr>
          <w:p w14:paraId="681AA364"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Manguier sauvage</w:t>
            </w:r>
          </w:p>
        </w:tc>
        <w:tc>
          <w:tcPr>
            <w:tcW w:w="604" w:type="dxa"/>
            <w:tcBorders>
              <w:top w:val="nil"/>
              <w:left w:val="nil"/>
              <w:bottom w:val="nil"/>
              <w:right w:val="nil"/>
            </w:tcBorders>
            <w:shd w:val="clear" w:color="auto" w:fill="auto"/>
            <w:noWrap/>
            <w:vAlign w:val="bottom"/>
            <w:hideMark/>
          </w:tcPr>
          <w:p w14:paraId="60FB1E66"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1CCA1E8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1102C57E"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325F241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06F7DAA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r w:rsidR="008D3966" w:rsidRPr="008708C6" w14:paraId="49C528B1" w14:textId="77777777" w:rsidTr="00D624C0">
        <w:trPr>
          <w:trHeight w:val="315"/>
        </w:trPr>
        <w:tc>
          <w:tcPr>
            <w:tcW w:w="1200" w:type="dxa"/>
            <w:tcBorders>
              <w:top w:val="nil"/>
              <w:left w:val="nil"/>
              <w:bottom w:val="nil"/>
              <w:right w:val="nil"/>
            </w:tcBorders>
            <w:shd w:val="clear" w:color="auto" w:fill="auto"/>
            <w:noWrap/>
            <w:vAlign w:val="bottom"/>
            <w:hideMark/>
          </w:tcPr>
          <w:p w14:paraId="4F05E4F8"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29</w:t>
            </w:r>
          </w:p>
        </w:tc>
        <w:tc>
          <w:tcPr>
            <w:tcW w:w="2820" w:type="dxa"/>
            <w:tcBorders>
              <w:top w:val="nil"/>
              <w:left w:val="nil"/>
              <w:bottom w:val="nil"/>
              <w:right w:val="nil"/>
            </w:tcBorders>
            <w:shd w:val="clear" w:color="auto" w:fill="auto"/>
            <w:vAlign w:val="bottom"/>
            <w:hideMark/>
          </w:tcPr>
          <w:p w14:paraId="302DE353"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Monodora myristica</w:t>
            </w:r>
          </w:p>
        </w:tc>
        <w:tc>
          <w:tcPr>
            <w:tcW w:w="3740" w:type="dxa"/>
            <w:tcBorders>
              <w:top w:val="nil"/>
              <w:left w:val="nil"/>
              <w:bottom w:val="nil"/>
              <w:right w:val="nil"/>
            </w:tcBorders>
            <w:shd w:val="clear" w:color="auto" w:fill="auto"/>
            <w:vAlign w:val="bottom"/>
            <w:hideMark/>
          </w:tcPr>
          <w:p w14:paraId="6B76A9D6"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Faux muscadier</w:t>
            </w:r>
          </w:p>
        </w:tc>
        <w:tc>
          <w:tcPr>
            <w:tcW w:w="604" w:type="dxa"/>
            <w:tcBorders>
              <w:top w:val="nil"/>
              <w:left w:val="nil"/>
              <w:bottom w:val="nil"/>
              <w:right w:val="nil"/>
            </w:tcBorders>
            <w:shd w:val="clear" w:color="auto" w:fill="auto"/>
            <w:noWrap/>
            <w:vAlign w:val="bottom"/>
            <w:hideMark/>
          </w:tcPr>
          <w:p w14:paraId="425E69E8"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3B11CA2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348581C7"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00D084F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5A88B64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33EB98B7" w14:textId="77777777" w:rsidTr="00D624C0">
        <w:trPr>
          <w:trHeight w:val="315"/>
        </w:trPr>
        <w:tc>
          <w:tcPr>
            <w:tcW w:w="1200" w:type="dxa"/>
            <w:tcBorders>
              <w:top w:val="nil"/>
              <w:left w:val="nil"/>
              <w:bottom w:val="nil"/>
              <w:right w:val="nil"/>
            </w:tcBorders>
            <w:shd w:val="clear" w:color="auto" w:fill="auto"/>
            <w:noWrap/>
            <w:vAlign w:val="bottom"/>
            <w:hideMark/>
          </w:tcPr>
          <w:p w14:paraId="2BB6F960"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30</w:t>
            </w:r>
          </w:p>
        </w:tc>
        <w:tc>
          <w:tcPr>
            <w:tcW w:w="2820" w:type="dxa"/>
            <w:tcBorders>
              <w:top w:val="nil"/>
              <w:left w:val="nil"/>
              <w:bottom w:val="nil"/>
              <w:right w:val="nil"/>
            </w:tcBorders>
            <w:shd w:val="clear" w:color="auto" w:fill="auto"/>
            <w:vAlign w:val="bottom"/>
            <w:hideMark/>
          </w:tcPr>
          <w:p w14:paraId="2589A102"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Arial" w:hAnsi="Times New Roman" w:cs="Times New Roman"/>
                <w:i/>
                <w:iCs/>
                <w:color w:val="000000"/>
                <w:sz w:val="24"/>
                <w:szCs w:val="24"/>
                <w:lang w:eastAsia="fr-FR"/>
              </w:rPr>
              <w:t>Garcinia kola</w:t>
            </w:r>
          </w:p>
        </w:tc>
        <w:tc>
          <w:tcPr>
            <w:tcW w:w="3740" w:type="dxa"/>
            <w:tcBorders>
              <w:top w:val="nil"/>
              <w:left w:val="nil"/>
              <w:bottom w:val="nil"/>
              <w:right w:val="nil"/>
            </w:tcBorders>
            <w:shd w:val="clear" w:color="auto" w:fill="auto"/>
            <w:vAlign w:val="bottom"/>
            <w:hideMark/>
          </w:tcPr>
          <w:p w14:paraId="2BF287FE"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Arial" w:hAnsi="Times New Roman" w:cs="Times New Roman"/>
                <w:color w:val="000000"/>
                <w:sz w:val="24"/>
                <w:szCs w:val="24"/>
                <w:lang w:eastAsia="fr-FR"/>
              </w:rPr>
              <w:t>Petit cola</w:t>
            </w:r>
          </w:p>
        </w:tc>
        <w:tc>
          <w:tcPr>
            <w:tcW w:w="604" w:type="dxa"/>
            <w:tcBorders>
              <w:top w:val="nil"/>
              <w:left w:val="nil"/>
              <w:bottom w:val="nil"/>
              <w:right w:val="nil"/>
            </w:tcBorders>
            <w:shd w:val="clear" w:color="auto" w:fill="auto"/>
            <w:noWrap/>
            <w:vAlign w:val="bottom"/>
            <w:hideMark/>
          </w:tcPr>
          <w:p w14:paraId="1257F2F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530FCEF5"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20836AD1"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6CA5974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27A9B0A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7DE44A9A" w14:textId="77777777" w:rsidTr="00D624C0">
        <w:trPr>
          <w:trHeight w:val="315"/>
        </w:trPr>
        <w:tc>
          <w:tcPr>
            <w:tcW w:w="1200" w:type="dxa"/>
            <w:tcBorders>
              <w:top w:val="nil"/>
              <w:left w:val="nil"/>
              <w:bottom w:val="nil"/>
              <w:right w:val="nil"/>
            </w:tcBorders>
            <w:shd w:val="clear" w:color="auto" w:fill="auto"/>
            <w:noWrap/>
            <w:vAlign w:val="bottom"/>
            <w:hideMark/>
          </w:tcPr>
          <w:p w14:paraId="704E8356"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31</w:t>
            </w:r>
          </w:p>
        </w:tc>
        <w:tc>
          <w:tcPr>
            <w:tcW w:w="2820" w:type="dxa"/>
            <w:tcBorders>
              <w:top w:val="nil"/>
              <w:left w:val="nil"/>
              <w:bottom w:val="nil"/>
              <w:right w:val="nil"/>
            </w:tcBorders>
            <w:shd w:val="clear" w:color="auto" w:fill="auto"/>
            <w:noWrap/>
            <w:vAlign w:val="bottom"/>
            <w:hideMark/>
          </w:tcPr>
          <w:p w14:paraId="0F1178CD"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Ancytrobotrys amoena</w:t>
            </w:r>
          </w:p>
        </w:tc>
        <w:tc>
          <w:tcPr>
            <w:tcW w:w="3740" w:type="dxa"/>
            <w:tcBorders>
              <w:top w:val="nil"/>
              <w:left w:val="nil"/>
              <w:bottom w:val="nil"/>
              <w:right w:val="nil"/>
            </w:tcBorders>
            <w:shd w:val="clear" w:color="auto" w:fill="auto"/>
            <w:noWrap/>
            <w:vAlign w:val="bottom"/>
            <w:hideMark/>
          </w:tcPr>
          <w:p w14:paraId="2C53FC02"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p>
        </w:tc>
        <w:tc>
          <w:tcPr>
            <w:tcW w:w="604" w:type="dxa"/>
            <w:tcBorders>
              <w:top w:val="nil"/>
              <w:left w:val="nil"/>
              <w:bottom w:val="nil"/>
              <w:right w:val="nil"/>
            </w:tcBorders>
            <w:shd w:val="clear" w:color="auto" w:fill="auto"/>
            <w:noWrap/>
            <w:vAlign w:val="bottom"/>
            <w:hideMark/>
          </w:tcPr>
          <w:p w14:paraId="2CF7A0A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8" w:type="dxa"/>
            <w:tcBorders>
              <w:top w:val="nil"/>
              <w:left w:val="nil"/>
              <w:bottom w:val="nil"/>
              <w:right w:val="nil"/>
            </w:tcBorders>
            <w:shd w:val="clear" w:color="auto" w:fill="auto"/>
            <w:noWrap/>
            <w:vAlign w:val="bottom"/>
            <w:hideMark/>
          </w:tcPr>
          <w:p w14:paraId="32DB354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1E96F1DB"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c>
          <w:tcPr>
            <w:tcW w:w="709" w:type="dxa"/>
            <w:tcBorders>
              <w:top w:val="nil"/>
              <w:left w:val="nil"/>
              <w:bottom w:val="nil"/>
              <w:right w:val="nil"/>
            </w:tcBorders>
            <w:shd w:val="clear" w:color="auto" w:fill="auto"/>
            <w:noWrap/>
            <w:vAlign w:val="bottom"/>
            <w:hideMark/>
          </w:tcPr>
          <w:p w14:paraId="1FC91FF9"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nil"/>
              <w:right w:val="nil"/>
            </w:tcBorders>
            <w:shd w:val="clear" w:color="auto" w:fill="auto"/>
            <w:noWrap/>
            <w:vAlign w:val="bottom"/>
            <w:hideMark/>
          </w:tcPr>
          <w:p w14:paraId="01DC5CE4"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p>
        </w:tc>
      </w:tr>
      <w:tr w:rsidR="008D3966" w:rsidRPr="008708C6" w14:paraId="492094DF" w14:textId="77777777" w:rsidTr="00D624C0">
        <w:trPr>
          <w:trHeight w:val="315"/>
        </w:trPr>
        <w:tc>
          <w:tcPr>
            <w:tcW w:w="1200" w:type="dxa"/>
            <w:tcBorders>
              <w:top w:val="nil"/>
              <w:left w:val="nil"/>
              <w:bottom w:val="single" w:sz="4" w:space="0" w:color="auto"/>
              <w:right w:val="nil"/>
            </w:tcBorders>
            <w:shd w:val="clear" w:color="auto" w:fill="auto"/>
            <w:noWrap/>
            <w:vAlign w:val="bottom"/>
            <w:hideMark/>
          </w:tcPr>
          <w:p w14:paraId="3A0EE37E" w14:textId="77777777" w:rsidR="008D3966" w:rsidRPr="008708C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32</w:t>
            </w:r>
          </w:p>
        </w:tc>
        <w:tc>
          <w:tcPr>
            <w:tcW w:w="2820" w:type="dxa"/>
            <w:tcBorders>
              <w:top w:val="nil"/>
              <w:left w:val="nil"/>
              <w:bottom w:val="single" w:sz="4" w:space="0" w:color="auto"/>
              <w:right w:val="nil"/>
            </w:tcBorders>
            <w:shd w:val="clear" w:color="auto" w:fill="auto"/>
            <w:noWrap/>
            <w:vAlign w:val="bottom"/>
            <w:hideMark/>
          </w:tcPr>
          <w:p w14:paraId="683A38C1" w14:textId="77777777" w:rsidR="008D3966" w:rsidRPr="008708C6" w:rsidRDefault="008D3966" w:rsidP="00D624C0">
            <w:pPr>
              <w:spacing w:after="0" w:line="240" w:lineRule="auto"/>
              <w:rPr>
                <w:rFonts w:ascii="Times New Roman" w:eastAsia="Times New Roman" w:hAnsi="Times New Roman" w:cs="Times New Roman"/>
                <w:i/>
                <w:iCs/>
                <w:color w:val="000000"/>
                <w:sz w:val="24"/>
                <w:szCs w:val="24"/>
                <w:lang w:eastAsia="fr-FR"/>
              </w:rPr>
            </w:pPr>
            <w:r w:rsidRPr="008708C6">
              <w:rPr>
                <w:rFonts w:ascii="Times New Roman" w:eastAsia="Times New Roman" w:hAnsi="Times New Roman" w:cs="Times New Roman"/>
                <w:i/>
                <w:iCs/>
                <w:color w:val="000000"/>
                <w:sz w:val="24"/>
                <w:szCs w:val="24"/>
                <w:lang w:eastAsia="fr-FR"/>
              </w:rPr>
              <w:t>Ximenia americana</w:t>
            </w:r>
          </w:p>
        </w:tc>
        <w:tc>
          <w:tcPr>
            <w:tcW w:w="3740" w:type="dxa"/>
            <w:tcBorders>
              <w:top w:val="nil"/>
              <w:left w:val="nil"/>
              <w:bottom w:val="single" w:sz="4" w:space="0" w:color="auto"/>
              <w:right w:val="nil"/>
            </w:tcBorders>
            <w:shd w:val="clear" w:color="auto" w:fill="auto"/>
            <w:noWrap/>
            <w:vAlign w:val="bottom"/>
            <w:hideMark/>
          </w:tcPr>
          <w:p w14:paraId="1CA0381B" w14:textId="77777777" w:rsidR="008D3966" w:rsidRPr="008708C6" w:rsidRDefault="008D3966" w:rsidP="00D624C0">
            <w:pPr>
              <w:spacing w:after="0" w:line="240" w:lineRule="auto"/>
              <w:rPr>
                <w:rFonts w:ascii="Times New Roman" w:eastAsia="Times New Roman" w:hAnsi="Times New Roman" w:cs="Times New Roman"/>
                <w:color w:val="000000"/>
                <w:sz w:val="24"/>
                <w:szCs w:val="24"/>
                <w:lang w:eastAsia="fr-FR"/>
              </w:rPr>
            </w:pPr>
            <w:r w:rsidRPr="008708C6">
              <w:rPr>
                <w:rFonts w:ascii="Times New Roman" w:eastAsia="Times New Roman" w:hAnsi="Times New Roman" w:cs="Times New Roman"/>
                <w:color w:val="000000"/>
                <w:sz w:val="24"/>
                <w:szCs w:val="24"/>
                <w:lang w:eastAsia="fr-FR"/>
              </w:rPr>
              <w:t> </w:t>
            </w:r>
          </w:p>
        </w:tc>
        <w:tc>
          <w:tcPr>
            <w:tcW w:w="604" w:type="dxa"/>
            <w:tcBorders>
              <w:top w:val="nil"/>
              <w:left w:val="nil"/>
              <w:bottom w:val="single" w:sz="4" w:space="0" w:color="auto"/>
              <w:right w:val="nil"/>
            </w:tcBorders>
            <w:shd w:val="clear" w:color="auto" w:fill="auto"/>
            <w:noWrap/>
            <w:vAlign w:val="bottom"/>
            <w:hideMark/>
          </w:tcPr>
          <w:p w14:paraId="49951E2D"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8" w:type="dxa"/>
            <w:tcBorders>
              <w:top w:val="nil"/>
              <w:left w:val="nil"/>
              <w:bottom w:val="single" w:sz="4" w:space="0" w:color="auto"/>
              <w:right w:val="nil"/>
            </w:tcBorders>
            <w:shd w:val="clear" w:color="auto" w:fill="auto"/>
            <w:noWrap/>
            <w:vAlign w:val="bottom"/>
            <w:hideMark/>
          </w:tcPr>
          <w:p w14:paraId="78B3914A"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single" w:sz="4" w:space="0" w:color="auto"/>
              <w:right w:val="nil"/>
            </w:tcBorders>
            <w:shd w:val="clear" w:color="auto" w:fill="auto"/>
            <w:noWrap/>
            <w:vAlign w:val="bottom"/>
            <w:hideMark/>
          </w:tcPr>
          <w:p w14:paraId="1BD9C82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single" w:sz="4" w:space="0" w:color="auto"/>
              <w:right w:val="nil"/>
            </w:tcBorders>
            <w:shd w:val="clear" w:color="auto" w:fill="auto"/>
            <w:noWrap/>
            <w:vAlign w:val="bottom"/>
            <w:hideMark/>
          </w:tcPr>
          <w:p w14:paraId="0CDF8AC2"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c>
          <w:tcPr>
            <w:tcW w:w="709" w:type="dxa"/>
            <w:tcBorders>
              <w:top w:val="nil"/>
              <w:left w:val="nil"/>
              <w:bottom w:val="single" w:sz="4" w:space="0" w:color="auto"/>
              <w:right w:val="nil"/>
            </w:tcBorders>
            <w:shd w:val="clear" w:color="auto" w:fill="auto"/>
            <w:noWrap/>
            <w:vAlign w:val="bottom"/>
            <w:hideMark/>
          </w:tcPr>
          <w:p w14:paraId="76DAF61C" w14:textId="77777777" w:rsidR="008D3966" w:rsidRPr="008708C6" w:rsidRDefault="008D3966" w:rsidP="00D624C0">
            <w:pPr>
              <w:spacing w:after="0" w:line="240" w:lineRule="auto"/>
              <w:rPr>
                <w:rFonts w:ascii="Times New Roman" w:eastAsia="Times New Roman" w:hAnsi="Times New Roman" w:cs="Times New Roman"/>
                <w:b/>
                <w:bCs/>
                <w:color w:val="000000"/>
                <w:sz w:val="24"/>
                <w:szCs w:val="24"/>
                <w:lang w:eastAsia="fr-FR"/>
              </w:rPr>
            </w:pPr>
            <w:r w:rsidRPr="008708C6">
              <w:rPr>
                <w:rFonts w:ascii="Times New Roman" w:eastAsia="Times New Roman" w:hAnsi="Times New Roman" w:cs="Times New Roman"/>
                <w:b/>
                <w:bCs/>
                <w:color w:val="000000"/>
                <w:sz w:val="24"/>
                <w:szCs w:val="24"/>
                <w:lang w:eastAsia="fr-FR"/>
              </w:rPr>
              <w:t>X</w:t>
            </w:r>
          </w:p>
        </w:tc>
      </w:tr>
    </w:tbl>
    <w:p w14:paraId="01FBFCDE" w14:textId="77777777" w:rsidR="00F52EF3" w:rsidRPr="008D3966" w:rsidRDefault="00F52EF3" w:rsidP="008D3966">
      <w:pPr>
        <w:spacing w:after="0" w:line="240" w:lineRule="auto"/>
        <w:rPr>
          <w:rFonts w:ascii="Times New Roman" w:eastAsia="Times New Roman" w:hAnsi="Times New Roman" w:cs="Times New Roman"/>
          <w:sz w:val="24"/>
          <w:szCs w:val="24"/>
        </w:rPr>
      </w:pPr>
      <w:r w:rsidRPr="008D3966">
        <w:rPr>
          <w:rFonts w:ascii="Times New Roman" w:eastAsia="Times New Roman" w:hAnsi="Times New Roman" w:cs="Times New Roman"/>
          <w:sz w:val="24"/>
          <w:szCs w:val="24"/>
        </w:rPr>
        <w:t>Source : (FAO, 2018)</w:t>
      </w:r>
    </w:p>
    <w:p w14:paraId="3B20798F" w14:textId="77777777" w:rsidR="00F52EF3" w:rsidRPr="008D3966" w:rsidRDefault="00F52EF3" w:rsidP="008D3966">
      <w:pPr>
        <w:spacing w:after="0" w:line="240" w:lineRule="auto"/>
        <w:ind w:left="180"/>
        <w:rPr>
          <w:rFonts w:ascii="Times New Roman" w:eastAsia="Arial" w:hAnsi="Times New Roman" w:cs="Times New Roman"/>
          <w:b/>
          <w:sz w:val="24"/>
          <w:szCs w:val="24"/>
        </w:rPr>
      </w:pPr>
    </w:p>
    <w:p w14:paraId="67E44388" w14:textId="77777777" w:rsidR="00F52EF3" w:rsidRPr="008D3966" w:rsidRDefault="00F52EF3" w:rsidP="00E50666">
      <w:pPr>
        <w:pStyle w:val="Paragraphedeliste"/>
        <w:numPr>
          <w:ilvl w:val="0"/>
          <w:numId w:val="11"/>
        </w:numPr>
        <w:spacing w:after="0" w:line="240" w:lineRule="auto"/>
        <w:rPr>
          <w:rFonts w:ascii="Times New Roman" w:eastAsia="Arial" w:hAnsi="Times New Roman" w:cs="Times New Roman"/>
          <w:b/>
          <w:sz w:val="24"/>
          <w:szCs w:val="24"/>
        </w:rPr>
      </w:pPr>
      <w:r w:rsidRPr="008D3966">
        <w:rPr>
          <w:rFonts w:ascii="Times New Roman" w:eastAsia="Arial" w:hAnsi="Times New Roman" w:cs="Times New Roman"/>
          <w:b/>
          <w:sz w:val="24"/>
          <w:szCs w:val="24"/>
        </w:rPr>
        <w:t>Espèces dont les graines sont transformées en beurre ou en huile</w:t>
      </w:r>
    </w:p>
    <w:p w14:paraId="3AFFAE6B" w14:textId="77777777" w:rsidR="00F52EF3" w:rsidRPr="008063D4" w:rsidRDefault="00F52EF3" w:rsidP="00254C9C">
      <w:pPr>
        <w:spacing w:after="0" w:line="240" w:lineRule="auto"/>
        <w:rPr>
          <w:rFonts w:ascii="Times New Roman" w:eastAsia="Times New Roman" w:hAnsi="Times New Roman" w:cs="Times New Roman"/>
          <w:sz w:val="24"/>
          <w:szCs w:val="24"/>
        </w:rPr>
      </w:pPr>
    </w:p>
    <w:p w14:paraId="7DD31BEE" w14:textId="4142C3D1" w:rsidR="00F52EF3" w:rsidRDefault="00F52EF3" w:rsidP="00254C9C">
      <w:pPr>
        <w:spacing w:after="0" w:line="240" w:lineRule="auto"/>
        <w:ind w:left="180" w:right="160"/>
        <w:jc w:val="both"/>
        <w:rPr>
          <w:rFonts w:ascii="Times New Roman" w:eastAsia="Arial" w:hAnsi="Times New Roman" w:cs="Times New Roman"/>
          <w:sz w:val="24"/>
          <w:szCs w:val="24"/>
        </w:rPr>
      </w:pPr>
      <w:r w:rsidRPr="008063D4">
        <w:rPr>
          <w:rFonts w:ascii="Times New Roman" w:hAnsi="Times New Roman" w:cs="Times New Roman"/>
          <w:sz w:val="24"/>
          <w:szCs w:val="24"/>
          <w:shd w:val="clear" w:color="auto" w:fill="FFFFFF"/>
        </w:rPr>
        <w:t>On note l</w:t>
      </w:r>
      <w:r w:rsidR="00720D07">
        <w:rPr>
          <w:rFonts w:ascii="Times New Roman" w:hAnsi="Times New Roman" w:cs="Times New Roman"/>
          <w:sz w:val="24"/>
          <w:szCs w:val="24"/>
          <w:shd w:val="clear" w:color="auto" w:fill="FFFFFF"/>
        </w:rPr>
        <w:t>a transformation des produits</w:t>
      </w:r>
      <w:r w:rsidRPr="008063D4">
        <w:rPr>
          <w:rFonts w:ascii="Times New Roman" w:hAnsi="Times New Roman" w:cs="Times New Roman"/>
          <w:sz w:val="24"/>
          <w:szCs w:val="24"/>
          <w:shd w:val="clear" w:color="auto" w:fill="FFFFFF"/>
        </w:rPr>
        <w:t xml:space="preserve"> cru</w:t>
      </w:r>
      <w:r w:rsidR="00720D07">
        <w:rPr>
          <w:rFonts w:ascii="Times New Roman" w:hAnsi="Times New Roman" w:cs="Times New Roman"/>
          <w:sz w:val="24"/>
          <w:szCs w:val="24"/>
          <w:shd w:val="clear" w:color="auto" w:fill="FFFFFF"/>
        </w:rPr>
        <w:t>s</w:t>
      </w:r>
      <w:r w:rsidRPr="008063D4">
        <w:rPr>
          <w:rFonts w:ascii="Times New Roman" w:hAnsi="Times New Roman" w:cs="Times New Roman"/>
          <w:sz w:val="24"/>
          <w:szCs w:val="24"/>
          <w:shd w:val="clear" w:color="auto" w:fill="FFFFFF"/>
        </w:rPr>
        <w:t xml:space="preserve"> tels que les graines de néré</w:t>
      </w:r>
      <w:r w:rsidR="00720D07">
        <w:rPr>
          <w:rFonts w:ascii="Times New Roman" w:hAnsi="Times New Roman" w:cs="Times New Roman"/>
          <w:sz w:val="24"/>
          <w:szCs w:val="24"/>
          <w:shd w:val="clear" w:color="auto" w:fill="FFFFFF"/>
        </w:rPr>
        <w:t xml:space="preserve">, de nîme, et </w:t>
      </w:r>
      <w:r w:rsidRPr="008063D4">
        <w:rPr>
          <w:rFonts w:ascii="Times New Roman" w:hAnsi="Times New Roman" w:cs="Times New Roman"/>
          <w:sz w:val="24"/>
          <w:szCs w:val="24"/>
          <w:shd w:val="clear" w:color="auto" w:fill="FFFFFF"/>
        </w:rPr>
        <w:t xml:space="preserve">les amandes de karité qui sont respectivement transformées en moutarde de néré, en huile de nîme et en beurre de karité </w:t>
      </w:r>
      <w:r w:rsidRPr="008063D4">
        <w:rPr>
          <w:rFonts w:ascii="Times New Roman" w:hAnsi="Times New Roman" w:cs="Times New Roman"/>
          <w:sz w:val="24"/>
          <w:szCs w:val="24"/>
        </w:rPr>
        <w:t>dont les revenus sont estimés à 85 000 F CFA par an pour le paysan (Aléza, 2010).</w:t>
      </w:r>
      <w:r w:rsidRPr="008063D4">
        <w:rPr>
          <w:rFonts w:ascii="Times New Roman" w:hAnsi="Times New Roman" w:cs="Times New Roman"/>
          <w:sz w:val="24"/>
          <w:szCs w:val="24"/>
          <w:shd w:val="clear" w:color="auto" w:fill="FFFFFF"/>
        </w:rPr>
        <w:t xml:space="preserve"> Les transformateurs de ces produits sont les femmes et l’entreprise UGKo située</w:t>
      </w:r>
      <w:r w:rsidR="00720D07">
        <w:rPr>
          <w:rFonts w:ascii="Times New Roman" w:hAnsi="Times New Roman" w:cs="Times New Roman"/>
          <w:sz w:val="24"/>
          <w:szCs w:val="24"/>
          <w:shd w:val="clear" w:color="auto" w:fill="FFFFFF"/>
        </w:rPr>
        <w:t xml:space="preserve"> dans la région des Savanes (FAO</w:t>
      </w:r>
      <w:r w:rsidRPr="008063D4">
        <w:rPr>
          <w:rFonts w:ascii="Times New Roman" w:hAnsi="Times New Roman" w:cs="Times New Roman"/>
          <w:sz w:val="24"/>
          <w:szCs w:val="24"/>
          <w:shd w:val="clear" w:color="auto" w:fill="FFFFFF"/>
        </w:rPr>
        <w:t xml:space="preserve">, 2007). On note aussi </w:t>
      </w:r>
      <w:r w:rsidRPr="008063D4">
        <w:rPr>
          <w:rFonts w:ascii="Times New Roman" w:eastAsia="Arial" w:hAnsi="Times New Roman" w:cs="Times New Roman"/>
          <w:sz w:val="24"/>
          <w:szCs w:val="24"/>
        </w:rPr>
        <w:t xml:space="preserve">la production de beurre à partir de </w:t>
      </w:r>
      <w:r w:rsidRPr="008063D4">
        <w:rPr>
          <w:rFonts w:ascii="Times New Roman" w:eastAsia="Arial" w:hAnsi="Times New Roman" w:cs="Times New Roman"/>
          <w:i/>
          <w:sz w:val="24"/>
          <w:szCs w:val="24"/>
        </w:rPr>
        <w:t xml:space="preserve">Pentadesma butyracea </w:t>
      </w:r>
      <w:r w:rsidRPr="008063D4">
        <w:rPr>
          <w:rFonts w:ascii="Times New Roman" w:eastAsia="Arial" w:hAnsi="Times New Roman" w:cs="Times New Roman"/>
          <w:sz w:val="24"/>
          <w:szCs w:val="24"/>
        </w:rPr>
        <w:t xml:space="preserve">et d’huile à partir des graines transformées de </w:t>
      </w:r>
      <w:r w:rsidRPr="008063D4">
        <w:rPr>
          <w:rFonts w:ascii="Times New Roman" w:eastAsia="Arial" w:hAnsi="Times New Roman" w:cs="Times New Roman"/>
          <w:i/>
          <w:sz w:val="24"/>
          <w:szCs w:val="24"/>
        </w:rPr>
        <w:t xml:space="preserve">Elaeis guineensis </w:t>
      </w:r>
      <w:r w:rsidRPr="008063D4">
        <w:rPr>
          <w:rFonts w:ascii="Times New Roman" w:eastAsia="Arial" w:hAnsi="Times New Roman" w:cs="Times New Roman"/>
          <w:sz w:val="24"/>
          <w:szCs w:val="24"/>
        </w:rPr>
        <w:t xml:space="preserve">et </w:t>
      </w:r>
      <w:r w:rsidRPr="008063D4">
        <w:rPr>
          <w:rFonts w:ascii="Times New Roman" w:eastAsia="Arial" w:hAnsi="Times New Roman" w:cs="Times New Roman"/>
          <w:i/>
          <w:sz w:val="24"/>
          <w:szCs w:val="24"/>
        </w:rPr>
        <w:t>Bombax costatum</w:t>
      </w:r>
      <w:r w:rsidR="00C23E0C">
        <w:rPr>
          <w:rFonts w:ascii="Times New Roman" w:eastAsia="Arial" w:hAnsi="Times New Roman" w:cs="Times New Roman"/>
          <w:sz w:val="24"/>
          <w:szCs w:val="24"/>
        </w:rPr>
        <w:t xml:space="preserve"> t</w:t>
      </w:r>
      <w:r w:rsidR="00B8641F">
        <w:rPr>
          <w:rFonts w:ascii="Times New Roman" w:eastAsia="Arial" w:hAnsi="Times New Roman" w:cs="Times New Roman"/>
          <w:sz w:val="24"/>
          <w:szCs w:val="24"/>
        </w:rPr>
        <w:t>ransformées.</w:t>
      </w:r>
    </w:p>
    <w:p w14:paraId="26E36A3B" w14:textId="77777777" w:rsidR="00B8641F" w:rsidRPr="008063D4" w:rsidRDefault="00B8641F" w:rsidP="00254C9C">
      <w:pPr>
        <w:spacing w:after="0" w:line="240" w:lineRule="auto"/>
        <w:ind w:left="180" w:right="160"/>
        <w:jc w:val="both"/>
        <w:rPr>
          <w:rFonts w:ascii="Times New Roman" w:eastAsia="Arial" w:hAnsi="Times New Roman" w:cs="Times New Roman"/>
          <w:sz w:val="24"/>
          <w:szCs w:val="24"/>
        </w:rPr>
      </w:pPr>
    </w:p>
    <w:p w14:paraId="7D6F1B24" w14:textId="77777777" w:rsidR="00F52EF3" w:rsidRPr="008063D4" w:rsidRDefault="00F52EF3" w:rsidP="00E50666">
      <w:pPr>
        <w:pStyle w:val="Paragraphedeliste"/>
        <w:numPr>
          <w:ilvl w:val="0"/>
          <w:numId w:val="11"/>
        </w:numPr>
        <w:spacing w:after="0" w:line="240" w:lineRule="auto"/>
        <w:rPr>
          <w:rFonts w:ascii="Times New Roman" w:eastAsia="Arial" w:hAnsi="Times New Roman" w:cs="Times New Roman"/>
          <w:b/>
          <w:sz w:val="24"/>
          <w:szCs w:val="24"/>
        </w:rPr>
      </w:pPr>
      <w:r w:rsidRPr="008063D4">
        <w:rPr>
          <w:rFonts w:ascii="Times New Roman" w:eastAsia="Arial" w:hAnsi="Times New Roman" w:cs="Times New Roman"/>
          <w:b/>
          <w:sz w:val="24"/>
          <w:szCs w:val="24"/>
        </w:rPr>
        <w:t>Espèces servant dans l’extraction de vins</w:t>
      </w:r>
    </w:p>
    <w:p w14:paraId="2A713FBF" w14:textId="77777777" w:rsidR="00B8641F" w:rsidRDefault="00B8641F" w:rsidP="00254C9C">
      <w:pPr>
        <w:spacing w:after="0" w:line="240" w:lineRule="auto"/>
        <w:ind w:left="180" w:right="180"/>
        <w:jc w:val="both"/>
        <w:rPr>
          <w:rFonts w:ascii="Times New Roman" w:eastAsia="Arial" w:hAnsi="Times New Roman" w:cs="Times New Roman"/>
          <w:sz w:val="24"/>
          <w:szCs w:val="24"/>
        </w:rPr>
      </w:pPr>
    </w:p>
    <w:p w14:paraId="55A74C0A" w14:textId="395EF01C" w:rsidR="00F52EF3" w:rsidRPr="008063D4" w:rsidRDefault="00F52EF3" w:rsidP="00254C9C">
      <w:pPr>
        <w:spacing w:after="0" w:line="240" w:lineRule="auto"/>
        <w:ind w:left="180" w:right="180"/>
        <w:jc w:val="both"/>
        <w:rPr>
          <w:rFonts w:ascii="Times New Roman" w:eastAsia="Arial" w:hAnsi="Times New Roman" w:cs="Times New Roman"/>
          <w:i/>
          <w:sz w:val="24"/>
          <w:szCs w:val="24"/>
        </w:rPr>
      </w:pPr>
      <w:r w:rsidRPr="008063D4">
        <w:rPr>
          <w:rFonts w:ascii="Times New Roman" w:eastAsia="Arial" w:hAnsi="Times New Roman" w:cs="Times New Roman"/>
          <w:sz w:val="24"/>
          <w:szCs w:val="24"/>
        </w:rPr>
        <w:t>Plusieurs espèces de la famille des A</w:t>
      </w:r>
      <w:r w:rsidRPr="00C23E0C">
        <w:rPr>
          <w:rFonts w:ascii="Times New Roman" w:eastAsia="Arial" w:hAnsi="Times New Roman" w:cs="Times New Roman"/>
          <w:sz w:val="24"/>
          <w:szCs w:val="24"/>
        </w:rPr>
        <w:t>recaceae</w:t>
      </w:r>
      <w:r w:rsidRPr="008063D4">
        <w:rPr>
          <w:rFonts w:ascii="Times New Roman" w:eastAsia="Arial" w:hAnsi="Times New Roman" w:cs="Times New Roman"/>
          <w:sz w:val="24"/>
          <w:szCs w:val="24"/>
        </w:rPr>
        <w:t xml:space="preserve"> sont utilisées dans l’alimentation pour leur sève. Extraite, la sève sert de vin. Les espèces servant dans l’extraction de vins sont </w:t>
      </w:r>
      <w:r w:rsidRPr="008063D4">
        <w:rPr>
          <w:rFonts w:ascii="Times New Roman" w:eastAsia="Arial" w:hAnsi="Times New Roman" w:cs="Times New Roman"/>
          <w:i/>
          <w:sz w:val="24"/>
          <w:szCs w:val="24"/>
        </w:rPr>
        <w:t>Elaeis</w:t>
      </w:r>
      <w:r w:rsidR="00720D07">
        <w:rPr>
          <w:rFonts w:ascii="Times New Roman" w:eastAsia="Arial" w:hAnsi="Times New Roman" w:cs="Times New Roman"/>
          <w:i/>
          <w:sz w:val="24"/>
          <w:szCs w:val="24"/>
        </w:rPr>
        <w:t xml:space="preserve"> </w:t>
      </w:r>
      <w:r w:rsidRPr="008063D4">
        <w:rPr>
          <w:rFonts w:ascii="Times New Roman" w:eastAsia="Arial" w:hAnsi="Times New Roman" w:cs="Times New Roman"/>
          <w:i/>
          <w:sz w:val="24"/>
          <w:szCs w:val="24"/>
        </w:rPr>
        <w:t>guineensis et Raphia spp.</w:t>
      </w:r>
    </w:p>
    <w:p w14:paraId="0E1D0AAE" w14:textId="77777777" w:rsidR="009777ED" w:rsidRDefault="009777ED" w:rsidP="00254C9C">
      <w:pPr>
        <w:spacing w:after="0" w:line="240" w:lineRule="auto"/>
        <w:ind w:left="180"/>
        <w:rPr>
          <w:rFonts w:ascii="Times New Roman" w:hAnsi="Times New Roman" w:cs="Times New Roman"/>
          <w:b/>
          <w:sz w:val="24"/>
          <w:szCs w:val="24"/>
          <w:lang w:eastAsia="fr-FR"/>
        </w:rPr>
      </w:pPr>
    </w:p>
    <w:p w14:paraId="0B2F7008" w14:textId="77777777" w:rsidR="00F52EF3" w:rsidRPr="00256E0E" w:rsidRDefault="00F52EF3" w:rsidP="00254C9C">
      <w:pPr>
        <w:spacing w:after="0" w:line="240" w:lineRule="auto"/>
        <w:ind w:left="180"/>
        <w:rPr>
          <w:rFonts w:ascii="Times New Roman" w:eastAsia="Arial" w:hAnsi="Times New Roman" w:cs="Times New Roman"/>
          <w:b/>
          <w:i/>
          <w:sz w:val="24"/>
          <w:szCs w:val="24"/>
        </w:rPr>
      </w:pPr>
      <w:r w:rsidRPr="00256E0E">
        <w:rPr>
          <w:rFonts w:ascii="Times New Roman" w:eastAsia="Arial" w:hAnsi="Times New Roman" w:cs="Times New Roman"/>
          <w:b/>
          <w:i/>
          <w:sz w:val="24"/>
          <w:szCs w:val="24"/>
        </w:rPr>
        <w:t>Plantes médicinales</w:t>
      </w:r>
    </w:p>
    <w:p w14:paraId="35E9ACF0" w14:textId="77777777" w:rsidR="00B8641F" w:rsidRDefault="00B8641F" w:rsidP="00254C9C">
      <w:pPr>
        <w:spacing w:after="0" w:line="240" w:lineRule="auto"/>
        <w:ind w:left="180" w:right="180"/>
        <w:jc w:val="both"/>
        <w:rPr>
          <w:rFonts w:ascii="Times New Roman" w:eastAsia="Arial" w:hAnsi="Times New Roman" w:cs="Times New Roman"/>
          <w:sz w:val="24"/>
          <w:szCs w:val="24"/>
        </w:rPr>
      </w:pPr>
    </w:p>
    <w:p w14:paraId="609C3858" w14:textId="7A1A60C0" w:rsidR="00F52EF3" w:rsidRPr="008063D4" w:rsidRDefault="00F52EF3" w:rsidP="00254C9C">
      <w:pPr>
        <w:spacing w:after="0" w:line="240" w:lineRule="auto"/>
        <w:ind w:left="180" w:right="180"/>
        <w:jc w:val="both"/>
        <w:rPr>
          <w:rFonts w:ascii="Times New Roman" w:eastAsia="Arial" w:hAnsi="Times New Roman" w:cs="Times New Roman"/>
          <w:sz w:val="24"/>
          <w:szCs w:val="24"/>
        </w:rPr>
      </w:pPr>
      <w:r w:rsidRPr="008063D4">
        <w:rPr>
          <w:rFonts w:ascii="Times New Roman" w:eastAsia="Arial" w:hAnsi="Times New Roman" w:cs="Times New Roman"/>
          <w:sz w:val="24"/>
          <w:szCs w:val="24"/>
        </w:rPr>
        <w:t xml:space="preserve">En dehors des usages alimentaires, les populations recourent aux plantes pour leurs soins de santé. Les organes prélevés sont entre autres les feuilles, les rameaux feuillus, les tiges, les racines ou les graines. C’est </w:t>
      </w:r>
      <w:r w:rsidRPr="008063D4">
        <w:rPr>
          <w:rFonts w:ascii="Times New Roman" w:hAnsi="Times New Roman" w:cs="Times New Roman"/>
          <w:sz w:val="24"/>
          <w:szCs w:val="24"/>
        </w:rPr>
        <w:t>ainsi que les organes de plusieurs plantes (écorces, feuilles, racines</w:t>
      </w:r>
      <w:r w:rsidR="00720D07">
        <w:rPr>
          <w:rFonts w:ascii="Times New Roman" w:hAnsi="Times New Roman" w:cs="Times New Roman"/>
          <w:sz w:val="24"/>
          <w:szCs w:val="24"/>
        </w:rPr>
        <w:t>,</w:t>
      </w:r>
      <w:r w:rsidRPr="008063D4">
        <w:rPr>
          <w:rFonts w:ascii="Times New Roman" w:hAnsi="Times New Roman" w:cs="Times New Roman"/>
          <w:sz w:val="24"/>
          <w:szCs w:val="24"/>
        </w:rPr>
        <w:t xml:space="preserve"> etc</w:t>
      </w:r>
      <w:r w:rsidR="00720D07">
        <w:rPr>
          <w:rFonts w:ascii="Times New Roman" w:hAnsi="Times New Roman" w:cs="Times New Roman"/>
          <w:sz w:val="24"/>
          <w:szCs w:val="24"/>
        </w:rPr>
        <w:t>.</w:t>
      </w:r>
      <w:r w:rsidRPr="008063D4">
        <w:rPr>
          <w:rFonts w:ascii="Times New Roman" w:hAnsi="Times New Roman" w:cs="Times New Roman"/>
          <w:sz w:val="24"/>
          <w:szCs w:val="24"/>
        </w:rPr>
        <w:t xml:space="preserve">) sont utilisés en pharmacopée traditionnelle, dans les rites socio-culturels et même en cosmétique. </w:t>
      </w:r>
      <w:r w:rsidRPr="008063D4">
        <w:rPr>
          <w:rFonts w:ascii="Times New Roman" w:eastAsia="Arial" w:hAnsi="Times New Roman" w:cs="Times New Roman"/>
          <w:sz w:val="24"/>
          <w:szCs w:val="24"/>
        </w:rPr>
        <w:t xml:space="preserve">Près d’une centaine d’espèces ligneuses sont signalées comme plantes médicinales. Selon </w:t>
      </w:r>
      <w:r w:rsidR="00720D07">
        <w:rPr>
          <w:rFonts w:ascii="Times New Roman" w:eastAsia="Arial" w:hAnsi="Times New Roman" w:cs="Times New Roman"/>
          <w:sz w:val="24"/>
          <w:szCs w:val="24"/>
        </w:rPr>
        <w:t xml:space="preserve">la </w:t>
      </w:r>
      <w:r w:rsidRPr="008063D4">
        <w:rPr>
          <w:rFonts w:ascii="Times New Roman" w:eastAsia="Arial" w:hAnsi="Times New Roman" w:cs="Times New Roman"/>
          <w:sz w:val="24"/>
          <w:szCs w:val="24"/>
        </w:rPr>
        <w:t>FAO (2018) la liste serait en réalité plus longue car l’effectif des praticiens est très important et les vertus médicinales de certaines plantes restent méconnues par certaines communautés. A ces espèces forestières, il convient d’ajouter un nombre important d’espèces herbacées utilisées en médecine traditionnelle qui se rencontrent aussi bien en forêts qu’en d’autres lieux comme dans les champs. Ces plantes entrent dans la préparation des produits phytopharmaceutiques qui servent dans le traitement de diverses maladies et infections.</w:t>
      </w:r>
    </w:p>
    <w:p w14:paraId="642A7AE8" w14:textId="77777777" w:rsidR="009777ED" w:rsidRDefault="009777ED" w:rsidP="00254C9C">
      <w:pPr>
        <w:spacing w:after="0" w:line="240" w:lineRule="auto"/>
        <w:rPr>
          <w:rFonts w:ascii="Times New Roman" w:hAnsi="Times New Roman" w:cs="Times New Roman"/>
          <w:b/>
          <w:sz w:val="24"/>
          <w:szCs w:val="24"/>
          <w:lang w:eastAsia="fr-FR"/>
        </w:rPr>
      </w:pPr>
    </w:p>
    <w:p w14:paraId="4CBA088C" w14:textId="77777777" w:rsidR="00F52EF3" w:rsidRPr="00720D07" w:rsidRDefault="00F52EF3" w:rsidP="00E50666">
      <w:pPr>
        <w:pStyle w:val="Paragraphedeliste"/>
        <w:numPr>
          <w:ilvl w:val="0"/>
          <w:numId w:val="44"/>
        </w:numPr>
        <w:spacing w:after="0" w:line="240" w:lineRule="auto"/>
        <w:rPr>
          <w:rFonts w:ascii="Times New Roman" w:eastAsia="Arial" w:hAnsi="Times New Roman" w:cs="Times New Roman"/>
          <w:b/>
          <w:i/>
          <w:sz w:val="24"/>
          <w:szCs w:val="24"/>
        </w:rPr>
      </w:pPr>
      <w:r w:rsidRPr="00720D07">
        <w:rPr>
          <w:rFonts w:ascii="Times New Roman" w:eastAsia="Arial" w:hAnsi="Times New Roman" w:cs="Times New Roman"/>
          <w:b/>
          <w:i/>
          <w:sz w:val="24"/>
          <w:szCs w:val="24"/>
        </w:rPr>
        <w:t>Plantes à usage artisanal</w:t>
      </w:r>
    </w:p>
    <w:p w14:paraId="17E6BCC7" w14:textId="77777777" w:rsidR="009777ED" w:rsidRDefault="009777ED" w:rsidP="00254C9C">
      <w:pPr>
        <w:spacing w:after="0" w:line="240" w:lineRule="auto"/>
        <w:jc w:val="both"/>
        <w:rPr>
          <w:rFonts w:ascii="Times New Roman" w:eastAsia="Arial" w:hAnsi="Times New Roman" w:cs="Times New Roman"/>
          <w:sz w:val="24"/>
          <w:szCs w:val="24"/>
        </w:rPr>
      </w:pPr>
    </w:p>
    <w:p w14:paraId="09E4D093" w14:textId="25D0DF8B" w:rsidR="00F52EF3" w:rsidRPr="008063D4" w:rsidRDefault="00F52EF3" w:rsidP="00254C9C">
      <w:pPr>
        <w:spacing w:after="0" w:line="240" w:lineRule="auto"/>
        <w:jc w:val="both"/>
        <w:rPr>
          <w:rFonts w:ascii="Times New Roman" w:eastAsia="Arial" w:hAnsi="Times New Roman" w:cs="Times New Roman"/>
          <w:sz w:val="24"/>
          <w:szCs w:val="24"/>
        </w:rPr>
      </w:pPr>
      <w:r w:rsidRPr="008063D4">
        <w:rPr>
          <w:rFonts w:ascii="Times New Roman" w:eastAsia="Arial" w:hAnsi="Times New Roman" w:cs="Times New Roman"/>
          <w:sz w:val="24"/>
          <w:szCs w:val="24"/>
        </w:rPr>
        <w:t>Certaines espèces sont utilisées dans l’artisanat pour la fabrication de biens divers (mobiliers, nattes, éventails, éponge traditionnelle, etc.). On dénombre 13 espèces dont les organes non ligneux sont exploités pour la fabrication de d</w:t>
      </w:r>
      <w:r w:rsidR="001127E6">
        <w:rPr>
          <w:rFonts w:ascii="Times New Roman" w:eastAsia="Arial" w:hAnsi="Times New Roman" w:cs="Times New Roman"/>
          <w:sz w:val="24"/>
          <w:szCs w:val="24"/>
        </w:rPr>
        <w:t>ivers objets et biens (Tableau 20</w:t>
      </w:r>
      <w:r w:rsidRPr="008063D4">
        <w:rPr>
          <w:rFonts w:ascii="Times New Roman" w:eastAsia="Arial" w:hAnsi="Times New Roman" w:cs="Times New Roman"/>
          <w:sz w:val="24"/>
          <w:szCs w:val="24"/>
        </w:rPr>
        <w:t>). D’autres sont utilisées pour</w:t>
      </w:r>
      <w:r w:rsidR="00720D07">
        <w:rPr>
          <w:rFonts w:ascii="Times New Roman" w:eastAsia="Arial" w:hAnsi="Times New Roman" w:cs="Times New Roman"/>
          <w:sz w:val="24"/>
          <w:szCs w:val="24"/>
        </w:rPr>
        <w:t xml:space="preserve"> la production de cure dents et des fourrage</w:t>
      </w:r>
      <w:r w:rsidRPr="008063D4">
        <w:rPr>
          <w:rFonts w:ascii="Times New Roman" w:eastAsia="Arial" w:hAnsi="Times New Roman" w:cs="Times New Roman"/>
          <w:sz w:val="24"/>
          <w:szCs w:val="24"/>
        </w:rPr>
        <w:t xml:space="preserve">s. En considérant les </w:t>
      </w:r>
      <w:r w:rsidRPr="008063D4">
        <w:rPr>
          <w:rFonts w:ascii="Times New Roman" w:hAnsi="Times New Roman" w:cs="Times New Roman"/>
          <w:sz w:val="24"/>
          <w:szCs w:val="24"/>
        </w:rPr>
        <w:t>nattes traditionnelles, leur production nationale annuelle est estimée à 1 000 000 d’unités dont 200 000 commercialisées tandis que celle des paniers végétaux est estimée à 6 000 tonnes dont 1 200 tonnes commercialisées. Celle du cure-dents est estimée à 6 000 tonnes dont 1 200 tonnes commercia</w:t>
      </w:r>
      <w:r w:rsidR="00720D07">
        <w:rPr>
          <w:rFonts w:ascii="Times New Roman" w:hAnsi="Times New Roman" w:cs="Times New Roman"/>
          <w:sz w:val="24"/>
          <w:szCs w:val="24"/>
        </w:rPr>
        <w:t>lisées. Pour le cure-dent local</w:t>
      </w:r>
      <w:r w:rsidRPr="008063D4">
        <w:rPr>
          <w:rFonts w:ascii="Times New Roman" w:hAnsi="Times New Roman" w:cs="Times New Roman"/>
          <w:sz w:val="24"/>
          <w:szCs w:val="24"/>
        </w:rPr>
        <w:t xml:space="preserve"> issu de </w:t>
      </w:r>
      <w:r w:rsidRPr="008063D4">
        <w:rPr>
          <w:rFonts w:ascii="Times New Roman" w:hAnsi="Times New Roman" w:cs="Times New Roman"/>
          <w:i/>
          <w:iCs/>
          <w:sz w:val="24"/>
          <w:szCs w:val="24"/>
        </w:rPr>
        <w:t>Sorindeia warneckei, s</w:t>
      </w:r>
      <w:r w:rsidRPr="008063D4">
        <w:rPr>
          <w:rFonts w:ascii="Times New Roman" w:hAnsi="Times New Roman" w:cs="Times New Roman"/>
          <w:sz w:val="24"/>
          <w:szCs w:val="24"/>
        </w:rPr>
        <w:t xml:space="preserve">a valeur économique est estimée à 24 000 F CFA /mois/commerçante (Akodéwou, 2012). </w:t>
      </w:r>
    </w:p>
    <w:p w14:paraId="2A22464F" w14:textId="77777777" w:rsidR="009777ED" w:rsidRDefault="009777ED" w:rsidP="00254C9C">
      <w:pPr>
        <w:spacing w:after="0" w:line="240" w:lineRule="auto"/>
        <w:rPr>
          <w:rFonts w:ascii="Times New Roman" w:eastAsia="Arial" w:hAnsi="Times New Roman" w:cs="Times New Roman"/>
          <w:b/>
          <w:sz w:val="24"/>
          <w:szCs w:val="24"/>
        </w:rPr>
      </w:pPr>
    </w:p>
    <w:p w14:paraId="7FF0134C" w14:textId="10E56AE3" w:rsidR="00F52EF3" w:rsidRPr="001127E6" w:rsidRDefault="001127E6" w:rsidP="001127E6">
      <w:pPr>
        <w:pStyle w:val="Lgende"/>
        <w:rPr>
          <w:rFonts w:ascii="Times New Roman" w:eastAsia="Arial" w:hAnsi="Times New Roman"/>
          <w:sz w:val="24"/>
          <w:szCs w:val="24"/>
        </w:rPr>
      </w:pPr>
      <w:bookmarkStart w:id="113" w:name="_Toc533413488"/>
      <w:r w:rsidRPr="001127E6">
        <w:rPr>
          <w:rFonts w:ascii="Times New Roman" w:hAnsi="Times New Roman"/>
          <w:sz w:val="24"/>
          <w:szCs w:val="24"/>
        </w:rPr>
        <w:t xml:space="preserve">Tableau </w:t>
      </w:r>
      <w:r w:rsidR="00620BEA" w:rsidRPr="001127E6">
        <w:rPr>
          <w:rFonts w:ascii="Times New Roman" w:hAnsi="Times New Roman"/>
          <w:sz w:val="24"/>
          <w:szCs w:val="24"/>
        </w:rPr>
        <w:fldChar w:fldCharType="begin"/>
      </w:r>
      <w:r w:rsidRPr="001127E6">
        <w:rPr>
          <w:rFonts w:ascii="Times New Roman" w:hAnsi="Times New Roman"/>
          <w:sz w:val="24"/>
          <w:szCs w:val="24"/>
        </w:rPr>
        <w:instrText xml:space="preserve"> SEQ Tableau \* ARABIC </w:instrText>
      </w:r>
      <w:r w:rsidR="00620BEA" w:rsidRPr="001127E6">
        <w:rPr>
          <w:rFonts w:ascii="Times New Roman" w:hAnsi="Times New Roman"/>
          <w:sz w:val="24"/>
          <w:szCs w:val="24"/>
        </w:rPr>
        <w:fldChar w:fldCharType="separate"/>
      </w:r>
      <w:r w:rsidR="00C47BFF">
        <w:rPr>
          <w:rFonts w:ascii="Times New Roman" w:hAnsi="Times New Roman"/>
          <w:noProof/>
          <w:sz w:val="24"/>
          <w:szCs w:val="24"/>
        </w:rPr>
        <w:t>17</w:t>
      </w:r>
      <w:r w:rsidR="00620BEA" w:rsidRPr="001127E6">
        <w:rPr>
          <w:rFonts w:ascii="Times New Roman" w:hAnsi="Times New Roman"/>
          <w:sz w:val="24"/>
          <w:szCs w:val="24"/>
        </w:rPr>
        <w:fldChar w:fldCharType="end"/>
      </w:r>
      <w:r w:rsidRPr="001127E6">
        <w:rPr>
          <w:rFonts w:ascii="Times New Roman" w:hAnsi="Times New Roman"/>
          <w:sz w:val="24"/>
          <w:szCs w:val="24"/>
        </w:rPr>
        <w:t>: Espèces à usage artisanal</w:t>
      </w:r>
      <w:bookmarkEnd w:id="113"/>
    </w:p>
    <w:tbl>
      <w:tblPr>
        <w:tblW w:w="9513" w:type="dxa"/>
        <w:jc w:val="center"/>
        <w:tblCellMar>
          <w:left w:w="70" w:type="dxa"/>
          <w:right w:w="70" w:type="dxa"/>
        </w:tblCellMar>
        <w:tblLook w:val="04A0" w:firstRow="1" w:lastRow="0" w:firstColumn="1" w:lastColumn="0" w:noHBand="0" w:noVBand="1"/>
      </w:tblPr>
      <w:tblGrid>
        <w:gridCol w:w="1200"/>
        <w:gridCol w:w="2920"/>
        <w:gridCol w:w="2274"/>
        <w:gridCol w:w="3119"/>
      </w:tblGrid>
      <w:tr w:rsidR="008D3966" w:rsidRPr="008D3966" w14:paraId="04FC1E8B" w14:textId="77777777" w:rsidTr="00D624C0">
        <w:trPr>
          <w:trHeight w:val="300"/>
          <w:jc w:val="center"/>
        </w:trPr>
        <w:tc>
          <w:tcPr>
            <w:tcW w:w="1200" w:type="dxa"/>
            <w:tcBorders>
              <w:top w:val="single" w:sz="4" w:space="0" w:color="auto"/>
              <w:bottom w:val="single" w:sz="4" w:space="0" w:color="auto"/>
            </w:tcBorders>
            <w:shd w:val="clear" w:color="auto" w:fill="auto"/>
            <w:noWrap/>
            <w:vAlign w:val="center"/>
            <w:hideMark/>
          </w:tcPr>
          <w:p w14:paraId="38213934" w14:textId="77777777" w:rsidR="008D3966" w:rsidRPr="008D3966" w:rsidRDefault="008D3966" w:rsidP="00D624C0">
            <w:pPr>
              <w:spacing w:after="0" w:line="240" w:lineRule="auto"/>
              <w:rPr>
                <w:rFonts w:ascii="Times New Roman" w:eastAsia="Times New Roman" w:hAnsi="Times New Roman" w:cs="Times New Roman"/>
                <w:b/>
                <w:bCs/>
                <w:color w:val="000000"/>
                <w:sz w:val="24"/>
                <w:szCs w:val="24"/>
                <w:lang w:eastAsia="fr-FR"/>
              </w:rPr>
            </w:pPr>
            <w:r w:rsidRPr="008D3966">
              <w:rPr>
                <w:rFonts w:ascii="Times New Roman" w:eastAsia="Times New Roman" w:hAnsi="Times New Roman" w:cs="Times New Roman"/>
                <w:b/>
                <w:bCs/>
                <w:color w:val="000000"/>
                <w:sz w:val="24"/>
                <w:szCs w:val="24"/>
                <w:lang w:eastAsia="fr-FR"/>
              </w:rPr>
              <w:t>N°</w:t>
            </w:r>
          </w:p>
        </w:tc>
        <w:tc>
          <w:tcPr>
            <w:tcW w:w="2920" w:type="dxa"/>
            <w:tcBorders>
              <w:top w:val="single" w:sz="4" w:space="0" w:color="auto"/>
              <w:bottom w:val="single" w:sz="4" w:space="0" w:color="auto"/>
            </w:tcBorders>
            <w:shd w:val="clear" w:color="auto" w:fill="auto"/>
            <w:noWrap/>
            <w:vAlign w:val="center"/>
            <w:hideMark/>
          </w:tcPr>
          <w:p w14:paraId="6D9C5DA0" w14:textId="77777777" w:rsidR="008D3966" w:rsidRPr="008D3966" w:rsidRDefault="008D3966" w:rsidP="00D624C0">
            <w:pPr>
              <w:spacing w:after="0" w:line="240" w:lineRule="auto"/>
              <w:rPr>
                <w:rFonts w:ascii="Times New Roman" w:eastAsia="Times New Roman" w:hAnsi="Times New Roman" w:cs="Times New Roman"/>
                <w:b/>
                <w:bCs/>
                <w:color w:val="000000"/>
                <w:sz w:val="24"/>
                <w:szCs w:val="24"/>
                <w:lang w:eastAsia="fr-FR"/>
              </w:rPr>
            </w:pPr>
            <w:r w:rsidRPr="008D3966">
              <w:rPr>
                <w:rFonts w:ascii="Times New Roman" w:eastAsia="Times New Roman" w:hAnsi="Times New Roman" w:cs="Times New Roman"/>
                <w:b/>
                <w:bCs/>
                <w:color w:val="000000"/>
                <w:sz w:val="24"/>
                <w:szCs w:val="24"/>
                <w:lang w:eastAsia="fr-FR"/>
              </w:rPr>
              <w:t>Noms scientifiques</w:t>
            </w:r>
          </w:p>
        </w:tc>
        <w:tc>
          <w:tcPr>
            <w:tcW w:w="2274" w:type="dxa"/>
            <w:tcBorders>
              <w:top w:val="single" w:sz="4" w:space="0" w:color="auto"/>
              <w:bottom w:val="single" w:sz="4" w:space="0" w:color="auto"/>
            </w:tcBorders>
            <w:shd w:val="clear" w:color="auto" w:fill="auto"/>
            <w:noWrap/>
            <w:vAlign w:val="center"/>
            <w:hideMark/>
          </w:tcPr>
          <w:p w14:paraId="22C0A5E2" w14:textId="77777777" w:rsidR="008D3966" w:rsidRPr="008D3966" w:rsidRDefault="008D3966" w:rsidP="00D624C0">
            <w:pPr>
              <w:spacing w:after="0" w:line="240" w:lineRule="auto"/>
              <w:rPr>
                <w:rFonts w:ascii="Times New Roman" w:eastAsia="Times New Roman" w:hAnsi="Times New Roman" w:cs="Times New Roman"/>
                <w:b/>
                <w:bCs/>
                <w:color w:val="000000"/>
                <w:sz w:val="24"/>
                <w:szCs w:val="24"/>
                <w:lang w:eastAsia="fr-FR"/>
              </w:rPr>
            </w:pPr>
            <w:r w:rsidRPr="008D3966">
              <w:rPr>
                <w:rFonts w:ascii="Times New Roman" w:eastAsia="Times New Roman" w:hAnsi="Times New Roman" w:cs="Times New Roman"/>
                <w:b/>
                <w:bCs/>
                <w:color w:val="000000"/>
                <w:sz w:val="24"/>
                <w:szCs w:val="24"/>
                <w:lang w:eastAsia="fr-FR"/>
              </w:rPr>
              <w:t>Organes utilisés</w:t>
            </w:r>
          </w:p>
        </w:tc>
        <w:tc>
          <w:tcPr>
            <w:tcW w:w="3119" w:type="dxa"/>
            <w:tcBorders>
              <w:top w:val="single" w:sz="4" w:space="0" w:color="auto"/>
              <w:bottom w:val="single" w:sz="4" w:space="0" w:color="auto"/>
            </w:tcBorders>
            <w:shd w:val="clear" w:color="auto" w:fill="auto"/>
            <w:noWrap/>
            <w:vAlign w:val="center"/>
            <w:hideMark/>
          </w:tcPr>
          <w:p w14:paraId="53A89229" w14:textId="77777777" w:rsidR="008D3966" w:rsidRPr="008D3966" w:rsidRDefault="008D3966" w:rsidP="00D624C0">
            <w:pPr>
              <w:spacing w:after="0" w:line="240" w:lineRule="auto"/>
              <w:rPr>
                <w:rFonts w:ascii="Times New Roman" w:eastAsia="Times New Roman" w:hAnsi="Times New Roman" w:cs="Times New Roman"/>
                <w:b/>
                <w:bCs/>
                <w:color w:val="000000"/>
                <w:sz w:val="24"/>
                <w:szCs w:val="24"/>
                <w:lang w:eastAsia="fr-FR"/>
              </w:rPr>
            </w:pPr>
            <w:r w:rsidRPr="008D3966">
              <w:rPr>
                <w:rFonts w:ascii="Times New Roman" w:eastAsia="Times New Roman" w:hAnsi="Times New Roman" w:cs="Times New Roman"/>
                <w:b/>
                <w:bCs/>
                <w:color w:val="000000"/>
                <w:sz w:val="24"/>
                <w:szCs w:val="24"/>
                <w:lang w:eastAsia="fr-FR"/>
              </w:rPr>
              <w:t>Produits dérivés</w:t>
            </w:r>
          </w:p>
        </w:tc>
      </w:tr>
      <w:tr w:rsidR="008D3966" w:rsidRPr="008D3966" w14:paraId="092028D4" w14:textId="77777777" w:rsidTr="00D624C0">
        <w:trPr>
          <w:trHeight w:val="315"/>
          <w:jc w:val="center"/>
        </w:trPr>
        <w:tc>
          <w:tcPr>
            <w:tcW w:w="1200" w:type="dxa"/>
            <w:tcBorders>
              <w:top w:val="single" w:sz="4" w:space="0" w:color="auto"/>
            </w:tcBorders>
            <w:shd w:val="clear" w:color="auto" w:fill="auto"/>
            <w:noWrap/>
            <w:vAlign w:val="center"/>
            <w:hideMark/>
          </w:tcPr>
          <w:p w14:paraId="572C6055"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1</w:t>
            </w:r>
          </w:p>
        </w:tc>
        <w:tc>
          <w:tcPr>
            <w:tcW w:w="2920" w:type="dxa"/>
            <w:tcBorders>
              <w:top w:val="single" w:sz="4" w:space="0" w:color="auto"/>
            </w:tcBorders>
            <w:shd w:val="clear" w:color="auto" w:fill="auto"/>
            <w:vAlign w:val="center"/>
            <w:hideMark/>
          </w:tcPr>
          <w:p w14:paraId="5C7892AA"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Borassus aethiopum</w:t>
            </w:r>
          </w:p>
        </w:tc>
        <w:tc>
          <w:tcPr>
            <w:tcW w:w="2274" w:type="dxa"/>
            <w:tcBorders>
              <w:top w:val="single" w:sz="4" w:space="0" w:color="auto"/>
            </w:tcBorders>
            <w:shd w:val="clear" w:color="auto" w:fill="auto"/>
            <w:vAlign w:val="center"/>
            <w:hideMark/>
          </w:tcPr>
          <w:p w14:paraId="189F7248"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Feuilles</w:t>
            </w:r>
          </w:p>
        </w:tc>
        <w:tc>
          <w:tcPr>
            <w:tcW w:w="3119" w:type="dxa"/>
            <w:tcBorders>
              <w:top w:val="single" w:sz="4" w:space="0" w:color="auto"/>
            </w:tcBorders>
            <w:shd w:val="clear" w:color="auto" w:fill="auto"/>
            <w:vAlign w:val="center"/>
            <w:hideMark/>
          </w:tcPr>
          <w:p w14:paraId="37EFE490"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Eventails, nattes, paniers, Chapeaux</w:t>
            </w:r>
          </w:p>
        </w:tc>
      </w:tr>
      <w:tr w:rsidR="008D3966" w:rsidRPr="008D3966" w14:paraId="474B80BC" w14:textId="77777777" w:rsidTr="00D624C0">
        <w:trPr>
          <w:trHeight w:val="315"/>
          <w:jc w:val="center"/>
        </w:trPr>
        <w:tc>
          <w:tcPr>
            <w:tcW w:w="1200" w:type="dxa"/>
            <w:shd w:val="clear" w:color="auto" w:fill="auto"/>
            <w:noWrap/>
            <w:vAlign w:val="center"/>
            <w:hideMark/>
          </w:tcPr>
          <w:p w14:paraId="31CB0F8E"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2</w:t>
            </w:r>
          </w:p>
        </w:tc>
        <w:tc>
          <w:tcPr>
            <w:tcW w:w="2920" w:type="dxa"/>
            <w:shd w:val="clear" w:color="auto" w:fill="auto"/>
            <w:vAlign w:val="center"/>
            <w:hideMark/>
          </w:tcPr>
          <w:p w14:paraId="56207973"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Hyphaene thebaica</w:t>
            </w:r>
          </w:p>
        </w:tc>
        <w:tc>
          <w:tcPr>
            <w:tcW w:w="2274" w:type="dxa"/>
            <w:shd w:val="clear" w:color="auto" w:fill="auto"/>
            <w:vAlign w:val="center"/>
            <w:hideMark/>
          </w:tcPr>
          <w:p w14:paraId="36E019D4"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Feuilles</w:t>
            </w:r>
          </w:p>
        </w:tc>
        <w:tc>
          <w:tcPr>
            <w:tcW w:w="3119" w:type="dxa"/>
            <w:shd w:val="clear" w:color="auto" w:fill="auto"/>
            <w:vAlign w:val="center"/>
            <w:hideMark/>
          </w:tcPr>
          <w:p w14:paraId="4E4BA6D1"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Eventails, nattes, paniers, chapeaux</w:t>
            </w:r>
          </w:p>
        </w:tc>
      </w:tr>
      <w:tr w:rsidR="008D3966" w:rsidRPr="008D3966" w14:paraId="2005EDC2" w14:textId="77777777" w:rsidTr="00D624C0">
        <w:trPr>
          <w:trHeight w:val="315"/>
          <w:jc w:val="center"/>
        </w:trPr>
        <w:tc>
          <w:tcPr>
            <w:tcW w:w="1200" w:type="dxa"/>
            <w:shd w:val="clear" w:color="auto" w:fill="auto"/>
            <w:noWrap/>
            <w:vAlign w:val="center"/>
            <w:hideMark/>
          </w:tcPr>
          <w:p w14:paraId="369679D9"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3</w:t>
            </w:r>
          </w:p>
        </w:tc>
        <w:tc>
          <w:tcPr>
            <w:tcW w:w="2920" w:type="dxa"/>
            <w:shd w:val="clear" w:color="auto" w:fill="auto"/>
            <w:vAlign w:val="center"/>
            <w:hideMark/>
          </w:tcPr>
          <w:p w14:paraId="45CD5399"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Elaeis guineensis</w:t>
            </w:r>
          </w:p>
        </w:tc>
        <w:tc>
          <w:tcPr>
            <w:tcW w:w="2274" w:type="dxa"/>
            <w:shd w:val="clear" w:color="auto" w:fill="auto"/>
            <w:vAlign w:val="center"/>
            <w:hideMark/>
          </w:tcPr>
          <w:p w14:paraId="710CDF48"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Feuilles</w:t>
            </w:r>
          </w:p>
        </w:tc>
        <w:tc>
          <w:tcPr>
            <w:tcW w:w="3119" w:type="dxa"/>
            <w:shd w:val="clear" w:color="auto" w:fill="auto"/>
            <w:vAlign w:val="center"/>
            <w:hideMark/>
          </w:tcPr>
          <w:p w14:paraId="15DED108"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Balais, nattes, paniers, meubles</w:t>
            </w:r>
          </w:p>
        </w:tc>
      </w:tr>
      <w:tr w:rsidR="008D3966" w:rsidRPr="008D3966" w14:paraId="65349DCC" w14:textId="77777777" w:rsidTr="00D624C0">
        <w:trPr>
          <w:trHeight w:val="315"/>
          <w:jc w:val="center"/>
        </w:trPr>
        <w:tc>
          <w:tcPr>
            <w:tcW w:w="1200" w:type="dxa"/>
            <w:shd w:val="clear" w:color="auto" w:fill="auto"/>
            <w:noWrap/>
            <w:vAlign w:val="center"/>
            <w:hideMark/>
          </w:tcPr>
          <w:p w14:paraId="1E7EFAC1"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4</w:t>
            </w:r>
          </w:p>
        </w:tc>
        <w:tc>
          <w:tcPr>
            <w:tcW w:w="2920" w:type="dxa"/>
            <w:shd w:val="clear" w:color="auto" w:fill="auto"/>
            <w:vAlign w:val="center"/>
            <w:hideMark/>
          </w:tcPr>
          <w:p w14:paraId="08667856"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Times New Roman" w:hAnsi="Times New Roman" w:cs="Times New Roman"/>
                <w:i/>
                <w:iCs/>
                <w:color w:val="000000"/>
                <w:sz w:val="24"/>
                <w:szCs w:val="24"/>
                <w:lang w:eastAsia="fr-FR"/>
              </w:rPr>
              <w:t>Crescentia cujete</w:t>
            </w:r>
          </w:p>
        </w:tc>
        <w:tc>
          <w:tcPr>
            <w:tcW w:w="2274" w:type="dxa"/>
            <w:shd w:val="clear" w:color="auto" w:fill="auto"/>
            <w:vAlign w:val="center"/>
            <w:hideMark/>
          </w:tcPr>
          <w:p w14:paraId="5E2333E3"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Fruits</w:t>
            </w:r>
          </w:p>
        </w:tc>
        <w:tc>
          <w:tcPr>
            <w:tcW w:w="3119" w:type="dxa"/>
            <w:shd w:val="clear" w:color="auto" w:fill="auto"/>
            <w:vAlign w:val="center"/>
            <w:hideMark/>
          </w:tcPr>
          <w:p w14:paraId="078A7199"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Calebasses</w:t>
            </w:r>
          </w:p>
        </w:tc>
      </w:tr>
      <w:tr w:rsidR="008D3966" w:rsidRPr="008D3966" w14:paraId="7D776631" w14:textId="77777777" w:rsidTr="00D624C0">
        <w:trPr>
          <w:trHeight w:val="315"/>
          <w:jc w:val="center"/>
        </w:trPr>
        <w:tc>
          <w:tcPr>
            <w:tcW w:w="1200" w:type="dxa"/>
            <w:shd w:val="clear" w:color="auto" w:fill="auto"/>
            <w:noWrap/>
            <w:vAlign w:val="center"/>
            <w:hideMark/>
          </w:tcPr>
          <w:p w14:paraId="2E968330"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5</w:t>
            </w:r>
          </w:p>
        </w:tc>
        <w:tc>
          <w:tcPr>
            <w:tcW w:w="2920" w:type="dxa"/>
            <w:shd w:val="clear" w:color="auto" w:fill="auto"/>
            <w:vAlign w:val="center"/>
            <w:hideMark/>
          </w:tcPr>
          <w:p w14:paraId="5F338760"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Raphia ssp</w:t>
            </w:r>
          </w:p>
        </w:tc>
        <w:tc>
          <w:tcPr>
            <w:tcW w:w="2274" w:type="dxa"/>
            <w:shd w:val="clear" w:color="auto" w:fill="auto"/>
            <w:vAlign w:val="center"/>
            <w:hideMark/>
          </w:tcPr>
          <w:p w14:paraId="56DD5DE4"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0567E2E0"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Meubles</w:t>
            </w:r>
          </w:p>
        </w:tc>
      </w:tr>
      <w:tr w:rsidR="008D3966" w:rsidRPr="008D3966" w14:paraId="37D879A8" w14:textId="77777777" w:rsidTr="00D624C0">
        <w:trPr>
          <w:trHeight w:val="315"/>
          <w:jc w:val="center"/>
        </w:trPr>
        <w:tc>
          <w:tcPr>
            <w:tcW w:w="1200" w:type="dxa"/>
            <w:shd w:val="clear" w:color="auto" w:fill="auto"/>
            <w:noWrap/>
            <w:vAlign w:val="center"/>
            <w:hideMark/>
          </w:tcPr>
          <w:p w14:paraId="68985631"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6</w:t>
            </w:r>
          </w:p>
        </w:tc>
        <w:tc>
          <w:tcPr>
            <w:tcW w:w="2920" w:type="dxa"/>
            <w:shd w:val="clear" w:color="auto" w:fill="auto"/>
            <w:vAlign w:val="center"/>
            <w:hideMark/>
          </w:tcPr>
          <w:p w14:paraId="372F8153"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Landolphia dulcis</w:t>
            </w:r>
          </w:p>
        </w:tc>
        <w:tc>
          <w:tcPr>
            <w:tcW w:w="2274" w:type="dxa"/>
            <w:shd w:val="clear" w:color="auto" w:fill="auto"/>
            <w:vAlign w:val="center"/>
            <w:hideMark/>
          </w:tcPr>
          <w:p w14:paraId="348119BB"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57C4E6D6"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Eponge traditionnelle</w:t>
            </w:r>
          </w:p>
        </w:tc>
      </w:tr>
      <w:tr w:rsidR="008D3966" w:rsidRPr="008D3966" w14:paraId="4ABA32DA" w14:textId="77777777" w:rsidTr="00D624C0">
        <w:trPr>
          <w:trHeight w:val="315"/>
          <w:jc w:val="center"/>
        </w:trPr>
        <w:tc>
          <w:tcPr>
            <w:tcW w:w="1200" w:type="dxa"/>
            <w:shd w:val="clear" w:color="auto" w:fill="auto"/>
            <w:noWrap/>
            <w:vAlign w:val="center"/>
            <w:hideMark/>
          </w:tcPr>
          <w:p w14:paraId="06BFFAAD"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7</w:t>
            </w:r>
          </w:p>
        </w:tc>
        <w:tc>
          <w:tcPr>
            <w:tcW w:w="2920" w:type="dxa"/>
            <w:shd w:val="clear" w:color="auto" w:fill="auto"/>
            <w:vAlign w:val="center"/>
            <w:hideMark/>
          </w:tcPr>
          <w:p w14:paraId="0E006DC2"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Secamone afzelii</w:t>
            </w:r>
          </w:p>
        </w:tc>
        <w:tc>
          <w:tcPr>
            <w:tcW w:w="2274" w:type="dxa"/>
            <w:shd w:val="clear" w:color="auto" w:fill="auto"/>
            <w:vAlign w:val="center"/>
            <w:hideMark/>
          </w:tcPr>
          <w:p w14:paraId="417F53B7"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4CBB5BB6"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Eponge traditionnelle</w:t>
            </w:r>
          </w:p>
        </w:tc>
      </w:tr>
      <w:tr w:rsidR="008D3966" w:rsidRPr="008D3966" w14:paraId="1A80F0F5" w14:textId="77777777" w:rsidTr="00D624C0">
        <w:trPr>
          <w:trHeight w:val="315"/>
          <w:jc w:val="center"/>
        </w:trPr>
        <w:tc>
          <w:tcPr>
            <w:tcW w:w="1200" w:type="dxa"/>
            <w:shd w:val="clear" w:color="auto" w:fill="auto"/>
            <w:noWrap/>
            <w:vAlign w:val="center"/>
            <w:hideMark/>
          </w:tcPr>
          <w:p w14:paraId="643DB7F3"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8</w:t>
            </w:r>
          </w:p>
        </w:tc>
        <w:tc>
          <w:tcPr>
            <w:tcW w:w="2920" w:type="dxa"/>
            <w:shd w:val="clear" w:color="auto" w:fill="auto"/>
            <w:vAlign w:val="center"/>
            <w:hideMark/>
          </w:tcPr>
          <w:p w14:paraId="2EC6CE8E"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Flabellaria paniculata</w:t>
            </w:r>
          </w:p>
        </w:tc>
        <w:tc>
          <w:tcPr>
            <w:tcW w:w="2274" w:type="dxa"/>
            <w:shd w:val="clear" w:color="auto" w:fill="auto"/>
            <w:vAlign w:val="center"/>
            <w:hideMark/>
          </w:tcPr>
          <w:p w14:paraId="1BEED8EF"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3504F6E8"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Eponge traditionnelle</w:t>
            </w:r>
          </w:p>
        </w:tc>
      </w:tr>
      <w:tr w:rsidR="008D3966" w:rsidRPr="008D3966" w14:paraId="387930CB" w14:textId="77777777" w:rsidTr="00D624C0">
        <w:trPr>
          <w:trHeight w:val="315"/>
          <w:jc w:val="center"/>
        </w:trPr>
        <w:tc>
          <w:tcPr>
            <w:tcW w:w="1200" w:type="dxa"/>
            <w:shd w:val="clear" w:color="auto" w:fill="auto"/>
            <w:noWrap/>
            <w:vAlign w:val="center"/>
            <w:hideMark/>
          </w:tcPr>
          <w:p w14:paraId="5FA8B634"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9</w:t>
            </w:r>
          </w:p>
        </w:tc>
        <w:tc>
          <w:tcPr>
            <w:tcW w:w="2920" w:type="dxa"/>
            <w:shd w:val="clear" w:color="auto" w:fill="auto"/>
            <w:vAlign w:val="center"/>
            <w:hideMark/>
          </w:tcPr>
          <w:p w14:paraId="6662C281"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Aphanostylis mannii</w:t>
            </w:r>
          </w:p>
        </w:tc>
        <w:tc>
          <w:tcPr>
            <w:tcW w:w="2274" w:type="dxa"/>
            <w:shd w:val="clear" w:color="auto" w:fill="auto"/>
            <w:vAlign w:val="center"/>
            <w:hideMark/>
          </w:tcPr>
          <w:p w14:paraId="75CCB1FE"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48D54307"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Eponge traditionnelle</w:t>
            </w:r>
          </w:p>
        </w:tc>
      </w:tr>
      <w:tr w:rsidR="008D3966" w:rsidRPr="008D3966" w14:paraId="462DD873" w14:textId="77777777" w:rsidTr="00D624C0">
        <w:trPr>
          <w:trHeight w:val="315"/>
          <w:jc w:val="center"/>
        </w:trPr>
        <w:tc>
          <w:tcPr>
            <w:tcW w:w="1200" w:type="dxa"/>
            <w:shd w:val="clear" w:color="auto" w:fill="auto"/>
            <w:noWrap/>
            <w:vAlign w:val="center"/>
            <w:hideMark/>
          </w:tcPr>
          <w:p w14:paraId="1C51C001"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10</w:t>
            </w:r>
          </w:p>
        </w:tc>
        <w:tc>
          <w:tcPr>
            <w:tcW w:w="2920" w:type="dxa"/>
            <w:shd w:val="clear" w:color="auto" w:fill="auto"/>
            <w:vAlign w:val="center"/>
            <w:hideMark/>
          </w:tcPr>
          <w:p w14:paraId="073F9B31"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Bambusa vulgaris</w:t>
            </w:r>
          </w:p>
        </w:tc>
        <w:tc>
          <w:tcPr>
            <w:tcW w:w="2274" w:type="dxa"/>
            <w:shd w:val="clear" w:color="auto" w:fill="auto"/>
            <w:vAlign w:val="center"/>
            <w:hideMark/>
          </w:tcPr>
          <w:p w14:paraId="2E315C73"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36B483B7"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Meubles</w:t>
            </w:r>
          </w:p>
        </w:tc>
      </w:tr>
      <w:tr w:rsidR="008D3966" w:rsidRPr="008D3966" w14:paraId="621F1526" w14:textId="77777777" w:rsidTr="00D624C0">
        <w:trPr>
          <w:trHeight w:val="315"/>
          <w:jc w:val="center"/>
        </w:trPr>
        <w:tc>
          <w:tcPr>
            <w:tcW w:w="1200" w:type="dxa"/>
            <w:shd w:val="clear" w:color="auto" w:fill="auto"/>
            <w:noWrap/>
            <w:vAlign w:val="center"/>
            <w:hideMark/>
          </w:tcPr>
          <w:p w14:paraId="67D58CDD"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11</w:t>
            </w:r>
          </w:p>
        </w:tc>
        <w:tc>
          <w:tcPr>
            <w:tcW w:w="2920" w:type="dxa"/>
            <w:shd w:val="clear" w:color="auto" w:fill="auto"/>
            <w:vAlign w:val="center"/>
            <w:hideMark/>
          </w:tcPr>
          <w:p w14:paraId="0689F95E"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Bambusa vulgaris striata</w:t>
            </w:r>
          </w:p>
        </w:tc>
        <w:tc>
          <w:tcPr>
            <w:tcW w:w="2274" w:type="dxa"/>
            <w:shd w:val="clear" w:color="auto" w:fill="auto"/>
            <w:vAlign w:val="center"/>
            <w:hideMark/>
          </w:tcPr>
          <w:p w14:paraId="76304105"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343B4DA9"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Meubles</w:t>
            </w:r>
          </w:p>
        </w:tc>
      </w:tr>
      <w:tr w:rsidR="008D3966" w:rsidRPr="008D3966" w14:paraId="51FAD3F5" w14:textId="77777777" w:rsidTr="00D624C0">
        <w:trPr>
          <w:trHeight w:val="315"/>
          <w:jc w:val="center"/>
        </w:trPr>
        <w:tc>
          <w:tcPr>
            <w:tcW w:w="1200" w:type="dxa"/>
            <w:shd w:val="clear" w:color="auto" w:fill="auto"/>
            <w:noWrap/>
            <w:vAlign w:val="center"/>
            <w:hideMark/>
          </w:tcPr>
          <w:p w14:paraId="5D7B3AF4"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12</w:t>
            </w:r>
          </w:p>
        </w:tc>
        <w:tc>
          <w:tcPr>
            <w:tcW w:w="2920" w:type="dxa"/>
            <w:shd w:val="clear" w:color="auto" w:fill="auto"/>
            <w:vAlign w:val="center"/>
            <w:hideMark/>
          </w:tcPr>
          <w:p w14:paraId="5B918EE9"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Oxytenanthera abyssinica</w:t>
            </w:r>
          </w:p>
        </w:tc>
        <w:tc>
          <w:tcPr>
            <w:tcW w:w="2274" w:type="dxa"/>
            <w:shd w:val="clear" w:color="auto" w:fill="auto"/>
            <w:vAlign w:val="center"/>
            <w:hideMark/>
          </w:tcPr>
          <w:p w14:paraId="7A246C8A"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shd w:val="clear" w:color="auto" w:fill="auto"/>
            <w:vAlign w:val="center"/>
            <w:hideMark/>
          </w:tcPr>
          <w:p w14:paraId="6264D98D"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Meubles</w:t>
            </w:r>
          </w:p>
        </w:tc>
      </w:tr>
      <w:tr w:rsidR="008D3966" w:rsidRPr="008D3966" w14:paraId="22FFEAF4" w14:textId="77777777" w:rsidTr="00D624C0">
        <w:trPr>
          <w:trHeight w:val="315"/>
          <w:jc w:val="center"/>
        </w:trPr>
        <w:tc>
          <w:tcPr>
            <w:tcW w:w="1200" w:type="dxa"/>
            <w:tcBorders>
              <w:bottom w:val="single" w:sz="4" w:space="0" w:color="auto"/>
            </w:tcBorders>
            <w:shd w:val="clear" w:color="auto" w:fill="auto"/>
            <w:noWrap/>
            <w:vAlign w:val="center"/>
            <w:hideMark/>
          </w:tcPr>
          <w:p w14:paraId="1EA240C3" w14:textId="77777777" w:rsidR="008D3966" w:rsidRPr="008D3966" w:rsidRDefault="008D3966" w:rsidP="00D624C0">
            <w:pPr>
              <w:spacing w:after="0" w:line="240" w:lineRule="auto"/>
              <w:jc w:val="center"/>
              <w:rPr>
                <w:rFonts w:ascii="Times New Roman" w:eastAsia="Times New Roman" w:hAnsi="Times New Roman" w:cs="Times New Roman"/>
                <w:color w:val="000000"/>
                <w:sz w:val="24"/>
                <w:szCs w:val="24"/>
                <w:lang w:eastAsia="fr-FR"/>
              </w:rPr>
            </w:pPr>
            <w:r w:rsidRPr="008D3966">
              <w:rPr>
                <w:rFonts w:ascii="Times New Roman" w:eastAsia="Times New Roman" w:hAnsi="Times New Roman" w:cs="Times New Roman"/>
                <w:color w:val="000000"/>
                <w:sz w:val="24"/>
                <w:szCs w:val="24"/>
                <w:lang w:eastAsia="fr-FR"/>
              </w:rPr>
              <w:t>13</w:t>
            </w:r>
          </w:p>
        </w:tc>
        <w:tc>
          <w:tcPr>
            <w:tcW w:w="2920" w:type="dxa"/>
            <w:tcBorders>
              <w:bottom w:val="single" w:sz="4" w:space="0" w:color="auto"/>
            </w:tcBorders>
            <w:shd w:val="clear" w:color="auto" w:fill="auto"/>
            <w:vAlign w:val="center"/>
            <w:hideMark/>
          </w:tcPr>
          <w:p w14:paraId="519B3BC0" w14:textId="77777777" w:rsidR="008D3966" w:rsidRPr="008D3966" w:rsidRDefault="008D3966" w:rsidP="00D624C0">
            <w:pPr>
              <w:spacing w:after="0" w:line="240" w:lineRule="auto"/>
              <w:rPr>
                <w:rFonts w:ascii="Times New Roman" w:eastAsia="Times New Roman" w:hAnsi="Times New Roman" w:cs="Times New Roman"/>
                <w:i/>
                <w:iCs/>
                <w:color w:val="000000"/>
                <w:sz w:val="24"/>
                <w:szCs w:val="24"/>
                <w:lang w:eastAsia="fr-FR"/>
              </w:rPr>
            </w:pPr>
            <w:r w:rsidRPr="008D3966">
              <w:rPr>
                <w:rFonts w:ascii="Times New Roman" w:eastAsia="Arial" w:hAnsi="Times New Roman" w:cs="Times New Roman"/>
                <w:i/>
                <w:iCs/>
                <w:color w:val="000000"/>
                <w:sz w:val="24"/>
                <w:szCs w:val="24"/>
                <w:lang w:eastAsia="fr-FR"/>
              </w:rPr>
              <w:t>Calamus rotang</w:t>
            </w:r>
          </w:p>
        </w:tc>
        <w:tc>
          <w:tcPr>
            <w:tcW w:w="2274" w:type="dxa"/>
            <w:tcBorders>
              <w:bottom w:val="single" w:sz="4" w:space="0" w:color="auto"/>
            </w:tcBorders>
            <w:shd w:val="clear" w:color="auto" w:fill="auto"/>
            <w:vAlign w:val="center"/>
            <w:hideMark/>
          </w:tcPr>
          <w:p w14:paraId="4B501675"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Tiges</w:t>
            </w:r>
          </w:p>
        </w:tc>
        <w:tc>
          <w:tcPr>
            <w:tcW w:w="3119" w:type="dxa"/>
            <w:tcBorders>
              <w:bottom w:val="single" w:sz="4" w:space="0" w:color="auto"/>
            </w:tcBorders>
            <w:shd w:val="clear" w:color="auto" w:fill="auto"/>
            <w:vAlign w:val="center"/>
            <w:hideMark/>
          </w:tcPr>
          <w:p w14:paraId="5A7A5AF2" w14:textId="77777777" w:rsidR="008D3966" w:rsidRPr="008D3966" w:rsidRDefault="008D3966" w:rsidP="00D624C0">
            <w:pPr>
              <w:spacing w:after="0" w:line="240" w:lineRule="auto"/>
              <w:rPr>
                <w:rFonts w:ascii="Times New Roman" w:eastAsia="Times New Roman" w:hAnsi="Times New Roman" w:cs="Times New Roman"/>
                <w:color w:val="000000"/>
                <w:sz w:val="24"/>
                <w:szCs w:val="24"/>
                <w:lang w:eastAsia="fr-FR"/>
              </w:rPr>
            </w:pPr>
            <w:r w:rsidRPr="008D3966">
              <w:rPr>
                <w:rFonts w:ascii="Times New Roman" w:eastAsia="Arial" w:hAnsi="Times New Roman" w:cs="Times New Roman"/>
                <w:color w:val="000000"/>
                <w:sz w:val="24"/>
                <w:szCs w:val="24"/>
                <w:lang w:eastAsia="fr-FR"/>
              </w:rPr>
              <w:t>meubles</w:t>
            </w:r>
          </w:p>
        </w:tc>
      </w:tr>
    </w:tbl>
    <w:p w14:paraId="4EE561D7" w14:textId="77777777" w:rsidR="008D3966" w:rsidRPr="008063D4" w:rsidRDefault="008D3966" w:rsidP="00254C9C">
      <w:pPr>
        <w:spacing w:after="0" w:line="240" w:lineRule="auto"/>
        <w:ind w:left="180" w:right="180"/>
        <w:jc w:val="both"/>
        <w:rPr>
          <w:rFonts w:ascii="Times New Roman" w:eastAsia="Arial" w:hAnsi="Times New Roman" w:cs="Times New Roman"/>
          <w:sz w:val="24"/>
          <w:szCs w:val="24"/>
        </w:rPr>
      </w:pPr>
    </w:p>
    <w:p w14:paraId="50E74EB8" w14:textId="77777777" w:rsidR="00F52EF3" w:rsidRPr="00256E0E" w:rsidRDefault="00F52EF3" w:rsidP="00254C9C">
      <w:pPr>
        <w:spacing w:after="0" w:line="240" w:lineRule="auto"/>
        <w:jc w:val="both"/>
        <w:rPr>
          <w:rFonts w:ascii="Times New Roman" w:hAnsi="Times New Roman" w:cs="Times New Roman"/>
          <w:b/>
          <w:bCs/>
          <w:i/>
          <w:sz w:val="24"/>
          <w:szCs w:val="24"/>
        </w:rPr>
      </w:pPr>
      <w:r w:rsidRPr="00256E0E">
        <w:rPr>
          <w:rFonts w:ascii="Times New Roman" w:hAnsi="Times New Roman" w:cs="Times New Roman"/>
          <w:b/>
          <w:bCs/>
          <w:i/>
          <w:sz w:val="24"/>
          <w:szCs w:val="24"/>
        </w:rPr>
        <w:t>Autres PFNL</w:t>
      </w:r>
    </w:p>
    <w:p w14:paraId="54C3CBF9" w14:textId="77777777" w:rsidR="009777ED" w:rsidRDefault="009777ED" w:rsidP="00254C9C">
      <w:pPr>
        <w:spacing w:after="0" w:line="240" w:lineRule="auto"/>
        <w:jc w:val="both"/>
        <w:rPr>
          <w:rFonts w:ascii="Times New Roman" w:hAnsi="Times New Roman" w:cs="Times New Roman"/>
          <w:bCs/>
          <w:sz w:val="24"/>
          <w:szCs w:val="24"/>
        </w:rPr>
      </w:pPr>
    </w:p>
    <w:p w14:paraId="7674F535" w14:textId="77777777" w:rsidR="00F52EF3" w:rsidRPr="008063D4" w:rsidRDefault="00F52EF3" w:rsidP="00254C9C">
      <w:pPr>
        <w:spacing w:after="0" w:line="240" w:lineRule="auto"/>
        <w:jc w:val="both"/>
        <w:rPr>
          <w:rFonts w:ascii="Times New Roman" w:hAnsi="Times New Roman" w:cs="Times New Roman"/>
          <w:bCs/>
          <w:sz w:val="24"/>
          <w:szCs w:val="24"/>
        </w:rPr>
      </w:pPr>
      <w:r w:rsidRPr="008063D4">
        <w:rPr>
          <w:rFonts w:ascii="Times New Roman" w:hAnsi="Times New Roman" w:cs="Times New Roman"/>
          <w:bCs/>
          <w:sz w:val="24"/>
          <w:szCs w:val="24"/>
        </w:rPr>
        <w:t>En dehors des produits forestiers non ligneux tirés directement des espèces forestières, le Togo compte d’autres types de produits d’origines diverses tirés des forêts qui participent également au bien-être des populations qui les exploitent (FAO, 2018). Les plus importants de ces produits sont :</w:t>
      </w:r>
    </w:p>
    <w:p w14:paraId="7FEFE5B7" w14:textId="77777777" w:rsidR="009777ED" w:rsidRDefault="009777ED" w:rsidP="00254C9C">
      <w:pPr>
        <w:spacing w:after="0" w:line="240" w:lineRule="auto"/>
        <w:jc w:val="both"/>
        <w:rPr>
          <w:rFonts w:ascii="Times New Roman" w:hAnsi="Times New Roman" w:cs="Times New Roman"/>
          <w:bCs/>
          <w:sz w:val="24"/>
          <w:szCs w:val="24"/>
        </w:rPr>
      </w:pPr>
    </w:p>
    <w:p w14:paraId="314C9A3D" w14:textId="4E091679" w:rsidR="00F52EF3" w:rsidRPr="00720D07" w:rsidRDefault="00F52EF3" w:rsidP="00E50666">
      <w:pPr>
        <w:pStyle w:val="Paragraphedeliste"/>
        <w:numPr>
          <w:ilvl w:val="0"/>
          <w:numId w:val="44"/>
        </w:numPr>
        <w:spacing w:after="0" w:line="240" w:lineRule="auto"/>
        <w:jc w:val="both"/>
        <w:rPr>
          <w:rFonts w:ascii="Times New Roman" w:hAnsi="Times New Roman" w:cs="Times New Roman"/>
          <w:bCs/>
          <w:sz w:val="24"/>
          <w:szCs w:val="24"/>
        </w:rPr>
      </w:pPr>
      <w:r w:rsidRPr="00720D07">
        <w:rPr>
          <w:rFonts w:ascii="Times New Roman" w:hAnsi="Times New Roman" w:cs="Times New Roman"/>
          <w:b/>
          <w:bCs/>
          <w:sz w:val="24"/>
          <w:szCs w:val="24"/>
        </w:rPr>
        <w:t>Le miel</w:t>
      </w:r>
      <w:r w:rsidRPr="00720D07">
        <w:rPr>
          <w:rFonts w:ascii="Times New Roman" w:hAnsi="Times New Roman" w:cs="Times New Roman"/>
          <w:bCs/>
          <w:sz w:val="24"/>
          <w:szCs w:val="24"/>
        </w:rPr>
        <w:t xml:space="preserve"> : produit par les abeilles, il est récolté par les populations dans toutes les régions  du  pays  tant  dans  les  formations  forestières  naturelles  que  dans  les plantations. Jadis récolté librement et de façon traditionnelle dans les forêts, la production de miel constitue aujourd’hui une activité professionnelle. Il existe des PME apicoles sur l’ensemble du territoire</w:t>
      </w:r>
      <w:r w:rsidR="00720D07">
        <w:rPr>
          <w:rFonts w:ascii="Times New Roman" w:hAnsi="Times New Roman" w:cs="Times New Roman"/>
          <w:bCs/>
          <w:sz w:val="24"/>
          <w:szCs w:val="24"/>
        </w:rPr>
        <w:t>, surtout dans les régions des Savanes, Kara et C</w:t>
      </w:r>
      <w:r w:rsidRPr="00720D07">
        <w:rPr>
          <w:rFonts w:ascii="Times New Roman" w:hAnsi="Times New Roman" w:cs="Times New Roman"/>
          <w:bCs/>
          <w:sz w:val="24"/>
          <w:szCs w:val="24"/>
        </w:rPr>
        <w:t>entrale.</w:t>
      </w:r>
    </w:p>
    <w:p w14:paraId="62C5DA45" w14:textId="77777777" w:rsidR="00256E0E" w:rsidRPr="008063D4" w:rsidRDefault="00256E0E" w:rsidP="00254C9C">
      <w:pPr>
        <w:spacing w:after="0" w:line="240" w:lineRule="auto"/>
        <w:jc w:val="both"/>
        <w:rPr>
          <w:rFonts w:ascii="Times New Roman" w:hAnsi="Times New Roman" w:cs="Times New Roman"/>
          <w:bCs/>
          <w:sz w:val="24"/>
          <w:szCs w:val="24"/>
        </w:rPr>
      </w:pPr>
    </w:p>
    <w:p w14:paraId="5B53672D" w14:textId="77777777" w:rsidR="00F52EF3" w:rsidRPr="00720D07" w:rsidRDefault="00F52EF3" w:rsidP="00E50666">
      <w:pPr>
        <w:pStyle w:val="Paragraphedeliste"/>
        <w:numPr>
          <w:ilvl w:val="0"/>
          <w:numId w:val="44"/>
        </w:numPr>
        <w:spacing w:after="0" w:line="240" w:lineRule="auto"/>
        <w:jc w:val="both"/>
        <w:rPr>
          <w:rFonts w:ascii="Times New Roman" w:hAnsi="Times New Roman" w:cs="Times New Roman"/>
          <w:bCs/>
          <w:sz w:val="24"/>
          <w:szCs w:val="24"/>
        </w:rPr>
      </w:pPr>
      <w:r w:rsidRPr="00720D07">
        <w:rPr>
          <w:rFonts w:ascii="Times New Roman" w:hAnsi="Times New Roman" w:cs="Times New Roman"/>
          <w:b/>
          <w:bCs/>
          <w:sz w:val="24"/>
          <w:szCs w:val="24"/>
        </w:rPr>
        <w:t>Les champignons</w:t>
      </w:r>
      <w:r w:rsidRPr="00720D07">
        <w:rPr>
          <w:rFonts w:ascii="Times New Roman" w:hAnsi="Times New Roman" w:cs="Times New Roman"/>
          <w:bCs/>
          <w:sz w:val="24"/>
          <w:szCs w:val="24"/>
        </w:rPr>
        <w:t xml:space="preserve"> : la récolte de champignons macromycètes en forêt pour l’alimentation est une activité répandue sur l’ensemble du pays. Ces derniers temps le champignon fait objet de culture et alimente un commerce national très florissant. Il faut aussi préciser que la majorité des travaux effectués ont mis plus d’accent sur les champignons comestibles (Kamou et al., 2017 ; Kamou et al., 2016 ; Guelly 2006; Guelly et al. 2008).</w:t>
      </w:r>
    </w:p>
    <w:p w14:paraId="29AA0895" w14:textId="77777777" w:rsidR="009777ED" w:rsidRDefault="009777ED" w:rsidP="00254C9C">
      <w:pPr>
        <w:spacing w:after="0" w:line="240" w:lineRule="auto"/>
        <w:jc w:val="both"/>
        <w:rPr>
          <w:rFonts w:ascii="Times New Roman" w:hAnsi="Times New Roman" w:cs="Times New Roman"/>
          <w:bCs/>
          <w:sz w:val="24"/>
          <w:szCs w:val="24"/>
        </w:rPr>
      </w:pPr>
    </w:p>
    <w:p w14:paraId="7B1810CB" w14:textId="77777777" w:rsidR="00F52EF3" w:rsidRPr="00720D07" w:rsidRDefault="00F52EF3" w:rsidP="00E50666">
      <w:pPr>
        <w:pStyle w:val="Paragraphedeliste"/>
        <w:numPr>
          <w:ilvl w:val="0"/>
          <w:numId w:val="44"/>
        </w:numPr>
        <w:spacing w:after="0" w:line="240" w:lineRule="auto"/>
        <w:jc w:val="both"/>
        <w:rPr>
          <w:rFonts w:ascii="Times New Roman" w:hAnsi="Times New Roman" w:cs="Times New Roman"/>
          <w:bCs/>
          <w:sz w:val="24"/>
          <w:szCs w:val="24"/>
        </w:rPr>
      </w:pPr>
      <w:r w:rsidRPr="00720D07">
        <w:rPr>
          <w:rFonts w:ascii="Times New Roman" w:hAnsi="Times New Roman" w:cs="Times New Roman"/>
          <w:b/>
          <w:bCs/>
          <w:sz w:val="24"/>
          <w:szCs w:val="24"/>
        </w:rPr>
        <w:t>Les escargots</w:t>
      </w:r>
      <w:r w:rsidRPr="00720D07">
        <w:rPr>
          <w:rFonts w:ascii="Times New Roman" w:hAnsi="Times New Roman" w:cs="Times New Roman"/>
          <w:bCs/>
          <w:sz w:val="24"/>
          <w:szCs w:val="24"/>
        </w:rPr>
        <w:t xml:space="preserve"> : leur chair se consomme traditionnellement chez les populations rurales du Togo. Leur coquille et leur liquide intérieur sont utilisés dans la pharmacopée pour la guérison de diverses maladies (Ekoué et Kuevi-Akue, 2002). En effet, les escargots sont une source de protéine et de lysine. Ils sont utilisés dans l’alimentation des animaux en complément de la farine de poisson et luttent contre le kwashiorkor des enfants (Codjia et Noumonvi, 2001 ; Cobbinah et al., 2008). Les escargots consommés au Togo proviennent en grande partie du ramassage ce qui crée déjà une pénurie (Ekoué et Kuevi-Akue, 2002). Les deux espèces les plus recherchées sont Achatina et Archachatina (Codjia et Noumonvi, 2001).</w:t>
      </w:r>
    </w:p>
    <w:p w14:paraId="654945B0" w14:textId="77777777" w:rsidR="000C6491" w:rsidRPr="008063D4" w:rsidRDefault="000C6491" w:rsidP="00254C9C">
      <w:pPr>
        <w:spacing w:after="0" w:line="240" w:lineRule="auto"/>
        <w:jc w:val="both"/>
        <w:rPr>
          <w:rFonts w:ascii="Times New Roman" w:hAnsi="Times New Roman" w:cs="Times New Roman"/>
          <w:bCs/>
          <w:sz w:val="24"/>
          <w:szCs w:val="24"/>
        </w:rPr>
      </w:pPr>
    </w:p>
    <w:p w14:paraId="47035A36" w14:textId="77777777" w:rsidR="00F52EF3" w:rsidRPr="00720D07" w:rsidRDefault="00F52EF3" w:rsidP="00E50666">
      <w:pPr>
        <w:pStyle w:val="Paragraphedeliste"/>
        <w:numPr>
          <w:ilvl w:val="0"/>
          <w:numId w:val="44"/>
        </w:numPr>
        <w:spacing w:after="0" w:line="240" w:lineRule="auto"/>
        <w:jc w:val="both"/>
        <w:rPr>
          <w:rFonts w:ascii="Times New Roman" w:hAnsi="Times New Roman" w:cs="Times New Roman"/>
          <w:bCs/>
          <w:sz w:val="24"/>
          <w:szCs w:val="24"/>
        </w:rPr>
      </w:pPr>
      <w:r w:rsidRPr="00720D07">
        <w:rPr>
          <w:rFonts w:ascii="Times New Roman" w:hAnsi="Times New Roman" w:cs="Times New Roman"/>
          <w:b/>
          <w:bCs/>
          <w:sz w:val="24"/>
          <w:szCs w:val="24"/>
        </w:rPr>
        <w:t>Les insectes pour ornements</w:t>
      </w:r>
      <w:r w:rsidRPr="00720D07">
        <w:rPr>
          <w:rFonts w:ascii="Times New Roman" w:hAnsi="Times New Roman" w:cs="Times New Roman"/>
          <w:bCs/>
          <w:sz w:val="24"/>
          <w:szCs w:val="24"/>
        </w:rPr>
        <w:t xml:space="preserve"> : les insectes sont capturés et mis dans des boîtes entomologiques ou emballés et vendus surtout à l’extérieur du pays. La chasse-vente et revente d’insectes et autres arthropodes constituent une activité génératrice de revenus pour les jeunes (MERF, 2014).</w:t>
      </w:r>
    </w:p>
    <w:p w14:paraId="5E428A39" w14:textId="77777777" w:rsidR="00E76A8E" w:rsidRDefault="00E76A8E" w:rsidP="00254C9C">
      <w:pPr>
        <w:spacing w:after="0" w:line="240" w:lineRule="auto"/>
        <w:jc w:val="both"/>
        <w:rPr>
          <w:rFonts w:ascii="Times New Roman" w:hAnsi="Times New Roman" w:cs="Times New Roman"/>
          <w:bCs/>
          <w:sz w:val="24"/>
          <w:szCs w:val="24"/>
        </w:rPr>
      </w:pPr>
    </w:p>
    <w:p w14:paraId="66A8AB52" w14:textId="77777777" w:rsidR="009777ED" w:rsidRDefault="009777ED" w:rsidP="00254C9C">
      <w:pPr>
        <w:spacing w:after="0" w:line="240" w:lineRule="auto"/>
        <w:jc w:val="both"/>
        <w:rPr>
          <w:rFonts w:ascii="Times New Roman" w:hAnsi="Times New Roman" w:cs="Times New Roman"/>
          <w:b/>
          <w:sz w:val="24"/>
          <w:szCs w:val="24"/>
          <w:lang w:eastAsia="fr-FR"/>
        </w:rPr>
      </w:pPr>
    </w:p>
    <w:p w14:paraId="6FC16398" w14:textId="77777777" w:rsidR="00F52EF3" w:rsidRPr="00256E0E" w:rsidRDefault="00F52EF3" w:rsidP="00254C9C">
      <w:pPr>
        <w:spacing w:after="0" w:line="240" w:lineRule="auto"/>
        <w:jc w:val="both"/>
        <w:rPr>
          <w:rFonts w:ascii="Times New Roman" w:hAnsi="Times New Roman" w:cs="Times New Roman"/>
          <w:b/>
          <w:bCs/>
          <w:i/>
          <w:sz w:val="24"/>
          <w:szCs w:val="24"/>
        </w:rPr>
      </w:pPr>
      <w:r w:rsidRPr="00256E0E">
        <w:rPr>
          <w:rFonts w:ascii="Times New Roman" w:hAnsi="Times New Roman" w:cs="Times New Roman"/>
          <w:b/>
          <w:bCs/>
          <w:i/>
          <w:iCs/>
          <w:sz w:val="24"/>
          <w:szCs w:val="24"/>
        </w:rPr>
        <w:t>Apports des produits de la faune</w:t>
      </w:r>
    </w:p>
    <w:p w14:paraId="6916B341" w14:textId="77777777" w:rsidR="009777ED" w:rsidRDefault="009777ED" w:rsidP="00254C9C">
      <w:pPr>
        <w:spacing w:after="0" w:line="240" w:lineRule="auto"/>
        <w:jc w:val="both"/>
        <w:rPr>
          <w:rFonts w:ascii="Times New Roman" w:hAnsi="Times New Roman" w:cs="Times New Roman"/>
          <w:sz w:val="24"/>
          <w:szCs w:val="24"/>
        </w:rPr>
      </w:pPr>
    </w:p>
    <w:p w14:paraId="26E7BA54" w14:textId="77777777" w:rsidR="00F52EF3"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Selon le 5</w:t>
      </w:r>
      <w:r w:rsidRPr="008063D4">
        <w:rPr>
          <w:rFonts w:ascii="Times New Roman" w:hAnsi="Times New Roman" w:cs="Times New Roman"/>
          <w:sz w:val="24"/>
          <w:szCs w:val="24"/>
          <w:vertAlign w:val="superscript"/>
        </w:rPr>
        <w:t>ème</w:t>
      </w:r>
      <w:r w:rsidRPr="008063D4">
        <w:rPr>
          <w:rFonts w:ascii="Times New Roman" w:hAnsi="Times New Roman" w:cs="Times New Roman"/>
          <w:sz w:val="24"/>
          <w:szCs w:val="24"/>
        </w:rPr>
        <w:t xml:space="preserve"> rapport national sur la CDB (MERF, 2014) les ressources fauniques contribuent aussi à l’amélioration du bien-être des populations togolaises en leur procurant de la protéine animale indispensable à leur alimentation, mais aussi, en leur servant de biens marchands en contrepartie desquels elles obtiennent des revenus monétaires pour satisfaire d’autres besoins. Ce cinquième rapport indique qu’au titre de la délivrance des permis d’exportation dans le cadre du Commerce International des Espèces de Faune et de Flore sauvages menacées d’extinction (CITES), le Togo a enregistré, entre 2005 et 2013, une entrée de devises évaluées à 89,5 millions F CFA soit une moyenne annuelle de 9,94 millions F CFA.</w:t>
      </w:r>
    </w:p>
    <w:p w14:paraId="22E3E9B5" w14:textId="77777777" w:rsidR="00E17A45" w:rsidRPr="008063D4" w:rsidRDefault="00E17A45" w:rsidP="00254C9C">
      <w:pPr>
        <w:spacing w:after="0" w:line="240" w:lineRule="auto"/>
        <w:jc w:val="both"/>
        <w:rPr>
          <w:rFonts w:ascii="Times New Roman" w:hAnsi="Times New Roman" w:cs="Times New Roman"/>
          <w:sz w:val="24"/>
          <w:szCs w:val="24"/>
        </w:rPr>
      </w:pPr>
    </w:p>
    <w:p w14:paraId="1C897948" w14:textId="77777777" w:rsidR="00F52EF3"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 xml:space="preserve">Par ailleurs, les animaux sauvages font également l’objet de transactions sur les marchés locaux. Ils sont soit tués pour leur viande qui est vendue, soit capturés pour être destinés à l’élevage domestique. Malheureusement, l’absence de données statistiques ne permet pas d’évaluer ce commerce national en terme monétaire. Il faut aussi noter qu’en termes d’exemple que dans la région des Savanes, au Nord du Togo, les chenilles d’une espèce de Lépidoptère, </w:t>
      </w:r>
      <w:r w:rsidRPr="008063D4">
        <w:rPr>
          <w:rFonts w:ascii="Times New Roman" w:hAnsi="Times New Roman" w:cs="Times New Roman"/>
          <w:i/>
          <w:iCs/>
          <w:sz w:val="24"/>
          <w:szCs w:val="24"/>
        </w:rPr>
        <w:t xml:space="preserve">Cirina forda </w:t>
      </w:r>
      <w:r w:rsidRPr="008063D4">
        <w:rPr>
          <w:rFonts w:ascii="Times New Roman" w:hAnsi="Times New Roman" w:cs="Times New Roman"/>
          <w:sz w:val="24"/>
          <w:szCs w:val="24"/>
        </w:rPr>
        <w:t>(Lepidoptera Saturniidae) se développant aux dépens des feuilles de karité (</w:t>
      </w:r>
      <w:r w:rsidRPr="008063D4">
        <w:rPr>
          <w:rFonts w:ascii="Times New Roman" w:hAnsi="Times New Roman" w:cs="Times New Roman"/>
          <w:i/>
          <w:iCs/>
          <w:sz w:val="24"/>
          <w:szCs w:val="24"/>
        </w:rPr>
        <w:t xml:space="preserve">Vitellaria paradoxa) </w:t>
      </w:r>
      <w:r w:rsidRPr="008063D4">
        <w:rPr>
          <w:rFonts w:ascii="Times New Roman" w:hAnsi="Times New Roman" w:cs="Times New Roman"/>
          <w:sz w:val="24"/>
          <w:szCs w:val="24"/>
        </w:rPr>
        <w:t>sont très recherchées. Elles sont ramassées par la population pendant la saison des pluies, chauffées, séchées et conditionnées pour la consommation locale et pour la vente. Elles font même l’objet d’un commerce international entre le Togo, le Ghana et le Nigéria (MERF, 2014). Selon Badanaro et al. (2013), ces chenilles procurent des revenus substantiels estimés à 625 F/Kg chez le ramasseur à 1 250 F/Kg chez le revendeur détaillant).</w:t>
      </w:r>
    </w:p>
    <w:p w14:paraId="60FE7F4B" w14:textId="77777777" w:rsidR="000C6491" w:rsidRPr="008063D4" w:rsidRDefault="000C6491" w:rsidP="00254C9C">
      <w:pPr>
        <w:spacing w:after="0" w:line="240" w:lineRule="auto"/>
        <w:jc w:val="both"/>
        <w:rPr>
          <w:rFonts w:ascii="Times New Roman" w:hAnsi="Times New Roman" w:cs="Times New Roman"/>
          <w:sz w:val="24"/>
          <w:szCs w:val="24"/>
        </w:rPr>
      </w:pPr>
    </w:p>
    <w:p w14:paraId="1E664CAB"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lang w:eastAsia="fr-FR"/>
        </w:rPr>
      </w:pPr>
      <w:r w:rsidRPr="008063D4">
        <w:rPr>
          <w:rFonts w:ascii="Times New Roman" w:hAnsi="Times New Roman" w:cs="Times New Roman"/>
          <w:sz w:val="24"/>
          <w:szCs w:val="24"/>
          <w:lang w:eastAsia="fr-FR"/>
        </w:rPr>
        <w:t>Pour ce qui est de la production halieutique, la quantité de poissons produite au niveau national s’est accrue de 22,98% soit une augmentation de 4 165,14 tonnes de poissons. Il faut néanmoins préciser que la pêche traditionnelle, peu développée, demeure le mode de pêche le plus répandu, ce qui ne permet pas d’avoir une production plus élevée. Cette production halieutique nationale a couvert moins de 25% des besoins en 2014 et 2015.</w:t>
      </w:r>
    </w:p>
    <w:p w14:paraId="55980F97" w14:textId="77777777" w:rsidR="00F52EF3" w:rsidRPr="008063D4" w:rsidRDefault="00F52EF3" w:rsidP="00254C9C">
      <w:pPr>
        <w:spacing w:after="0" w:line="240" w:lineRule="auto"/>
        <w:jc w:val="both"/>
        <w:rPr>
          <w:rFonts w:ascii="Times New Roman" w:hAnsi="Times New Roman" w:cs="Times New Roman"/>
          <w:b/>
          <w:sz w:val="24"/>
          <w:szCs w:val="24"/>
          <w:lang w:eastAsia="fr-FR"/>
        </w:rPr>
      </w:pPr>
    </w:p>
    <w:p w14:paraId="459AFB08" w14:textId="77777777" w:rsidR="00F52EF3" w:rsidRPr="008063D4" w:rsidRDefault="00256E0E" w:rsidP="00254C9C">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b) </w:t>
      </w:r>
      <w:r w:rsidR="00F52EF3" w:rsidRPr="008063D4">
        <w:rPr>
          <w:rFonts w:ascii="Times New Roman" w:hAnsi="Times New Roman" w:cs="Times New Roman"/>
          <w:b/>
          <w:sz w:val="24"/>
          <w:szCs w:val="24"/>
        </w:rPr>
        <w:t xml:space="preserve">Importance culturelle </w:t>
      </w:r>
    </w:p>
    <w:p w14:paraId="659D4050" w14:textId="77777777" w:rsidR="009777ED" w:rsidRDefault="009777ED" w:rsidP="00254C9C">
      <w:pPr>
        <w:spacing w:after="0" w:line="240" w:lineRule="auto"/>
        <w:jc w:val="both"/>
        <w:rPr>
          <w:rFonts w:ascii="Times New Roman" w:hAnsi="Times New Roman" w:cs="Times New Roman"/>
          <w:sz w:val="24"/>
          <w:szCs w:val="24"/>
        </w:rPr>
      </w:pPr>
    </w:p>
    <w:p w14:paraId="5CB9382B" w14:textId="77777777" w:rsidR="00F52EF3" w:rsidRPr="008063D4"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La relation entre la culture et la biodiversité est liée à la mise en place, des règles de gestion et de conservation (dans la plupart des cas par les prêtres V</w:t>
      </w:r>
      <w:r w:rsidR="00256E0E">
        <w:rPr>
          <w:rFonts w:ascii="Times New Roman" w:hAnsi="Times New Roman" w:cs="Times New Roman"/>
          <w:sz w:val="24"/>
          <w:szCs w:val="24"/>
        </w:rPr>
        <w:t>au</w:t>
      </w:r>
      <w:r w:rsidRPr="008063D4">
        <w:rPr>
          <w:rFonts w:ascii="Times New Roman" w:hAnsi="Times New Roman" w:cs="Times New Roman"/>
          <w:sz w:val="24"/>
          <w:szCs w:val="24"/>
        </w:rPr>
        <w:t>dous) des forêts sacrées (représentent aujourd’hui des reliques de principaux types forestiers menacés de disparition). En effet, les forêts sacrées du Togo sont de véritables sanctuaires de la biodiversité ; elles renferment des espèces nouvelles à la flore du Togo, rares et exclusives à certains milieux. Ces forêts sacrées constituent aussi une réserve de plantes médicinales, surtout celles qui sont très rares, contribuant ainsi à la santé publique et aussi à l’économie des populations rurales. D’une façon générale, ces forêts sont étroitement liées à l’histoire et à la culture des peuples qui s’appuient fortement sur le culte Vaudou ou des ancêtres au sud du Togo (Kokou et al., 1999; 2005, Kokou et Kokutse, 2007) ou des pratiques religieuses similaires dans la région de la Kara, plus particulièrement dans les préfectures de la Kozah, de Doufelgou, de la Binah ou encore de Bassar (Pérézi, 2002; Kpeli, 2006). Ces valeurs sont de plus en plus reconnues grâce au tourisme culturel, lequel peut à son tour fournir une source de revenus et de développement. Dans la préfecture des Lacs par exemple, la forêt sacrée d’Akissa qui abrite 5 sites sacrés (Hounmadahoué; Lokohoué; Golinou; Dogbadji; Houngba) avec plusieurs divinités aux vertus diversifiées sert de sanctuaire pour plusieurs adeptes des religions traditionnelles et de lieu de sacralisation pour les différents rois des villages Xwla du Togo et du Bénin. Plusieurs espèces végétales sont utilisées au cours de ces cultes et servent également à la pharmacopée locale. C’est ce patrimoine riche et diversifié qui a permis aux prêtres vaudous, de pouvoir asseoir des règles de gestion et de conservation de ces forêts.</w:t>
      </w:r>
    </w:p>
    <w:p w14:paraId="48ACB42B" w14:textId="77777777" w:rsidR="00F52EF3" w:rsidRPr="008063D4" w:rsidRDefault="00F52EF3" w:rsidP="00254C9C">
      <w:pPr>
        <w:spacing w:after="0" w:line="240" w:lineRule="auto"/>
        <w:jc w:val="both"/>
        <w:rPr>
          <w:rFonts w:ascii="Times New Roman" w:hAnsi="Times New Roman" w:cs="Times New Roman"/>
          <w:b/>
          <w:sz w:val="24"/>
          <w:szCs w:val="24"/>
        </w:rPr>
      </w:pPr>
    </w:p>
    <w:p w14:paraId="2488BAB4" w14:textId="3AA54F14" w:rsidR="00F52EF3" w:rsidRPr="008063D4" w:rsidRDefault="00256E0E" w:rsidP="00254C9C">
      <w:pPr>
        <w:autoSpaceDE w:val="0"/>
        <w:autoSpaceDN w:val="0"/>
        <w:adjustRightInd w:val="0"/>
        <w:spacing w:after="0" w:line="240" w:lineRule="auto"/>
        <w:jc w:val="both"/>
        <w:rPr>
          <w:rFonts w:ascii="Times New Roman" w:hAnsi="Times New Roman" w:cs="Times New Roman"/>
          <w:b/>
          <w:bCs/>
          <w:iCs/>
          <w:color w:val="000000"/>
          <w:sz w:val="24"/>
          <w:szCs w:val="24"/>
        </w:rPr>
      </w:pPr>
      <w:r>
        <w:rPr>
          <w:rFonts w:ascii="Times New Roman" w:hAnsi="Times New Roman" w:cs="Times New Roman"/>
          <w:b/>
          <w:sz w:val="24"/>
          <w:szCs w:val="24"/>
          <w:lang w:eastAsia="fr-FR"/>
        </w:rPr>
        <w:t>c)</w:t>
      </w:r>
      <w:r w:rsidR="00E76A8E">
        <w:rPr>
          <w:rFonts w:ascii="Times New Roman" w:hAnsi="Times New Roman" w:cs="Times New Roman"/>
          <w:b/>
          <w:sz w:val="24"/>
          <w:szCs w:val="24"/>
          <w:lang w:eastAsia="fr-FR"/>
        </w:rPr>
        <w:t xml:space="preserve"> </w:t>
      </w:r>
      <w:r w:rsidR="00F52EF3" w:rsidRPr="008063D4">
        <w:rPr>
          <w:rFonts w:ascii="Times New Roman" w:hAnsi="Times New Roman" w:cs="Times New Roman"/>
          <w:b/>
          <w:bCs/>
          <w:iCs/>
          <w:color w:val="000000"/>
          <w:sz w:val="24"/>
          <w:szCs w:val="24"/>
        </w:rPr>
        <w:t>Importance touristique de la biodiversité</w:t>
      </w:r>
    </w:p>
    <w:p w14:paraId="2C6F4024" w14:textId="77777777" w:rsidR="009777ED" w:rsidRDefault="009777ED" w:rsidP="00254C9C">
      <w:pPr>
        <w:autoSpaceDE w:val="0"/>
        <w:autoSpaceDN w:val="0"/>
        <w:adjustRightInd w:val="0"/>
        <w:spacing w:after="0" w:line="240" w:lineRule="auto"/>
        <w:jc w:val="both"/>
        <w:rPr>
          <w:rFonts w:ascii="Times New Roman" w:hAnsi="Times New Roman" w:cs="Times New Roman"/>
          <w:sz w:val="24"/>
          <w:szCs w:val="24"/>
        </w:rPr>
      </w:pPr>
    </w:p>
    <w:p w14:paraId="42FC7A1F" w14:textId="45BB6740" w:rsidR="004F4455"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 xml:space="preserve">Le secteur du tourisme bénéficie des services de la biodiversité au Togo. Ce secteur dispose d’importants atouts pour le développement </w:t>
      </w:r>
      <w:r w:rsidR="00E673EB">
        <w:rPr>
          <w:rFonts w:ascii="Times New Roman" w:hAnsi="Times New Roman" w:cs="Times New Roman"/>
          <w:sz w:val="24"/>
          <w:szCs w:val="24"/>
        </w:rPr>
        <w:t xml:space="preserve">de </w:t>
      </w:r>
      <w:r w:rsidRPr="008063D4">
        <w:rPr>
          <w:rFonts w:ascii="Times New Roman" w:hAnsi="Times New Roman" w:cs="Times New Roman"/>
          <w:sz w:val="24"/>
          <w:szCs w:val="24"/>
        </w:rPr>
        <w:t>l’écotourisme. En effet la géographie du pays offre de nombreux atouts liés à la diversité du climat, des sols, de la flore, de la faune et du relief. Ainsi,</w:t>
      </w:r>
      <w:r w:rsidRPr="008063D4">
        <w:rPr>
          <w:rFonts w:ascii="Times New Roman" w:hAnsi="Times New Roman" w:cs="Times New Roman"/>
          <w:color w:val="000000"/>
          <w:sz w:val="24"/>
          <w:szCs w:val="24"/>
        </w:rPr>
        <w:t xml:space="preserve"> le secteur en charge de l’environnement  met à profit du secteur du tourisme, </w:t>
      </w:r>
      <w:r w:rsidRPr="008063D4">
        <w:rPr>
          <w:rFonts w:ascii="Times New Roman" w:hAnsi="Times New Roman" w:cs="Times New Roman"/>
          <w:sz w:val="24"/>
          <w:szCs w:val="24"/>
        </w:rPr>
        <w:t xml:space="preserve">d’importants écosystèmes exceptionnels au Togo tels que </w:t>
      </w:r>
      <w:r w:rsidRPr="008063D4">
        <w:rPr>
          <w:rFonts w:ascii="Times New Roman" w:hAnsi="Times New Roman" w:cs="Times New Roman"/>
          <w:color w:val="000000"/>
          <w:sz w:val="24"/>
          <w:szCs w:val="24"/>
        </w:rPr>
        <w:t xml:space="preserve">les forêts classées, les forêts sacrées, les cascades, </w:t>
      </w:r>
      <w:r w:rsidRPr="008063D4">
        <w:rPr>
          <w:rFonts w:ascii="Times New Roman" w:hAnsi="Times New Roman" w:cs="Times New Roman"/>
          <w:sz w:val="24"/>
          <w:szCs w:val="24"/>
        </w:rPr>
        <w:t xml:space="preserve">les mares (Etse, 2012), les Parcs Nationaux (FFW, 2013) et les inselbergs, notoires pour leur richesse spécifique particulière à travers des </w:t>
      </w:r>
      <w:r w:rsidRPr="008063D4">
        <w:rPr>
          <w:rFonts w:ascii="Times New Roman" w:hAnsi="Times New Roman" w:cs="Times New Roman"/>
          <w:color w:val="000000"/>
          <w:sz w:val="24"/>
          <w:szCs w:val="24"/>
        </w:rPr>
        <w:t xml:space="preserve">programmes de tourisme compatible avec les idéaux de la conservation. </w:t>
      </w:r>
      <w:r w:rsidRPr="008063D4">
        <w:rPr>
          <w:rFonts w:ascii="Times New Roman" w:hAnsi="Times New Roman" w:cs="Times New Roman"/>
          <w:sz w:val="24"/>
          <w:szCs w:val="24"/>
        </w:rPr>
        <w:t>Yapi et Sessi (1999) indiquent qu’un prélèvement d'environ 2 % de la valeur ajoutée du secteur du tourisme pourrait servir de compensation représentant la valeur minimale des services de la forêt sous sa forme de sites à caractère touristique, scientifique et éducationnel. Sur cette base, MERF/FAO (2016) indique que la compensation du tourisme au Togo en 2015 peut être estimée à 3,22 milliards de F CFA).</w:t>
      </w:r>
    </w:p>
    <w:p w14:paraId="6AE5D751" w14:textId="77777777" w:rsidR="004F4455" w:rsidRDefault="004F4455" w:rsidP="00254C9C">
      <w:pPr>
        <w:autoSpaceDE w:val="0"/>
        <w:autoSpaceDN w:val="0"/>
        <w:adjustRightInd w:val="0"/>
        <w:spacing w:after="0" w:line="240" w:lineRule="auto"/>
        <w:jc w:val="both"/>
        <w:rPr>
          <w:rFonts w:ascii="Times New Roman" w:hAnsi="Times New Roman" w:cs="Times New Roman"/>
          <w:sz w:val="24"/>
          <w:szCs w:val="24"/>
        </w:rPr>
      </w:pPr>
    </w:p>
    <w:p w14:paraId="0E823963"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 xml:space="preserve">La contribution à l’économie nationale du tourisme, dont les performances notables des années 70 et 80 se sont réduites durant la période de crise sociopolitique et se poursuivent avec la dégradation des infrastructures hôtelières et touristiques est aujourd’hui très faible. Pour les valoriser, plusieurs actions ont été planifiées par le ministère du tourisme en collaboration avec le ministère en charge des ressources forestières (DSRP-C, 2010). Il s’agit de (i) définir une politique claire de promotion touristique en mettant l’accent sur l’écotourisme ; (ii) élaborer le schéma d’aménagement des sites touristiques ; (iii) actualiser les textes réglementant le secteur et de veiller à leur application ; (iii) faire une publicité active sur le tourisme au Togo (affiches publicitaires, production de prospectus et des documentaires sur les potentiels touristiques togolais, etc.) ; (iv) sensibiliser les collectivités locales au développement du tourisme local. Par ailleurs, le gouvernement a pris l’option de créer un cadre  incitatif en vue de permettre au secteur privé de développer une industrie hôtelière autour des sites touristiques réhabilités et des aires protégées. </w:t>
      </w:r>
    </w:p>
    <w:p w14:paraId="34E0414A"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bCs/>
          <w:sz w:val="24"/>
          <w:szCs w:val="24"/>
        </w:rPr>
      </w:pPr>
    </w:p>
    <w:p w14:paraId="1A3581D0" w14:textId="77777777" w:rsidR="00F52EF3" w:rsidRPr="008063D4" w:rsidRDefault="007E6F58" w:rsidP="00254C9C">
      <w:pPr>
        <w:spacing w:after="0" w:line="240" w:lineRule="auto"/>
        <w:jc w:val="both"/>
        <w:rPr>
          <w:rFonts w:ascii="Times New Roman" w:hAnsi="Times New Roman" w:cs="Times New Roman"/>
          <w:b/>
          <w:bCs/>
          <w:sz w:val="24"/>
          <w:szCs w:val="24"/>
        </w:rPr>
      </w:pPr>
      <w:r>
        <w:rPr>
          <w:rFonts w:ascii="Times New Roman" w:hAnsi="Times New Roman" w:cs="Times New Roman"/>
          <w:b/>
          <w:sz w:val="24"/>
          <w:szCs w:val="24"/>
          <w:lang w:eastAsia="fr-FR"/>
        </w:rPr>
        <w:t>d)</w:t>
      </w:r>
      <w:r w:rsidRPr="008063D4">
        <w:rPr>
          <w:rFonts w:ascii="Times New Roman" w:hAnsi="Times New Roman" w:cs="Times New Roman"/>
          <w:b/>
          <w:bCs/>
          <w:sz w:val="24"/>
          <w:szCs w:val="24"/>
        </w:rPr>
        <w:t xml:space="preserve"> Importance</w:t>
      </w:r>
      <w:r w:rsidR="00F52EF3" w:rsidRPr="008063D4">
        <w:rPr>
          <w:rFonts w:ascii="Times New Roman" w:hAnsi="Times New Roman" w:cs="Times New Roman"/>
          <w:b/>
          <w:bCs/>
          <w:sz w:val="24"/>
          <w:szCs w:val="24"/>
        </w:rPr>
        <w:t xml:space="preserve"> sociale de la biodiversité</w:t>
      </w:r>
    </w:p>
    <w:p w14:paraId="11C1B872" w14:textId="77777777" w:rsidR="009777ED" w:rsidRDefault="009777ED" w:rsidP="00254C9C">
      <w:pPr>
        <w:pStyle w:val="Standard"/>
        <w:spacing w:after="0" w:line="240" w:lineRule="auto"/>
        <w:jc w:val="both"/>
        <w:rPr>
          <w:rFonts w:ascii="Times New Roman" w:hAnsi="Times New Roman" w:cs="Times New Roman"/>
          <w:sz w:val="24"/>
          <w:szCs w:val="24"/>
        </w:rPr>
      </w:pPr>
    </w:p>
    <w:p w14:paraId="4FCDA383" w14:textId="59E35DBC" w:rsidR="004F4455" w:rsidRDefault="00F52EF3" w:rsidP="00254C9C">
      <w:pPr>
        <w:pStyle w:val="Standard"/>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 xml:space="preserve">La biodiversité à travers les écosystèmes forestiers a un effet induit sur l’emploi (MERF, 2014). Selon </w:t>
      </w:r>
      <w:r w:rsidR="00E673EB">
        <w:rPr>
          <w:rFonts w:ascii="Times New Roman" w:hAnsi="Times New Roman" w:cs="Times New Roman"/>
          <w:sz w:val="24"/>
          <w:szCs w:val="24"/>
        </w:rPr>
        <w:t xml:space="preserve">la </w:t>
      </w:r>
      <w:r w:rsidRPr="008063D4">
        <w:rPr>
          <w:rFonts w:ascii="Times New Roman" w:hAnsi="Times New Roman" w:cs="Times New Roman"/>
          <w:sz w:val="24"/>
          <w:szCs w:val="24"/>
        </w:rPr>
        <w:t>FAO (2014), le secteur forestier structuré emploie 13,2 millions de personnes dans le monde tandis que le secteur informel emploie au moins 14 millions de personnes (FAO, 2014). Au Togo, il contribue à résorber le problème du chômage avec le recrutement des forestiers. Ainsi entre 2003 et 2006, 323 nouveaux agents forestiers parmi lesquels on compte 43 cadres ont été recru</w:t>
      </w:r>
      <w:r w:rsidR="00E673EB">
        <w:rPr>
          <w:rFonts w:ascii="Times New Roman" w:hAnsi="Times New Roman" w:cs="Times New Roman"/>
          <w:sz w:val="24"/>
          <w:szCs w:val="24"/>
        </w:rPr>
        <w:t>tés. Par ailleurs, l’Office de D</w:t>
      </w:r>
      <w:r w:rsidRPr="008063D4">
        <w:rPr>
          <w:rFonts w:ascii="Times New Roman" w:hAnsi="Times New Roman" w:cs="Times New Roman"/>
          <w:sz w:val="24"/>
          <w:szCs w:val="24"/>
        </w:rPr>
        <w:t>éveloppement et d’</w:t>
      </w:r>
      <w:r w:rsidR="00E673EB">
        <w:rPr>
          <w:rFonts w:ascii="Times New Roman" w:hAnsi="Times New Roman" w:cs="Times New Roman"/>
          <w:sz w:val="24"/>
          <w:szCs w:val="24"/>
        </w:rPr>
        <w:t>Exploitation des F</w:t>
      </w:r>
      <w:r w:rsidRPr="008063D4">
        <w:rPr>
          <w:rFonts w:ascii="Times New Roman" w:hAnsi="Times New Roman" w:cs="Times New Roman"/>
          <w:sz w:val="24"/>
          <w:szCs w:val="24"/>
        </w:rPr>
        <w:t>orêts (ODEF) qui gère les forêts domaniales emploie en moyenne chaque année 212 agents constitués des agents de l’Etat (20%) et une main d’œuvre très importante, essentiellement composée de la masse paysanne (MERF/FAO, 2011).</w:t>
      </w:r>
    </w:p>
    <w:p w14:paraId="1F06B7FA" w14:textId="77777777" w:rsidR="004F4455" w:rsidRDefault="004F4455" w:rsidP="00254C9C">
      <w:pPr>
        <w:pStyle w:val="Standard"/>
        <w:spacing w:after="0" w:line="240" w:lineRule="auto"/>
        <w:jc w:val="both"/>
        <w:rPr>
          <w:rFonts w:ascii="Times New Roman" w:hAnsi="Times New Roman" w:cs="Times New Roman"/>
          <w:sz w:val="24"/>
          <w:szCs w:val="24"/>
        </w:rPr>
      </w:pPr>
    </w:p>
    <w:p w14:paraId="5FCCAE10" w14:textId="77777777" w:rsidR="00F52EF3" w:rsidRPr="008063D4" w:rsidRDefault="00F52EF3" w:rsidP="00254C9C">
      <w:pPr>
        <w:pStyle w:val="Standard"/>
        <w:spacing w:after="0" w:line="240" w:lineRule="auto"/>
        <w:jc w:val="both"/>
        <w:rPr>
          <w:rFonts w:ascii="Times New Roman" w:hAnsi="Times New Roman" w:cs="Times New Roman"/>
          <w:sz w:val="24"/>
          <w:szCs w:val="24"/>
        </w:rPr>
      </w:pPr>
      <w:r w:rsidRPr="008063D4">
        <w:rPr>
          <w:rFonts w:ascii="Times New Roman" w:hAnsi="Times New Roman" w:cs="Times New Roman"/>
          <w:sz w:val="24"/>
          <w:szCs w:val="24"/>
        </w:rPr>
        <w:t>Il faut aussi préciser que la biodiversité à travers l’exploitation forestière fait intervenir plusieurs acteurs répartis en 5 catégories (MERF, 2016). Il s’agit (i) du secteur privé formel constitué d’opérateurs économiques, planteurs privés, des entreprises de promoteurs privés ; (ii) du secteur privé informel constitué de centaines, voire de milliers de petits opérateurs (entreprise individuelle, voire familiale, en général) planteurs privés (propriétaires de quelques dizaines d’hectares (de teck notamment), généralement des populations du milieu rural, propriétaires terriens qui font de l’arboriculture d’essences forestières un moyen de diversification de leurs sources de revenu (deuxième groupe) ; (iii) des associations à la base et les ONG qui prennent une part active dans la gestion durable des ressources forestières qu’elles exploitent et valorisent à cette occasion et (iv) enfin, les intermédiaires commerciaux qui ne produisent pas du matériel ligneux, mais achètent pour le revendre en l’état ou après une légère transformation. De façon générale, l</w:t>
      </w:r>
      <w:r w:rsidRPr="008063D4">
        <w:rPr>
          <w:rFonts w:ascii="Times New Roman" w:hAnsi="Times New Roman" w:cs="Times New Roman"/>
          <w:bCs/>
          <w:sz w:val="24"/>
          <w:szCs w:val="24"/>
        </w:rPr>
        <w:t xml:space="preserve">es emplois générés par le secteur  forestier (formel et informel) représentent 146 000 personnes, en 2011,  soit 4,8% de la main d’œuvre totale du pays tandis que 85,7% de la population utilise le bois comme source d’énergie primaire (FAO, 214). Il faut aussi préciser que la biodiversité togolaise à travers les biens qu’elle fournit en termes monétaire et de nourriture à la population </w:t>
      </w:r>
      <w:r w:rsidRPr="008063D4">
        <w:rPr>
          <w:rFonts w:ascii="Times New Roman" w:hAnsi="Times New Roman" w:cs="Times New Roman"/>
          <w:sz w:val="24"/>
          <w:szCs w:val="24"/>
        </w:rPr>
        <w:t>contribue à la lutte contre l’insécurité alimentaire au Togo.</w:t>
      </w:r>
    </w:p>
    <w:p w14:paraId="4A3E7726" w14:textId="77777777" w:rsidR="00F52EF3" w:rsidRPr="008063D4" w:rsidRDefault="00F52EF3" w:rsidP="00254C9C">
      <w:pPr>
        <w:spacing w:after="0" w:line="240" w:lineRule="auto"/>
        <w:jc w:val="both"/>
        <w:rPr>
          <w:rFonts w:ascii="Times New Roman" w:hAnsi="Times New Roman" w:cs="Times New Roman"/>
          <w:b/>
          <w:sz w:val="24"/>
          <w:szCs w:val="24"/>
          <w:lang w:eastAsia="fr-FR"/>
        </w:rPr>
      </w:pPr>
    </w:p>
    <w:p w14:paraId="596DD6C1" w14:textId="028FD609" w:rsidR="00F52EF3" w:rsidRPr="008063D4" w:rsidRDefault="00256E0E" w:rsidP="00254C9C">
      <w:pPr>
        <w:spacing w:after="0" w:line="240" w:lineRule="auto"/>
        <w:jc w:val="both"/>
        <w:rPr>
          <w:rFonts w:ascii="Times New Roman" w:hAnsi="Times New Roman" w:cs="Times New Roman"/>
          <w:b/>
          <w:bCs/>
          <w:sz w:val="24"/>
          <w:szCs w:val="24"/>
        </w:rPr>
      </w:pPr>
      <w:r>
        <w:rPr>
          <w:rFonts w:ascii="Times New Roman" w:hAnsi="Times New Roman" w:cs="Times New Roman"/>
          <w:b/>
          <w:sz w:val="24"/>
          <w:szCs w:val="24"/>
          <w:lang w:eastAsia="fr-FR"/>
        </w:rPr>
        <w:t>e)</w:t>
      </w:r>
      <w:r w:rsidR="00E673EB">
        <w:rPr>
          <w:rFonts w:ascii="Times New Roman" w:hAnsi="Times New Roman" w:cs="Times New Roman"/>
          <w:b/>
          <w:sz w:val="24"/>
          <w:szCs w:val="24"/>
          <w:lang w:eastAsia="fr-FR"/>
        </w:rPr>
        <w:t xml:space="preserve"> </w:t>
      </w:r>
      <w:r w:rsidR="00F52EF3" w:rsidRPr="008063D4">
        <w:rPr>
          <w:rFonts w:ascii="Times New Roman" w:hAnsi="Times New Roman" w:cs="Times New Roman"/>
          <w:b/>
          <w:bCs/>
          <w:sz w:val="24"/>
          <w:szCs w:val="24"/>
        </w:rPr>
        <w:t>Importance écologique</w:t>
      </w:r>
    </w:p>
    <w:p w14:paraId="65D47DCE" w14:textId="77777777" w:rsidR="009777ED" w:rsidRDefault="009777ED" w:rsidP="00254C9C">
      <w:pPr>
        <w:autoSpaceDE w:val="0"/>
        <w:autoSpaceDN w:val="0"/>
        <w:adjustRightInd w:val="0"/>
        <w:spacing w:after="0" w:line="240" w:lineRule="auto"/>
        <w:jc w:val="both"/>
        <w:rPr>
          <w:rFonts w:ascii="Times New Roman" w:hAnsi="Times New Roman" w:cs="Times New Roman"/>
          <w:sz w:val="24"/>
          <w:szCs w:val="24"/>
        </w:rPr>
      </w:pPr>
    </w:p>
    <w:p w14:paraId="23EB43EB" w14:textId="205B49BD"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 xml:space="preserve">Au Togo, la biodiversité exerce une influence sur le climat, la fertilité des sols, les conditions de vie des populations locales et sur leurs activités économiques. En effet en raison de la fraîcheur du climat qui y prévaut, les zones boisées (de Kloto, Danyi, Wawa, Blitta, Tchamba) exercent un attrait sur les populations locales et notamment sur les touristes. Ces mêmes zones fortement arrosées sont les lieux d’activités agricoles diversifiées (de cultures de manioc, d’igname, de café de cacao) favorisées de sucroît par la fertilité des sols forestiers et la bonne infiltration des eaux de pluies dans ceux-ci.  Par contre, les zones </w:t>
      </w:r>
      <w:r w:rsidR="002C20C7">
        <w:rPr>
          <w:rFonts w:ascii="Times New Roman" w:hAnsi="Times New Roman" w:cs="Times New Roman"/>
          <w:color w:val="000000"/>
          <w:sz w:val="24"/>
          <w:szCs w:val="24"/>
          <w:lang w:eastAsia="fr-FR"/>
        </w:rPr>
        <w:t>à</w:t>
      </w:r>
      <w:r w:rsidRPr="008063D4">
        <w:rPr>
          <w:rFonts w:ascii="Times New Roman" w:hAnsi="Times New Roman" w:cs="Times New Roman"/>
          <w:color w:val="000000"/>
          <w:sz w:val="24"/>
          <w:szCs w:val="24"/>
          <w:lang w:eastAsia="fr-FR"/>
        </w:rPr>
        <w:t xml:space="preserve"> faible couvert végétal et peu infestées (Région des Savanes, Kara) sont les lieux d’élevage par prédilection d</w:t>
      </w:r>
      <w:r w:rsidR="00E60918">
        <w:rPr>
          <w:rFonts w:ascii="Times New Roman" w:hAnsi="Times New Roman" w:cs="Times New Roman"/>
          <w:color w:val="000000"/>
          <w:sz w:val="24"/>
          <w:szCs w:val="24"/>
          <w:lang w:eastAsia="fr-FR"/>
        </w:rPr>
        <w:t>u bétail, de</w:t>
      </w:r>
      <w:r w:rsidR="00EC17E3">
        <w:rPr>
          <w:rFonts w:ascii="Times New Roman" w:hAnsi="Times New Roman" w:cs="Times New Roman"/>
          <w:color w:val="000000"/>
          <w:sz w:val="24"/>
          <w:szCs w:val="24"/>
          <w:lang w:eastAsia="fr-FR"/>
        </w:rPr>
        <w:t xml:space="preserve"> </w:t>
      </w:r>
      <w:r w:rsidRPr="008063D4">
        <w:rPr>
          <w:rFonts w:ascii="Times New Roman" w:hAnsi="Times New Roman" w:cs="Times New Roman"/>
          <w:color w:val="000000"/>
          <w:sz w:val="24"/>
          <w:szCs w:val="24"/>
          <w:lang w:eastAsia="fr-FR"/>
        </w:rPr>
        <w:t>petits ruminants</w:t>
      </w:r>
      <w:r w:rsidR="00E60918">
        <w:rPr>
          <w:rFonts w:ascii="Times New Roman" w:hAnsi="Times New Roman" w:cs="Times New Roman"/>
          <w:color w:val="000000"/>
          <w:sz w:val="24"/>
          <w:szCs w:val="24"/>
          <w:lang w:eastAsia="fr-FR"/>
        </w:rPr>
        <w:t xml:space="preserve"> et</w:t>
      </w:r>
      <w:r w:rsidRPr="008063D4">
        <w:rPr>
          <w:rFonts w:ascii="Times New Roman" w:hAnsi="Times New Roman" w:cs="Times New Roman"/>
          <w:color w:val="000000"/>
          <w:sz w:val="24"/>
          <w:szCs w:val="24"/>
          <w:lang w:eastAsia="fr-FR"/>
        </w:rPr>
        <w:t xml:space="preserve"> de volailles. Les flancs des montagnes (Mont Agou, Malfakassa) sont recouverts de forêts qui stabilisent et luttent contre les risques d’éboulement. Les forêts riveraines (ripicoles et galeries) longeant les cours d’eau (tels le Mono, l’Anié) protègent les berges de ces écosystèmes aquatiques. Mais depuis quelques années, ces forêts sont exploitées. </w:t>
      </w:r>
    </w:p>
    <w:p w14:paraId="1399606C" w14:textId="77777777" w:rsidR="00F52EF3" w:rsidRPr="008063D4" w:rsidRDefault="00F52EF3" w:rsidP="00254C9C">
      <w:pPr>
        <w:spacing w:after="0" w:line="240" w:lineRule="auto"/>
        <w:jc w:val="both"/>
        <w:rPr>
          <w:rFonts w:ascii="Times New Roman" w:hAnsi="Times New Roman" w:cs="Times New Roman"/>
          <w:b/>
          <w:bCs/>
          <w:sz w:val="24"/>
          <w:szCs w:val="24"/>
        </w:rPr>
      </w:pPr>
    </w:p>
    <w:p w14:paraId="7E14BEBC" w14:textId="77777777" w:rsidR="00F52EF3" w:rsidRPr="008063D4" w:rsidRDefault="007E6F58" w:rsidP="00254C9C">
      <w:pPr>
        <w:autoSpaceDE w:val="0"/>
        <w:autoSpaceDN w:val="0"/>
        <w:adjustRightInd w:val="0"/>
        <w:spacing w:after="0" w:line="240" w:lineRule="auto"/>
        <w:rPr>
          <w:rFonts w:ascii="Times New Roman" w:hAnsi="Times New Roman" w:cs="Times New Roman"/>
          <w:b/>
          <w:bCs/>
          <w:color w:val="000000"/>
          <w:sz w:val="24"/>
          <w:szCs w:val="24"/>
          <w:lang w:eastAsia="fr-FR"/>
        </w:rPr>
      </w:pPr>
      <w:r>
        <w:rPr>
          <w:rFonts w:ascii="Times New Roman" w:hAnsi="Times New Roman" w:cs="Times New Roman"/>
          <w:b/>
          <w:sz w:val="24"/>
          <w:szCs w:val="24"/>
          <w:lang w:eastAsia="fr-FR"/>
        </w:rPr>
        <w:t>f)</w:t>
      </w:r>
      <w:r w:rsidRPr="008063D4">
        <w:rPr>
          <w:rFonts w:ascii="Times New Roman" w:hAnsi="Times New Roman" w:cs="Times New Roman"/>
          <w:b/>
          <w:bCs/>
          <w:color w:val="000000"/>
          <w:sz w:val="24"/>
          <w:szCs w:val="24"/>
          <w:lang w:eastAsia="fr-FR"/>
        </w:rPr>
        <w:t xml:space="preserve"> Importance</w:t>
      </w:r>
      <w:r w:rsidR="00F52EF3" w:rsidRPr="008063D4">
        <w:rPr>
          <w:rFonts w:ascii="Times New Roman" w:hAnsi="Times New Roman" w:cs="Times New Roman"/>
          <w:b/>
          <w:bCs/>
          <w:color w:val="000000"/>
          <w:sz w:val="24"/>
          <w:szCs w:val="24"/>
          <w:lang w:eastAsia="fr-FR"/>
        </w:rPr>
        <w:t xml:space="preserve"> en termes de séquestration de carbone </w:t>
      </w:r>
    </w:p>
    <w:p w14:paraId="7CE638A4" w14:textId="77777777" w:rsidR="00F52EF3" w:rsidRPr="008063D4" w:rsidRDefault="00F52EF3" w:rsidP="00254C9C">
      <w:pPr>
        <w:autoSpaceDE w:val="0"/>
        <w:autoSpaceDN w:val="0"/>
        <w:adjustRightInd w:val="0"/>
        <w:spacing w:after="0" w:line="240" w:lineRule="auto"/>
        <w:rPr>
          <w:rFonts w:ascii="Times New Roman" w:hAnsi="Times New Roman" w:cs="Times New Roman"/>
          <w:b/>
          <w:bCs/>
          <w:color w:val="000000"/>
          <w:sz w:val="24"/>
          <w:szCs w:val="24"/>
          <w:lang w:eastAsia="fr-FR"/>
        </w:rPr>
      </w:pPr>
    </w:p>
    <w:p w14:paraId="2717DFA5" w14:textId="77777777" w:rsidR="00F52EF3" w:rsidRPr="008063D4" w:rsidRDefault="00F52EF3" w:rsidP="00254C9C">
      <w:pPr>
        <w:spacing w:after="0" w:line="240" w:lineRule="auto"/>
        <w:jc w:val="both"/>
        <w:rPr>
          <w:rFonts w:ascii="Times New Roman" w:hAnsi="Times New Roman" w:cs="Times New Roman"/>
          <w:sz w:val="24"/>
          <w:szCs w:val="24"/>
        </w:rPr>
      </w:pPr>
      <w:r w:rsidRPr="008063D4">
        <w:rPr>
          <w:rFonts w:ascii="Times New Roman" w:hAnsi="Times New Roman" w:cs="Times New Roman"/>
          <w:color w:val="000000"/>
          <w:sz w:val="24"/>
          <w:szCs w:val="24"/>
          <w:lang w:eastAsia="fr-FR"/>
        </w:rPr>
        <w:t xml:space="preserve">En matière de service écosystémique lié aux capacités de stockage de carbone pour les écosystèmes du Togo, les travaux réalisés dans le cadre </w:t>
      </w:r>
      <w:r w:rsidR="00E60918">
        <w:rPr>
          <w:rFonts w:ascii="Times New Roman" w:hAnsi="Times New Roman" w:cs="Times New Roman"/>
          <w:color w:val="000000"/>
          <w:sz w:val="24"/>
          <w:szCs w:val="24"/>
          <w:lang w:eastAsia="fr-FR"/>
        </w:rPr>
        <w:t>d</w:t>
      </w:r>
      <w:r w:rsidRPr="008063D4">
        <w:rPr>
          <w:rFonts w:ascii="Times New Roman" w:hAnsi="Times New Roman" w:cs="Times New Roman"/>
          <w:color w:val="000000"/>
          <w:sz w:val="24"/>
          <w:szCs w:val="24"/>
          <w:lang w:eastAsia="fr-FR"/>
        </w:rPr>
        <w:t xml:space="preserve">u projet de soutien à la préparation à la REDD+ en utilisant les données de l’inventaire national ont permis d’évaluer la biomasse végétale dans les différents compartiments au Togo (MERF, 2018). Les résultats obtenus pour la biomasse aérienne </w:t>
      </w:r>
      <w:r w:rsidRPr="008063D4">
        <w:rPr>
          <w:rFonts w:ascii="Times New Roman" w:hAnsi="Times New Roman" w:cs="Times New Roman"/>
          <w:sz w:val="24"/>
          <w:szCs w:val="24"/>
        </w:rPr>
        <w:t xml:space="preserve">par type d’occupation du sol </w:t>
      </w:r>
      <w:r w:rsidRPr="008063D4">
        <w:rPr>
          <w:rFonts w:ascii="Times New Roman" w:hAnsi="Times New Roman" w:cs="Times New Roman"/>
          <w:color w:val="000000"/>
          <w:sz w:val="24"/>
          <w:szCs w:val="24"/>
          <w:lang w:eastAsia="fr-FR"/>
        </w:rPr>
        <w:t xml:space="preserve">indiquent </w:t>
      </w:r>
      <w:r w:rsidRPr="008063D4">
        <w:rPr>
          <w:rFonts w:ascii="Times New Roman" w:hAnsi="Times New Roman" w:cs="Times New Roman"/>
          <w:sz w:val="24"/>
          <w:szCs w:val="24"/>
        </w:rPr>
        <w:t>globalement que les forêts denses, les forêts claires et les forêts riveraines/marécageuses sont caractérisées par des valeurs de biomasse élevées respectivement 49,6 t/ha, 50,5 t/ha et 71,2 t/ha. Pour ce qui concerne la quantité du carbone du sol, elle varie de 30 t/ha à 80 t/ha avec une moyenne de 47,16 t/ha pour l’ensemble des placettes inventoriées. La distribution par type d’occupation du sol montre  que les sols nus, les forêts denses, les forêts claires/savanes boisées et les forêts riveraines sont caractérisées par des valeurs de carbone de sol relativement  élevées respectivement 59,7 t/ha, 58,1 t/ha, 49,7t/ha et 49,4 t/ha.</w:t>
      </w:r>
    </w:p>
    <w:p w14:paraId="59EB7E5A"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3A5B327D"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14" w:name="_Toc533413778"/>
      <w:r w:rsidRPr="008063D4">
        <w:rPr>
          <w:rFonts w:ascii="Times New Roman" w:hAnsi="Times New Roman" w:cs="Times New Roman"/>
          <w:b/>
          <w:color w:val="000000"/>
          <w:sz w:val="24"/>
          <w:szCs w:val="24"/>
        </w:rPr>
        <w:t>7.1.2. Pressions principales et facteurs de changement exercés sur la biodiversité</w:t>
      </w:r>
      <w:bookmarkEnd w:id="114"/>
    </w:p>
    <w:p w14:paraId="57ACBF8C" w14:textId="77777777" w:rsidR="00F52EF3" w:rsidRPr="008063D4" w:rsidRDefault="00F52EF3" w:rsidP="00254C9C">
      <w:pPr>
        <w:spacing w:after="0" w:line="240" w:lineRule="auto"/>
        <w:jc w:val="both"/>
        <w:rPr>
          <w:rFonts w:ascii="Times New Roman" w:hAnsi="Times New Roman" w:cs="Times New Roman"/>
          <w:sz w:val="24"/>
          <w:szCs w:val="24"/>
        </w:rPr>
      </w:pPr>
      <w:bookmarkStart w:id="115" w:name="_Toc370210547"/>
    </w:p>
    <w:p w14:paraId="193D4B68" w14:textId="77777777" w:rsidR="006A0C36" w:rsidRDefault="006A0C36" w:rsidP="00254C9C">
      <w:pPr>
        <w:spacing w:after="0" w:line="240" w:lineRule="auto"/>
        <w:jc w:val="both"/>
        <w:rPr>
          <w:rFonts w:ascii="Times New Roman" w:hAnsi="Times New Roman" w:cs="Times New Roman"/>
          <w:sz w:val="24"/>
          <w:szCs w:val="24"/>
        </w:rPr>
      </w:pPr>
      <w:r w:rsidRPr="006A0C36">
        <w:rPr>
          <w:rFonts w:ascii="Times New Roman" w:hAnsi="Times New Roman" w:cs="Times New Roman"/>
          <w:sz w:val="24"/>
          <w:szCs w:val="24"/>
        </w:rPr>
        <w:t>Les pressions sur les écosystèmes ont été largement abordées dans le chapitre I « </w:t>
      </w:r>
      <w:r w:rsidRPr="006A0C36">
        <w:rPr>
          <w:rFonts w:ascii="Times New Roman" w:hAnsi="Times New Roman" w:cs="Times New Roman"/>
          <w:bCs/>
          <w:color w:val="000000"/>
          <w:sz w:val="24"/>
          <w:szCs w:val="24"/>
        </w:rPr>
        <w:t>Renseignements sur les objectifs visés au niveau national</w:t>
      </w:r>
      <w:r w:rsidRPr="006A0C36">
        <w:rPr>
          <w:rFonts w:ascii="Times New Roman" w:hAnsi="Times New Roman" w:cs="Times New Roman"/>
          <w:sz w:val="24"/>
          <w:szCs w:val="24"/>
        </w:rPr>
        <w:t> ».</w:t>
      </w:r>
    </w:p>
    <w:p w14:paraId="223F0D51" w14:textId="77777777" w:rsidR="001435CC" w:rsidRDefault="001435CC" w:rsidP="00254C9C">
      <w:pPr>
        <w:spacing w:after="0" w:line="240" w:lineRule="auto"/>
        <w:jc w:val="both"/>
        <w:rPr>
          <w:rFonts w:ascii="Times New Roman" w:hAnsi="Times New Roman" w:cs="Times New Roman"/>
          <w:sz w:val="24"/>
          <w:szCs w:val="24"/>
        </w:rPr>
      </w:pPr>
    </w:p>
    <w:bookmarkEnd w:id="115"/>
    <w:p w14:paraId="5F829DAF" w14:textId="77777777" w:rsidR="00F52EF3" w:rsidRPr="008063D4" w:rsidRDefault="00F52EF3" w:rsidP="00254C9C">
      <w:pPr>
        <w:spacing w:after="0" w:line="240" w:lineRule="auto"/>
        <w:rPr>
          <w:rFonts w:ascii="Times New Roman" w:hAnsi="Times New Roman" w:cs="Times New Roman"/>
          <w:sz w:val="24"/>
          <w:szCs w:val="24"/>
        </w:rPr>
      </w:pPr>
    </w:p>
    <w:p w14:paraId="30E838AA" w14:textId="77777777" w:rsidR="00F52EF3" w:rsidRPr="008063D4" w:rsidRDefault="00F52EF3" w:rsidP="00555B83">
      <w:pPr>
        <w:autoSpaceDE w:val="0"/>
        <w:autoSpaceDN w:val="0"/>
        <w:adjustRightInd w:val="0"/>
        <w:spacing w:after="0" w:line="240" w:lineRule="auto"/>
        <w:outlineLvl w:val="1"/>
        <w:rPr>
          <w:rFonts w:ascii="Times New Roman" w:hAnsi="Times New Roman" w:cs="Times New Roman"/>
          <w:b/>
          <w:color w:val="000000"/>
          <w:sz w:val="24"/>
          <w:szCs w:val="24"/>
        </w:rPr>
      </w:pPr>
      <w:bookmarkStart w:id="116" w:name="_Toc533413779"/>
      <w:r w:rsidRPr="008063D4">
        <w:rPr>
          <w:rFonts w:ascii="Times New Roman" w:hAnsi="Times New Roman" w:cs="Times New Roman"/>
          <w:b/>
          <w:color w:val="000000"/>
          <w:sz w:val="24"/>
          <w:szCs w:val="24"/>
        </w:rPr>
        <w:t>7.2. Mesures pour améliorer la mise en œuvre de la convention</w:t>
      </w:r>
      <w:bookmarkEnd w:id="116"/>
    </w:p>
    <w:p w14:paraId="57D28F6C"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43D50EE1"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17" w:name="_Toc533413780"/>
      <w:r w:rsidRPr="008063D4">
        <w:rPr>
          <w:rFonts w:ascii="Times New Roman" w:hAnsi="Times New Roman" w:cs="Times New Roman"/>
          <w:b/>
          <w:color w:val="000000"/>
          <w:sz w:val="24"/>
          <w:szCs w:val="24"/>
        </w:rPr>
        <w:t>7.2.1. Mise en œuvre des SPANB</w:t>
      </w:r>
      <w:bookmarkEnd w:id="117"/>
    </w:p>
    <w:p w14:paraId="5FA8B61D"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665F5159" w14:textId="446F54EC" w:rsidR="00F52EF3" w:rsidRPr="008063D4" w:rsidRDefault="00F52EF3" w:rsidP="00254C9C">
      <w:pPr>
        <w:pStyle w:val="Commentaire"/>
        <w:spacing w:after="0"/>
        <w:jc w:val="both"/>
        <w:rPr>
          <w:rFonts w:ascii="Times New Roman" w:hAnsi="Times New Roman" w:cs="Times New Roman"/>
          <w:iCs/>
          <w:sz w:val="24"/>
          <w:szCs w:val="24"/>
          <w:lang w:val="fr-CA"/>
        </w:rPr>
      </w:pPr>
      <w:r w:rsidRPr="008063D4">
        <w:rPr>
          <w:rFonts w:ascii="Times New Roman" w:hAnsi="Times New Roman" w:cs="Times New Roman"/>
          <w:iCs/>
          <w:sz w:val="24"/>
          <w:szCs w:val="24"/>
          <w:lang w:val="fr-CA"/>
        </w:rPr>
        <w:t>Afin de permettre une bonne mise en œuvre de la nouvelle stratégie 2011-2020, SPANB, son élaboration a pris en compte les forces (</w:t>
      </w:r>
      <w:r w:rsidRPr="008063D4">
        <w:rPr>
          <w:rFonts w:ascii="Times New Roman" w:hAnsi="Times New Roman" w:cs="Times New Roman"/>
          <w:sz w:val="24"/>
          <w:szCs w:val="24"/>
        </w:rPr>
        <w:t xml:space="preserve">redélimitation consensuelle des aires protégées, </w:t>
      </w:r>
      <w:r w:rsidRPr="008063D4">
        <w:rPr>
          <w:rFonts w:ascii="Times New Roman" w:hAnsi="Times New Roman" w:cs="Times New Roman"/>
          <w:iCs/>
          <w:sz w:val="24"/>
          <w:szCs w:val="24"/>
          <w:lang w:val="fr-CA"/>
        </w:rPr>
        <w:t xml:space="preserve"> démarche pour devenir membre votant au niveau de GBIF, participation au projet SEP, </w:t>
      </w:r>
      <w:r w:rsidR="00E673EB">
        <w:rPr>
          <w:rFonts w:ascii="Times New Roman" w:hAnsi="Times New Roman" w:cs="Times New Roman"/>
          <w:iCs/>
          <w:sz w:val="24"/>
          <w:szCs w:val="24"/>
          <w:lang w:val="fr-CA"/>
        </w:rPr>
        <w:t>etc.</w:t>
      </w:r>
      <w:r w:rsidRPr="008063D4">
        <w:rPr>
          <w:rFonts w:ascii="Times New Roman" w:hAnsi="Times New Roman" w:cs="Times New Roman"/>
          <w:iCs/>
          <w:sz w:val="24"/>
          <w:szCs w:val="24"/>
          <w:lang w:val="fr-CA"/>
        </w:rPr>
        <w:t>) et les faiblesses (insuffisance de communication, ancrage institutionnel insuffisamment défini, problème de cohérence entre les différents programmes et les actions programmées</w:t>
      </w:r>
      <w:r w:rsidR="00E60918">
        <w:rPr>
          <w:rFonts w:ascii="Times New Roman" w:hAnsi="Times New Roman" w:cs="Times New Roman"/>
          <w:iCs/>
          <w:sz w:val="24"/>
          <w:szCs w:val="24"/>
          <w:lang w:val="fr-CA"/>
        </w:rPr>
        <w:t>,</w:t>
      </w:r>
      <w:r w:rsidR="00E673EB">
        <w:rPr>
          <w:rFonts w:ascii="Times New Roman" w:hAnsi="Times New Roman" w:cs="Times New Roman"/>
          <w:iCs/>
          <w:sz w:val="24"/>
          <w:szCs w:val="24"/>
          <w:lang w:val="fr-CA"/>
        </w:rPr>
        <w:t xml:space="preserve">  </w:t>
      </w:r>
      <w:r w:rsidRPr="008063D4">
        <w:rPr>
          <w:rFonts w:ascii="Times New Roman" w:hAnsi="Times New Roman" w:cs="Times New Roman"/>
          <w:sz w:val="24"/>
          <w:szCs w:val="24"/>
        </w:rPr>
        <w:t xml:space="preserve">redondance entre certaines actions planifiée, </w:t>
      </w:r>
      <w:r w:rsidR="00E673EB">
        <w:rPr>
          <w:rFonts w:ascii="Times New Roman" w:hAnsi="Times New Roman" w:cs="Times New Roman"/>
          <w:sz w:val="24"/>
          <w:szCs w:val="24"/>
        </w:rPr>
        <w:t>etc.</w:t>
      </w:r>
      <w:r w:rsidRPr="008063D4">
        <w:rPr>
          <w:rFonts w:ascii="Times New Roman" w:hAnsi="Times New Roman" w:cs="Times New Roman"/>
          <w:sz w:val="24"/>
          <w:szCs w:val="24"/>
        </w:rPr>
        <w:t xml:space="preserve">) </w:t>
      </w:r>
      <w:r w:rsidRPr="008063D4">
        <w:rPr>
          <w:rFonts w:ascii="Times New Roman" w:hAnsi="Times New Roman" w:cs="Times New Roman"/>
          <w:iCs/>
          <w:sz w:val="24"/>
          <w:szCs w:val="24"/>
          <w:lang w:val="fr-CA"/>
        </w:rPr>
        <w:t>SPANB (2003-2010). La nouvelle stratégie 2011-2020 vise à être mise en œuvre non seulement par l’Etat mais aussi par les collectivités locales et les différents acteurs de la société civile. C’est aussi pourquoi lors de la définition des objectifs nationaux, un effort a été fait pour mettre en synergie et en cohérence les différentes stratégies nationales et les différents plans d’action existants dans le domaine de la biodiversité; avec le souci d’améliorer leur articulation et de leur donner une meilleure efficacité. Elle est donc élaborée pour être réalisée à travers une série de mesures pour atteindre la vision projetée. Ces mesures sont définies dans le plan d’acti</w:t>
      </w:r>
      <w:r w:rsidR="00E673EB">
        <w:rPr>
          <w:rFonts w:ascii="Times New Roman" w:hAnsi="Times New Roman" w:cs="Times New Roman"/>
          <w:iCs/>
          <w:sz w:val="24"/>
          <w:szCs w:val="24"/>
          <w:lang w:val="fr-CA"/>
        </w:rPr>
        <w:t>on sous 9 thèmes prioritaires (p</w:t>
      </w:r>
      <w:r w:rsidRPr="008063D4">
        <w:rPr>
          <w:rFonts w:ascii="Times New Roman" w:hAnsi="Times New Roman" w:cs="Times New Roman"/>
          <w:iCs/>
          <w:sz w:val="24"/>
          <w:szCs w:val="24"/>
          <w:lang w:val="fr-CA"/>
        </w:rPr>
        <w:t xml:space="preserve">articipation et sensibilisation, conservation et utilisation des ressources phytogénétiques, biodiversité terrestre, biodiversité des eaux douces, biodiversité côtière et marine, biosécurité et biodiversité, gouvernance, information, connaissance et capacité, responsabilités nationales et internationales), faisant apparaître des enjeux locaux ainsi qu’une liste d’actions. Afin d’éviter les redondances de certaines actions, une synthèse des différents thèmes transversaux a été effectuée. </w:t>
      </w:r>
    </w:p>
    <w:p w14:paraId="71C0A2DD" w14:textId="77777777" w:rsidR="009777ED" w:rsidRDefault="009777ED" w:rsidP="00254C9C">
      <w:pPr>
        <w:pStyle w:val="Commentaire"/>
        <w:spacing w:after="0"/>
        <w:jc w:val="both"/>
        <w:rPr>
          <w:rFonts w:ascii="Times New Roman" w:hAnsi="Times New Roman" w:cs="Times New Roman"/>
          <w:sz w:val="24"/>
          <w:szCs w:val="24"/>
        </w:rPr>
      </w:pPr>
    </w:p>
    <w:p w14:paraId="0634E8D5" w14:textId="59CA641B" w:rsidR="00F52EF3" w:rsidRPr="008063D4" w:rsidRDefault="00F52EF3" w:rsidP="00254C9C">
      <w:pPr>
        <w:pStyle w:val="Commentaire"/>
        <w:spacing w:after="0"/>
        <w:jc w:val="both"/>
        <w:rPr>
          <w:rFonts w:ascii="Times New Roman" w:hAnsi="Times New Roman" w:cs="Times New Roman"/>
          <w:sz w:val="24"/>
          <w:szCs w:val="24"/>
        </w:rPr>
      </w:pPr>
      <w:r w:rsidRPr="008063D4">
        <w:rPr>
          <w:rFonts w:ascii="Times New Roman" w:hAnsi="Times New Roman" w:cs="Times New Roman"/>
          <w:sz w:val="24"/>
          <w:szCs w:val="24"/>
        </w:rPr>
        <w:t>Pour faciliter la mise en œuvre d</w:t>
      </w:r>
      <w:r w:rsidR="00E60918">
        <w:rPr>
          <w:rFonts w:ascii="Times New Roman" w:hAnsi="Times New Roman" w:cs="Times New Roman"/>
          <w:sz w:val="24"/>
          <w:szCs w:val="24"/>
        </w:rPr>
        <w:t>e la</w:t>
      </w:r>
      <w:r w:rsidRPr="008063D4">
        <w:rPr>
          <w:rFonts w:ascii="Times New Roman" w:hAnsi="Times New Roman" w:cs="Times New Roman"/>
          <w:sz w:val="24"/>
          <w:szCs w:val="24"/>
        </w:rPr>
        <w:t xml:space="preserve"> SPANB 2011-2020, </w:t>
      </w:r>
      <w:r w:rsidR="00E60918">
        <w:rPr>
          <w:rFonts w:ascii="Times New Roman" w:hAnsi="Times New Roman" w:cs="Times New Roman"/>
          <w:sz w:val="24"/>
          <w:szCs w:val="24"/>
        </w:rPr>
        <w:t>dix (</w:t>
      </w:r>
      <w:r w:rsidRPr="008063D4">
        <w:rPr>
          <w:rFonts w:ascii="Times New Roman" w:hAnsi="Times New Roman" w:cs="Times New Roman"/>
          <w:sz w:val="24"/>
          <w:szCs w:val="24"/>
        </w:rPr>
        <w:t>10</w:t>
      </w:r>
      <w:r w:rsidR="00E60918">
        <w:rPr>
          <w:rFonts w:ascii="Times New Roman" w:hAnsi="Times New Roman" w:cs="Times New Roman"/>
          <w:sz w:val="24"/>
          <w:szCs w:val="24"/>
        </w:rPr>
        <w:t>)</w:t>
      </w:r>
      <w:r w:rsidRPr="008063D4">
        <w:rPr>
          <w:rFonts w:ascii="Times New Roman" w:hAnsi="Times New Roman" w:cs="Times New Roman"/>
          <w:sz w:val="24"/>
          <w:szCs w:val="24"/>
        </w:rPr>
        <w:t xml:space="preserve"> principes directeurs</w:t>
      </w:r>
      <w:r w:rsidR="00E673EB">
        <w:rPr>
          <w:rFonts w:ascii="Times New Roman" w:hAnsi="Times New Roman" w:cs="Times New Roman"/>
          <w:sz w:val="24"/>
          <w:szCs w:val="24"/>
        </w:rPr>
        <w:t xml:space="preserve"> </w:t>
      </w:r>
      <w:r w:rsidRPr="008063D4">
        <w:rPr>
          <w:rFonts w:ascii="Times New Roman" w:hAnsi="Times New Roman" w:cs="Times New Roman"/>
          <w:sz w:val="24"/>
          <w:szCs w:val="24"/>
        </w:rPr>
        <w:t xml:space="preserve">(gouvernance, responsabilités collective et éthique, conscience individuelle et collective, partage des bénéfices, internalisation des coûts environnementaux, conservation in et ex situ, priorité à la biodiversité locale, utilisation durable de la biodiversité, prises de décisions pour la biodiversité, coopération) ont été retenus et constituent les soubassements de la stratégie et de sa mise en œuvre. </w:t>
      </w:r>
    </w:p>
    <w:p w14:paraId="36D4E043" w14:textId="77777777" w:rsidR="009777ED" w:rsidRDefault="009777ED" w:rsidP="00254C9C">
      <w:pPr>
        <w:pStyle w:val="Commentaire"/>
        <w:spacing w:after="0"/>
        <w:jc w:val="both"/>
        <w:rPr>
          <w:rFonts w:ascii="Times New Roman" w:hAnsi="Times New Roman" w:cs="Times New Roman"/>
          <w:sz w:val="24"/>
          <w:szCs w:val="24"/>
        </w:rPr>
      </w:pPr>
    </w:p>
    <w:p w14:paraId="1FAC3C9D" w14:textId="3EC84E2D" w:rsidR="00F52EF3" w:rsidRPr="008063D4" w:rsidRDefault="00F52EF3" w:rsidP="00254C9C">
      <w:pPr>
        <w:pStyle w:val="Commentaire"/>
        <w:spacing w:after="0"/>
        <w:jc w:val="both"/>
        <w:rPr>
          <w:rFonts w:ascii="Times New Roman" w:hAnsi="Times New Roman" w:cs="Times New Roman"/>
          <w:sz w:val="24"/>
          <w:szCs w:val="24"/>
        </w:rPr>
      </w:pPr>
      <w:r w:rsidRPr="008063D4">
        <w:rPr>
          <w:rFonts w:ascii="Times New Roman" w:hAnsi="Times New Roman" w:cs="Times New Roman"/>
          <w:sz w:val="24"/>
          <w:szCs w:val="24"/>
        </w:rPr>
        <w:t>Par ailleurs, une structure de gestion a été mise en place et est constituée de : (i) le gouvernement qui à travers le ministère chargé de l'Environnement et des ressources forestières, l'Agence Nati</w:t>
      </w:r>
      <w:r w:rsidR="00E673EB">
        <w:rPr>
          <w:rFonts w:ascii="Times New Roman" w:hAnsi="Times New Roman" w:cs="Times New Roman"/>
          <w:sz w:val="24"/>
          <w:szCs w:val="24"/>
        </w:rPr>
        <w:t>onale de Gestion de l'e</w:t>
      </w:r>
      <w:r w:rsidRPr="008063D4">
        <w:rPr>
          <w:rFonts w:ascii="Times New Roman" w:hAnsi="Times New Roman" w:cs="Times New Roman"/>
          <w:sz w:val="24"/>
          <w:szCs w:val="24"/>
        </w:rPr>
        <w:t>nvironnement, les Cellules chargées de l'environnement au sein des Ministères techniques, des directions régionales et préfectorales, le point focal national de la Convention sur la Diversité Biologique, la CNDD s’engage à rendre disponible les instruments juridiques et d’adapter le cadre de conservation et d'utilisation durables de la biodiversité ; (ii) les collectivités territoriales qui  sont appelés à mettre en œuvre des actions développées dans le plan d’action, ses programmes, projets, etc ; (iii) le secteur privé notamment les entreprises qui peuvent intervenir dans la mise en œuvre de la SPANB 2011-2020 par le biais de leurs regroupements, avec l’aide des chambres consulaires (chambres de métiers, d'agriculture, du commerce, d</w:t>
      </w:r>
      <w:r w:rsidR="00E673EB">
        <w:rPr>
          <w:rFonts w:ascii="Times New Roman" w:hAnsi="Times New Roman" w:cs="Times New Roman"/>
          <w:sz w:val="24"/>
          <w:szCs w:val="24"/>
        </w:rPr>
        <w:t>'industrie, patronat) ; (iv) l</w:t>
      </w:r>
      <w:r w:rsidRPr="008063D4">
        <w:rPr>
          <w:rFonts w:ascii="Times New Roman" w:hAnsi="Times New Roman" w:cs="Times New Roman"/>
          <w:sz w:val="24"/>
          <w:szCs w:val="24"/>
        </w:rPr>
        <w:t xml:space="preserve">es associations, fondations, syndicats, gestionnaires d’aires protégées qui sont aussi des acteurs de concernés par </w:t>
      </w:r>
      <w:r w:rsidR="00E673EB">
        <w:rPr>
          <w:rFonts w:ascii="Times New Roman" w:hAnsi="Times New Roman" w:cs="Times New Roman"/>
          <w:sz w:val="24"/>
          <w:szCs w:val="24"/>
        </w:rPr>
        <w:t xml:space="preserve">la </w:t>
      </w:r>
      <w:r w:rsidRPr="008063D4">
        <w:rPr>
          <w:rFonts w:ascii="Times New Roman" w:hAnsi="Times New Roman" w:cs="Times New Roman"/>
          <w:sz w:val="24"/>
          <w:szCs w:val="24"/>
        </w:rPr>
        <w:t>SP</w:t>
      </w:r>
      <w:r w:rsidR="00E673EB" w:rsidRPr="008063D4">
        <w:rPr>
          <w:rFonts w:ascii="Times New Roman" w:hAnsi="Times New Roman" w:cs="Times New Roman"/>
          <w:sz w:val="24"/>
          <w:szCs w:val="24"/>
        </w:rPr>
        <w:t>A</w:t>
      </w:r>
      <w:r w:rsidRPr="008063D4">
        <w:rPr>
          <w:rFonts w:ascii="Times New Roman" w:hAnsi="Times New Roman" w:cs="Times New Roman"/>
          <w:sz w:val="24"/>
          <w:szCs w:val="24"/>
        </w:rPr>
        <w:t xml:space="preserve">NB 2011-2020 à travers leurs implications et responsabilités en matière de formation, de sensibilisation, d’accompagnement de projets, de gestion des territoires et autres actions concrètes de terrain sont incontournables pour la gestion durable de la diversité biologique ; (iv) les institutions de recherche et de formation qui sont de façon transversale présents à tous les niveaux en matière de gestion de l'environnement et de conservation de la biodiversité et (v) les partenaires techniques et financiers (PTF) qui contribuent à l’atteinte des objectifs de la SPANB plus efficacement. </w:t>
      </w:r>
    </w:p>
    <w:p w14:paraId="2D9E1772" w14:textId="77777777" w:rsidR="00B8641F" w:rsidRDefault="00B8641F" w:rsidP="00254C9C">
      <w:pPr>
        <w:pStyle w:val="Commentaire"/>
        <w:spacing w:after="0"/>
        <w:jc w:val="both"/>
        <w:rPr>
          <w:rFonts w:ascii="Times New Roman" w:hAnsi="Times New Roman" w:cs="Times New Roman"/>
          <w:sz w:val="24"/>
          <w:szCs w:val="24"/>
        </w:rPr>
      </w:pPr>
    </w:p>
    <w:p w14:paraId="24F64409" w14:textId="620AA41C" w:rsidR="00F52EF3" w:rsidRPr="008063D4" w:rsidRDefault="00F52EF3" w:rsidP="00254C9C">
      <w:pPr>
        <w:pStyle w:val="Commentaire"/>
        <w:spacing w:after="0"/>
        <w:jc w:val="both"/>
        <w:rPr>
          <w:rFonts w:ascii="Times New Roman" w:hAnsi="Times New Roman" w:cs="Times New Roman"/>
          <w:iCs/>
          <w:sz w:val="24"/>
          <w:szCs w:val="24"/>
          <w:lang w:val="fr-CA"/>
        </w:rPr>
      </w:pPr>
      <w:r w:rsidRPr="008063D4">
        <w:rPr>
          <w:rFonts w:ascii="Times New Roman" w:hAnsi="Times New Roman" w:cs="Times New Roman"/>
          <w:sz w:val="24"/>
          <w:szCs w:val="24"/>
        </w:rPr>
        <w:t>Il faut noter aussi l’élaboration d’un plan de communication comme action pouvant/ayant facilité la mise en œuvre d</w:t>
      </w:r>
      <w:r w:rsidR="00E673EB">
        <w:rPr>
          <w:rFonts w:ascii="Times New Roman" w:hAnsi="Times New Roman" w:cs="Times New Roman"/>
          <w:sz w:val="24"/>
          <w:szCs w:val="24"/>
        </w:rPr>
        <w:t>e la</w:t>
      </w:r>
      <w:r w:rsidRPr="008063D4">
        <w:rPr>
          <w:rFonts w:ascii="Times New Roman" w:hAnsi="Times New Roman" w:cs="Times New Roman"/>
          <w:sz w:val="24"/>
          <w:szCs w:val="24"/>
        </w:rPr>
        <w:t xml:space="preserve"> SPANB 2011-2020. En effet compte tenu du déficit de communication identifié comme l’une des causes de </w:t>
      </w:r>
      <w:r w:rsidR="00E673EB">
        <w:rPr>
          <w:rFonts w:ascii="Times New Roman" w:hAnsi="Times New Roman" w:cs="Times New Roman"/>
          <w:sz w:val="24"/>
          <w:szCs w:val="24"/>
        </w:rPr>
        <w:t>l’échec dans la mise en œuvre de la</w:t>
      </w:r>
      <w:r w:rsidRPr="008063D4">
        <w:rPr>
          <w:rFonts w:ascii="Times New Roman" w:hAnsi="Times New Roman" w:cs="Times New Roman"/>
          <w:sz w:val="24"/>
          <w:szCs w:val="24"/>
        </w:rPr>
        <w:t xml:space="preserve"> SPANB 2003, l’élaboration d’un plan de communication pour la SPANB 2011-2020 a été notée important</w:t>
      </w:r>
      <w:r w:rsidR="00E673EB">
        <w:rPr>
          <w:rFonts w:ascii="Times New Roman" w:hAnsi="Times New Roman" w:cs="Times New Roman"/>
          <w:sz w:val="24"/>
          <w:szCs w:val="24"/>
        </w:rPr>
        <w:t>e</w:t>
      </w:r>
      <w:r w:rsidRPr="008063D4">
        <w:rPr>
          <w:rFonts w:ascii="Times New Roman" w:hAnsi="Times New Roman" w:cs="Times New Roman"/>
          <w:sz w:val="24"/>
          <w:szCs w:val="24"/>
        </w:rPr>
        <w:t xml:space="preserve"> et urgent</w:t>
      </w:r>
      <w:r w:rsidR="00E673EB">
        <w:rPr>
          <w:rFonts w:ascii="Times New Roman" w:hAnsi="Times New Roman" w:cs="Times New Roman"/>
          <w:sz w:val="24"/>
          <w:szCs w:val="24"/>
        </w:rPr>
        <w:t>e</w:t>
      </w:r>
      <w:r w:rsidRPr="008063D4">
        <w:rPr>
          <w:rFonts w:ascii="Times New Roman" w:hAnsi="Times New Roman" w:cs="Times New Roman"/>
          <w:sz w:val="24"/>
          <w:szCs w:val="24"/>
        </w:rPr>
        <w:t xml:space="preserve">. La mise en œuvre de </w:t>
      </w:r>
      <w:r w:rsidR="00E673EB">
        <w:rPr>
          <w:rFonts w:ascii="Times New Roman" w:hAnsi="Times New Roman" w:cs="Times New Roman"/>
          <w:sz w:val="24"/>
          <w:szCs w:val="24"/>
        </w:rPr>
        <w:t xml:space="preserve">ce </w:t>
      </w:r>
      <w:r w:rsidRPr="008063D4">
        <w:rPr>
          <w:rFonts w:ascii="Times New Roman" w:hAnsi="Times New Roman" w:cs="Times New Roman"/>
          <w:sz w:val="24"/>
          <w:szCs w:val="24"/>
        </w:rPr>
        <w:t xml:space="preserve">plan de communication se justifie par le souci d’informer et de sensibiliser la population togolaise sur les enjeux de la biodiversité notamment le renforcement des capacités individuelles et collectives pour la conservation et l’utilisation durable de la diversité biologique au Togo. </w:t>
      </w:r>
    </w:p>
    <w:p w14:paraId="169CDC06" w14:textId="77777777" w:rsidR="009777ED" w:rsidRDefault="009777ED"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1AB181FD"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18" w:name="_Toc533413781"/>
      <w:r w:rsidRPr="008063D4">
        <w:rPr>
          <w:rFonts w:ascii="Times New Roman" w:hAnsi="Times New Roman" w:cs="Times New Roman"/>
          <w:b/>
          <w:color w:val="000000"/>
          <w:sz w:val="24"/>
          <w:szCs w:val="24"/>
        </w:rPr>
        <w:t>7.2.2. Mesures prises pour réaliser les OAB 2020</w:t>
      </w:r>
      <w:bookmarkEnd w:id="118"/>
    </w:p>
    <w:p w14:paraId="26D4760B"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3FC14123" w14:textId="77777777" w:rsidR="00F52EF3" w:rsidRPr="0036687F" w:rsidRDefault="00C96A22" w:rsidP="00254C9C">
      <w:pPr>
        <w:spacing w:after="0" w:line="240" w:lineRule="auto"/>
        <w:jc w:val="both"/>
        <w:rPr>
          <w:rFonts w:ascii="Times New Roman" w:hAnsi="Times New Roman" w:cs="Times New Roman"/>
          <w:bCs/>
          <w:kern w:val="22"/>
          <w:sz w:val="24"/>
          <w:szCs w:val="24"/>
          <w:lang w:val="fr-CA"/>
        </w:rPr>
      </w:pPr>
      <w:r w:rsidRPr="0036687F">
        <w:rPr>
          <w:rFonts w:ascii="Times New Roman" w:hAnsi="Times New Roman" w:cs="Times New Roman"/>
          <w:bCs/>
          <w:sz w:val="24"/>
          <w:szCs w:val="24"/>
          <w:lang w:val="fr-CA"/>
        </w:rPr>
        <w:t>(Confère IV)</w:t>
      </w:r>
    </w:p>
    <w:p w14:paraId="73ECBDF1"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5C3FCBC6"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19" w:name="_Toc533413782"/>
      <w:r w:rsidRPr="008063D4">
        <w:rPr>
          <w:rFonts w:ascii="Times New Roman" w:hAnsi="Times New Roman" w:cs="Times New Roman"/>
          <w:b/>
          <w:color w:val="000000"/>
          <w:sz w:val="24"/>
          <w:szCs w:val="24"/>
        </w:rPr>
        <w:t>7.2.3. Mécanismes de soutien pour la mise en œuvre, la législation, le financement, le développement de compétence, la coordination, l’intégration au niveau national</w:t>
      </w:r>
      <w:bookmarkEnd w:id="119"/>
    </w:p>
    <w:p w14:paraId="16794346" w14:textId="77777777" w:rsidR="00F52EF3"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45168DD3" w14:textId="293C1C3F" w:rsidR="00C96A22" w:rsidRDefault="00F450E0" w:rsidP="00C96A22">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P</w:t>
      </w:r>
      <w:r w:rsidR="00C96A22" w:rsidRPr="008F171F">
        <w:rPr>
          <w:rFonts w:ascii="Times New Roman" w:hAnsi="Times New Roman"/>
          <w:color w:val="000000"/>
          <w:sz w:val="24"/>
          <w:szCs w:val="24"/>
        </w:rPr>
        <w:t xml:space="preserve">lusieurs documents de politique et de stratégie intégrant les questions de gestion et d’utilisation durables de la biodiversité ont été élaborés ces dernières années. Il s’agit entre autres de la stratégie de croissance accélérée et de promotion de l’emploi (SCAPE) (2013-2017) qui prend en compte les questions relatives à l’utilisation rationnelle et valorisation de la biodiversité (axe 1 et 5), de la Déclaration de Politique forestière (DPF) en 2011 fondée sur les principes de responsabilisation des acteurs dans la gestion des ressources forestières et de la Politique Nationale d’Aménagement du Territoire en 2012 qui vise à assurer un équilibre entre les besoins de conservation de la biodiversité, l’agriculture et les habitations humaines. Pour prendre en compte les questions émergentes liées à la gestion </w:t>
      </w:r>
      <w:r>
        <w:rPr>
          <w:rFonts w:ascii="Times New Roman" w:hAnsi="Times New Roman"/>
          <w:color w:val="000000"/>
          <w:sz w:val="24"/>
          <w:szCs w:val="24"/>
        </w:rPr>
        <w:t xml:space="preserve">de </w:t>
      </w:r>
      <w:r w:rsidR="00C96A22" w:rsidRPr="008F171F">
        <w:rPr>
          <w:rFonts w:ascii="Times New Roman" w:hAnsi="Times New Roman"/>
          <w:color w:val="000000"/>
          <w:sz w:val="24"/>
          <w:szCs w:val="24"/>
        </w:rPr>
        <w:t>l’environnement, la politique nationale de l’environnement adoptée en 1998 a été actualisée</w:t>
      </w:r>
      <w:r>
        <w:rPr>
          <w:rFonts w:ascii="Times New Roman" w:hAnsi="Times New Roman"/>
          <w:color w:val="000000"/>
          <w:sz w:val="24"/>
          <w:szCs w:val="24"/>
        </w:rPr>
        <w:t xml:space="preserve"> en 2012</w:t>
      </w:r>
      <w:r w:rsidR="00C96A22" w:rsidRPr="008F171F">
        <w:rPr>
          <w:rFonts w:ascii="Times New Roman" w:hAnsi="Times New Roman"/>
          <w:color w:val="000000"/>
          <w:sz w:val="24"/>
          <w:szCs w:val="24"/>
        </w:rPr>
        <w:t xml:space="preserve">. Plusieurs documents </w:t>
      </w:r>
      <w:r w:rsidR="00E673EB">
        <w:rPr>
          <w:rFonts w:ascii="Times New Roman" w:hAnsi="Times New Roman"/>
          <w:color w:val="000000"/>
          <w:sz w:val="24"/>
          <w:szCs w:val="24"/>
        </w:rPr>
        <w:t xml:space="preserve">de </w:t>
      </w:r>
      <w:r w:rsidR="00C96A22" w:rsidRPr="008F171F">
        <w:rPr>
          <w:rFonts w:ascii="Times New Roman" w:hAnsi="Times New Roman"/>
          <w:color w:val="000000"/>
          <w:sz w:val="24"/>
          <w:szCs w:val="24"/>
        </w:rPr>
        <w:t>stratégies spécifiques à différentes thématiques de la gestion de la biodiversité ont été élaborés ces dernières années</w:t>
      </w:r>
      <w:r>
        <w:rPr>
          <w:rFonts w:ascii="Times New Roman" w:hAnsi="Times New Roman"/>
          <w:color w:val="000000"/>
          <w:sz w:val="24"/>
          <w:szCs w:val="24"/>
        </w:rPr>
        <w:t>.</w:t>
      </w:r>
      <w:r w:rsidR="00EC17E3">
        <w:rPr>
          <w:rFonts w:ascii="Times New Roman" w:hAnsi="Times New Roman"/>
          <w:color w:val="000000"/>
          <w:sz w:val="24"/>
          <w:szCs w:val="24"/>
        </w:rPr>
        <w:t xml:space="preserve"> </w:t>
      </w:r>
      <w:r>
        <w:rPr>
          <w:rFonts w:ascii="Times New Roman" w:hAnsi="Times New Roman"/>
          <w:color w:val="000000"/>
          <w:sz w:val="24"/>
          <w:szCs w:val="24"/>
        </w:rPr>
        <w:t>N</w:t>
      </w:r>
      <w:r w:rsidR="00C96A22" w:rsidRPr="008F171F">
        <w:rPr>
          <w:rFonts w:ascii="Times New Roman" w:hAnsi="Times New Roman"/>
          <w:color w:val="000000"/>
          <w:sz w:val="24"/>
          <w:szCs w:val="24"/>
        </w:rPr>
        <w:t xml:space="preserve">éanmoins beaucoup d’efforts financiers restent </w:t>
      </w:r>
      <w:r w:rsidR="00E673EB">
        <w:rPr>
          <w:rFonts w:ascii="Times New Roman" w:hAnsi="Times New Roman"/>
          <w:color w:val="000000"/>
          <w:sz w:val="24"/>
          <w:szCs w:val="24"/>
        </w:rPr>
        <w:t xml:space="preserve">à </w:t>
      </w:r>
      <w:r w:rsidR="00C96A22" w:rsidRPr="008F171F">
        <w:rPr>
          <w:rFonts w:ascii="Times New Roman" w:hAnsi="Times New Roman"/>
          <w:color w:val="000000"/>
          <w:sz w:val="24"/>
          <w:szCs w:val="24"/>
        </w:rPr>
        <w:t xml:space="preserve">faire en vue de leur mise en œuvre. La politique forestière du Togo et </w:t>
      </w:r>
      <w:r>
        <w:rPr>
          <w:rFonts w:ascii="Times New Roman" w:hAnsi="Times New Roman"/>
          <w:color w:val="000000"/>
          <w:sz w:val="24"/>
          <w:szCs w:val="24"/>
        </w:rPr>
        <w:t>le document de politique agricole</w:t>
      </w:r>
      <w:r w:rsidR="00E673EB">
        <w:rPr>
          <w:rFonts w:ascii="Times New Roman" w:hAnsi="Times New Roman"/>
          <w:color w:val="000000"/>
          <w:sz w:val="24"/>
          <w:szCs w:val="24"/>
        </w:rPr>
        <w:t xml:space="preserve"> </w:t>
      </w:r>
      <w:r w:rsidR="00C96A22" w:rsidRPr="008F171F">
        <w:rPr>
          <w:rFonts w:ascii="Times New Roman" w:hAnsi="Times New Roman"/>
          <w:color w:val="000000"/>
          <w:sz w:val="24"/>
          <w:szCs w:val="24"/>
        </w:rPr>
        <w:t>(201</w:t>
      </w:r>
      <w:r>
        <w:rPr>
          <w:rFonts w:ascii="Times New Roman" w:hAnsi="Times New Roman"/>
          <w:color w:val="000000"/>
          <w:sz w:val="24"/>
          <w:szCs w:val="24"/>
        </w:rPr>
        <w:t>6</w:t>
      </w:r>
      <w:r w:rsidR="00C96A22" w:rsidRPr="008F171F">
        <w:rPr>
          <w:rFonts w:ascii="Times New Roman" w:hAnsi="Times New Roman"/>
          <w:color w:val="000000"/>
          <w:sz w:val="24"/>
          <w:szCs w:val="24"/>
        </w:rPr>
        <w:t>-20</w:t>
      </w:r>
      <w:r>
        <w:rPr>
          <w:rFonts w:ascii="Times New Roman" w:hAnsi="Times New Roman"/>
          <w:color w:val="000000"/>
          <w:sz w:val="24"/>
          <w:szCs w:val="24"/>
        </w:rPr>
        <w:t>30</w:t>
      </w:r>
      <w:r w:rsidR="00C96A22" w:rsidRPr="008F171F">
        <w:rPr>
          <w:rFonts w:ascii="Times New Roman" w:hAnsi="Times New Roman"/>
          <w:color w:val="000000"/>
          <w:sz w:val="24"/>
          <w:szCs w:val="24"/>
        </w:rPr>
        <w:t>) ont pris en compte les aspects de conservation et de gestion durables de la biodiversité. Par ailleurs, le décret N°</w:t>
      </w:r>
      <w:r>
        <w:rPr>
          <w:rFonts w:ascii="Times New Roman" w:hAnsi="Times New Roman"/>
          <w:color w:val="000000"/>
          <w:sz w:val="24"/>
          <w:szCs w:val="24"/>
        </w:rPr>
        <w:t>2011-142/PR</w:t>
      </w:r>
      <w:r w:rsidR="00E673EB">
        <w:rPr>
          <w:rFonts w:ascii="Times New Roman" w:hAnsi="Times New Roman"/>
          <w:color w:val="000000"/>
          <w:sz w:val="24"/>
          <w:szCs w:val="24"/>
        </w:rPr>
        <w:t xml:space="preserve"> du 8 septembre 2011 </w:t>
      </w:r>
      <w:r>
        <w:rPr>
          <w:rFonts w:ascii="Times New Roman" w:hAnsi="Times New Roman"/>
          <w:color w:val="000000"/>
          <w:sz w:val="24"/>
          <w:szCs w:val="24"/>
        </w:rPr>
        <w:t>réglémentant l’importation, l’</w:t>
      </w:r>
      <w:r w:rsidR="00C96A22" w:rsidRPr="008F171F">
        <w:rPr>
          <w:rFonts w:ascii="Times New Roman" w:hAnsi="Times New Roman"/>
          <w:color w:val="000000"/>
          <w:sz w:val="24"/>
          <w:szCs w:val="24"/>
        </w:rPr>
        <w:t>exportation</w:t>
      </w:r>
      <w:r>
        <w:rPr>
          <w:rFonts w:ascii="Times New Roman" w:hAnsi="Times New Roman"/>
          <w:color w:val="000000"/>
          <w:sz w:val="24"/>
          <w:szCs w:val="24"/>
        </w:rPr>
        <w:t>, la réexportation et le transit des produits forestiers ligneux</w:t>
      </w:r>
      <w:r w:rsidR="00C96A22" w:rsidRPr="008F171F">
        <w:rPr>
          <w:rFonts w:ascii="Times New Roman" w:hAnsi="Times New Roman"/>
          <w:color w:val="000000"/>
          <w:sz w:val="24"/>
          <w:szCs w:val="24"/>
        </w:rPr>
        <w:t xml:space="preserve"> a été adopté en vue de réduire l’exploitation et la comme</w:t>
      </w:r>
      <w:r w:rsidR="00C96A22">
        <w:rPr>
          <w:rFonts w:ascii="Times New Roman" w:hAnsi="Times New Roman"/>
          <w:color w:val="000000"/>
          <w:sz w:val="24"/>
          <w:szCs w:val="24"/>
        </w:rPr>
        <w:t>rcialisation illégales du bois.</w:t>
      </w:r>
    </w:p>
    <w:p w14:paraId="0D4BB6BD" w14:textId="77777777" w:rsidR="00C96A22" w:rsidRPr="008F171F" w:rsidRDefault="00C96A22" w:rsidP="00C96A22">
      <w:pPr>
        <w:autoSpaceDE w:val="0"/>
        <w:autoSpaceDN w:val="0"/>
        <w:adjustRightInd w:val="0"/>
        <w:spacing w:after="0" w:line="240" w:lineRule="auto"/>
        <w:jc w:val="both"/>
        <w:rPr>
          <w:rFonts w:ascii="Times New Roman" w:hAnsi="Times New Roman"/>
          <w:color w:val="000000"/>
          <w:sz w:val="24"/>
          <w:szCs w:val="24"/>
        </w:rPr>
      </w:pPr>
    </w:p>
    <w:p w14:paraId="2CAE3765" w14:textId="77777777" w:rsidR="004F4455" w:rsidRDefault="00C96A22" w:rsidP="00C96A22">
      <w:pPr>
        <w:autoSpaceDE w:val="0"/>
        <w:autoSpaceDN w:val="0"/>
        <w:adjustRightInd w:val="0"/>
        <w:spacing w:after="0" w:line="240" w:lineRule="auto"/>
        <w:jc w:val="both"/>
        <w:rPr>
          <w:rFonts w:ascii="Times New Roman" w:hAnsi="Times New Roman"/>
          <w:color w:val="000000"/>
          <w:sz w:val="24"/>
          <w:szCs w:val="24"/>
        </w:rPr>
      </w:pPr>
      <w:r w:rsidRPr="008F171F">
        <w:rPr>
          <w:rFonts w:ascii="Times New Roman" w:hAnsi="Times New Roman"/>
          <w:color w:val="000000"/>
          <w:sz w:val="24"/>
          <w:szCs w:val="24"/>
        </w:rPr>
        <w:t>Sur le plan institutionnel, le cadre de gestion des ressources naturelles et de la biodiversité a été profondément modifié. Une série de décrets a été adopté pour l’ensemble des départements ministériels (MERF, 2014). Il s’agit notamment du décret n° 2011-178/PR du 07 décembre 2011 fixant les principes généraux d’organisation des départements ministériels, du décret n° 2012-004/PR du 29 février 2012 relatif aux attributions des ministres d’Etat et ministres et du décret n° 2012-006/PR du 07 mars 2012 portant organisation des départements ministériels. Aux termes de ces décrets, le Ministère de l’Environnement et des Ressources Forestières est réorganisé en services centraux et extérieurs coordonnés par un secrétariat général. Les services centraux comprennent quatre directions dont deux directions opérationnelles (la direction de l’environnement et la direction des ressources forestières) et deux directions d’appui (la direction des études et de la planification (DEP) et la direction des affaires administratives et financières (DAAF).</w:t>
      </w:r>
    </w:p>
    <w:p w14:paraId="328FE327" w14:textId="77777777" w:rsidR="004F4455" w:rsidRDefault="004F4455" w:rsidP="00C96A22">
      <w:pPr>
        <w:autoSpaceDE w:val="0"/>
        <w:autoSpaceDN w:val="0"/>
        <w:adjustRightInd w:val="0"/>
        <w:spacing w:after="0" w:line="240" w:lineRule="auto"/>
        <w:jc w:val="both"/>
        <w:rPr>
          <w:rFonts w:ascii="Times New Roman" w:hAnsi="Times New Roman"/>
          <w:color w:val="000000"/>
          <w:sz w:val="24"/>
          <w:szCs w:val="24"/>
        </w:rPr>
      </w:pPr>
    </w:p>
    <w:p w14:paraId="550A1141" w14:textId="77777777" w:rsidR="00C96A22" w:rsidRDefault="00C96A22" w:rsidP="00C96A22">
      <w:pPr>
        <w:autoSpaceDE w:val="0"/>
        <w:autoSpaceDN w:val="0"/>
        <w:adjustRightInd w:val="0"/>
        <w:spacing w:after="0" w:line="240" w:lineRule="auto"/>
        <w:jc w:val="both"/>
        <w:rPr>
          <w:rFonts w:ascii="Times New Roman" w:hAnsi="Times New Roman"/>
          <w:color w:val="000000"/>
          <w:sz w:val="24"/>
          <w:szCs w:val="24"/>
        </w:rPr>
      </w:pPr>
      <w:r w:rsidRPr="008F171F">
        <w:rPr>
          <w:rFonts w:ascii="Times New Roman" w:hAnsi="Times New Roman"/>
          <w:color w:val="000000"/>
          <w:sz w:val="24"/>
          <w:szCs w:val="24"/>
        </w:rPr>
        <w:t>Les services déconcentrés du MERF comprennent les directions régionales et préfectorales de l’environnement et des ressources forestières. Cette réforme a renforcé l’efficacité d’intervention des structures en charge de la gestion des ressources naturelles et la biodiversité. De nombreuses ONG</w:t>
      </w:r>
      <w:r>
        <w:rPr>
          <w:rFonts w:ascii="Times New Roman" w:hAnsi="Times New Roman"/>
          <w:color w:val="000000"/>
          <w:sz w:val="24"/>
          <w:szCs w:val="24"/>
        </w:rPr>
        <w:t>s</w:t>
      </w:r>
      <w:r w:rsidRPr="008F171F">
        <w:rPr>
          <w:rFonts w:ascii="Times New Roman" w:hAnsi="Times New Roman"/>
          <w:color w:val="000000"/>
          <w:sz w:val="24"/>
          <w:szCs w:val="24"/>
        </w:rPr>
        <w:t xml:space="preserve"> et associations s’intéressent de plus en plus à la gestion de l’environnement. On note des regroupements notamment le Consortium des ONG</w:t>
      </w:r>
      <w:r>
        <w:rPr>
          <w:rFonts w:ascii="Times New Roman" w:hAnsi="Times New Roman"/>
          <w:color w:val="000000"/>
          <w:sz w:val="24"/>
          <w:szCs w:val="24"/>
        </w:rPr>
        <w:t>s</w:t>
      </w:r>
      <w:r w:rsidRPr="008F171F">
        <w:rPr>
          <w:rFonts w:ascii="Times New Roman" w:hAnsi="Times New Roman"/>
          <w:color w:val="000000"/>
          <w:sz w:val="24"/>
          <w:szCs w:val="24"/>
        </w:rPr>
        <w:t xml:space="preserve"> et associations en matière d’environnement (COMET), le Réseau des Organisations de la Société Civile Togolaise sur les Changements Climatiques et l’Energie au Togo (ROCCET). En dehors de ces regroupements d’acteurs, il existe un Groupe National de Travail (GNT) pour la gestion durable des forêts qui constitue un cadre permanent d’échange et de concertation sur la gestion durable des forêts. Au niveau local, les comités de développement à la base s’impliquent davantage dans la gestion de la biodiversité avec l’appui financier du fonds pour</w:t>
      </w:r>
      <w:r>
        <w:rPr>
          <w:rFonts w:ascii="Times New Roman" w:hAnsi="Times New Roman"/>
          <w:color w:val="000000"/>
          <w:sz w:val="24"/>
          <w:szCs w:val="24"/>
        </w:rPr>
        <w:t xml:space="preserve"> l’environnement mondial (FEM).</w:t>
      </w:r>
    </w:p>
    <w:p w14:paraId="7E44CC64" w14:textId="77777777" w:rsidR="00C96A22" w:rsidRDefault="00C96A22" w:rsidP="00C96A22">
      <w:pPr>
        <w:autoSpaceDE w:val="0"/>
        <w:autoSpaceDN w:val="0"/>
        <w:adjustRightInd w:val="0"/>
        <w:spacing w:after="0" w:line="240" w:lineRule="auto"/>
        <w:jc w:val="both"/>
        <w:rPr>
          <w:rFonts w:ascii="Times New Roman" w:hAnsi="Times New Roman"/>
          <w:color w:val="000000"/>
          <w:sz w:val="24"/>
          <w:szCs w:val="24"/>
        </w:rPr>
      </w:pPr>
    </w:p>
    <w:p w14:paraId="30621A1B" w14:textId="77777777" w:rsidR="00C96A22" w:rsidRPr="008F171F" w:rsidRDefault="00353CD6" w:rsidP="00C96A22">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A partir de 2014</w:t>
      </w:r>
      <w:r w:rsidR="004F4455">
        <w:rPr>
          <w:rFonts w:ascii="Times New Roman" w:hAnsi="Times New Roman"/>
          <w:color w:val="000000"/>
          <w:sz w:val="24"/>
          <w:szCs w:val="24"/>
        </w:rPr>
        <w:t xml:space="preserve">, </w:t>
      </w:r>
      <w:r w:rsidR="00C96A22" w:rsidRPr="008F171F">
        <w:rPr>
          <w:rFonts w:ascii="Times New Roman" w:hAnsi="Times New Roman"/>
          <w:color w:val="000000"/>
          <w:sz w:val="24"/>
          <w:szCs w:val="24"/>
        </w:rPr>
        <w:t>le projet Gestion Intégrée des Catastrophes et des Terres (PGICT) a opté pour l’approche partenariale avec les comités de développement à la base dans la gestion de leurs ressources en vue de renforcer leurs capacités techniques en la matière. La plupart de ces organisations bénéficient de l’accompagnement technique du ministère de l’environnement et des Universités du Togo. Ce renforcement de la gouvernance locale se traduit par la création et l’aménagement des forêts communautaires et l’amélioration de la gestion des forêts sacrées.</w:t>
      </w:r>
    </w:p>
    <w:p w14:paraId="3E90485D" w14:textId="77777777" w:rsidR="00C96A22" w:rsidRPr="008063D4" w:rsidRDefault="00C96A22" w:rsidP="00C96A22">
      <w:pPr>
        <w:autoSpaceDE w:val="0"/>
        <w:autoSpaceDN w:val="0"/>
        <w:adjustRightInd w:val="0"/>
        <w:spacing w:after="0" w:line="240" w:lineRule="auto"/>
        <w:jc w:val="both"/>
        <w:rPr>
          <w:rFonts w:ascii="Times New Roman" w:hAnsi="Times New Roman"/>
          <w:b/>
          <w:color w:val="000000"/>
          <w:sz w:val="24"/>
          <w:szCs w:val="24"/>
        </w:rPr>
      </w:pPr>
    </w:p>
    <w:p w14:paraId="4034E75C"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20" w:name="_Toc533413783"/>
      <w:r w:rsidRPr="008063D4">
        <w:rPr>
          <w:rFonts w:ascii="Times New Roman" w:hAnsi="Times New Roman" w:cs="Times New Roman"/>
          <w:b/>
          <w:color w:val="000000"/>
          <w:sz w:val="24"/>
          <w:szCs w:val="24"/>
        </w:rPr>
        <w:t>7.2.4. Mécanismes de suivi et d’examen de la mise en œuvre</w:t>
      </w:r>
      <w:r w:rsidR="00353CD6">
        <w:rPr>
          <w:rFonts w:ascii="Times New Roman" w:hAnsi="Times New Roman" w:cs="Times New Roman"/>
          <w:b/>
          <w:color w:val="000000"/>
          <w:sz w:val="24"/>
          <w:szCs w:val="24"/>
        </w:rPr>
        <w:t xml:space="preserve"> de la SPANB</w:t>
      </w:r>
      <w:bookmarkEnd w:id="120"/>
    </w:p>
    <w:p w14:paraId="489C8A84" w14:textId="77777777" w:rsidR="00F52EF3" w:rsidRPr="008063D4" w:rsidRDefault="00F52EF3" w:rsidP="00254C9C">
      <w:pPr>
        <w:autoSpaceDE w:val="0"/>
        <w:autoSpaceDN w:val="0"/>
        <w:adjustRightInd w:val="0"/>
        <w:spacing w:after="0" w:line="240" w:lineRule="auto"/>
        <w:rPr>
          <w:rFonts w:ascii="Times New Roman" w:hAnsi="Times New Roman" w:cs="Times New Roman"/>
          <w:color w:val="000000"/>
          <w:sz w:val="24"/>
          <w:szCs w:val="24"/>
          <w:lang w:eastAsia="fr-FR"/>
        </w:rPr>
      </w:pPr>
    </w:p>
    <w:p w14:paraId="387AB87B" w14:textId="77777777" w:rsidR="004F4455"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La plateforme des actions à mener et le plan d’action sont avant tout des tableaux de bord des indicateurs de suivi de mise en œuvre de la SPANB 2011-2020. Comme indiqué dans la SPANB 2011-2020, le comité national de biodiversité est l’organe qui va s’assurer du bon déroulement du dispositif de pilotage et d’animation de l’ensemble du processus de mise en œuvre de la stratégie. Il est chargé du suivi de la SPANB et de ses objectifs. Il examine le rapport annuel de mise en œuvre et le rapport d’évaluation à mi-parcours de la SPANB. Les éléments de suivi sont les indicateurs de suivi des effets exprimés dans la plateforme. La SPANB utilisera le cadre de concertation existante au Togo qui est la Commission Nationale de Développement Durable (CNDD) mis en place par décret N°2011-016/PR du 12 janvier 2011. Cette structure est représentée au niveau communal, préfectoral et régional au sein des commissions locales de développement durable (CRDD, CPDD, CCDD). Ces structures sont des créneaux qui permettent de partir de la base et de développer des consensus nationaux sur la conservation et l’utilisation durable des ressources biologiques.</w:t>
      </w:r>
    </w:p>
    <w:p w14:paraId="570407F2" w14:textId="77777777" w:rsidR="004F4455" w:rsidRDefault="004F4455"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p>
    <w:p w14:paraId="50B1B0C5" w14:textId="4F4941DF" w:rsidR="00F52EF3" w:rsidRPr="008063D4" w:rsidRDefault="00F52EF3" w:rsidP="00254C9C">
      <w:pPr>
        <w:autoSpaceDE w:val="0"/>
        <w:autoSpaceDN w:val="0"/>
        <w:adjustRightInd w:val="0"/>
        <w:spacing w:after="0" w:line="240" w:lineRule="auto"/>
        <w:jc w:val="both"/>
        <w:rPr>
          <w:rFonts w:ascii="Times New Roman" w:hAnsi="Times New Roman" w:cs="Times New Roman"/>
          <w:color w:val="000000"/>
          <w:sz w:val="24"/>
          <w:szCs w:val="24"/>
          <w:lang w:eastAsia="fr-FR"/>
        </w:rPr>
      </w:pPr>
      <w:r w:rsidRPr="008063D4">
        <w:rPr>
          <w:rFonts w:ascii="Times New Roman" w:hAnsi="Times New Roman" w:cs="Times New Roman"/>
          <w:color w:val="000000"/>
          <w:sz w:val="24"/>
          <w:szCs w:val="24"/>
          <w:lang w:eastAsia="fr-FR"/>
        </w:rPr>
        <w:t>La composition de la CNDD prévoit déjà l’inclusion du président du comité national biodiversité comme membre. Le comité national de biodiversité peut ainsi associer la CNDD et ses démembrements au suivi et à l’évaluation de la SPANB. Les rapports annuels de suivi et d’évaluation de la SPANB lui sont présentés pour avis avant transmission. La SPANB 2011-2020 veut élargir l’assiette imposable sur les ressources phytogénétiques avec l’extension des taxes sur l</w:t>
      </w:r>
      <w:r w:rsidR="00563A5D">
        <w:rPr>
          <w:rFonts w:ascii="Times New Roman" w:hAnsi="Times New Roman" w:cs="Times New Roman"/>
          <w:color w:val="000000"/>
          <w:sz w:val="24"/>
          <w:szCs w:val="24"/>
          <w:lang w:eastAsia="fr-FR"/>
        </w:rPr>
        <w:t>’utilisation de la biodiversité,</w:t>
      </w:r>
      <w:r w:rsidRPr="008063D4">
        <w:rPr>
          <w:rFonts w:ascii="Times New Roman" w:hAnsi="Times New Roman" w:cs="Times New Roman"/>
          <w:color w:val="000000"/>
          <w:sz w:val="24"/>
          <w:szCs w:val="24"/>
          <w:lang w:eastAsia="fr-FR"/>
        </w:rPr>
        <w:t xml:space="preserve"> prenant ainsi en compte la valeur économique et la taxation réelle de la biodiversité. Le faisant, la biodiversité assure la participation de la société togolaise, dans sa globalité, à la politique économique, sociale et environnementale du pays. Il est conseillé un suivi des fonds générés par la biodiversité au niveau du trésor public, de manière à ce qu’ils contribuent à cet objectif social, économique et environnemental national de suivi de la SPANB. Une partie de ces fonds devra contribuer à l’amélioration des connaissances sur la diversité biologique. </w:t>
      </w:r>
    </w:p>
    <w:p w14:paraId="4BD757F2"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iCs/>
          <w:sz w:val="24"/>
          <w:szCs w:val="24"/>
        </w:rPr>
      </w:pPr>
    </w:p>
    <w:p w14:paraId="1F55CBB6" w14:textId="4870F9D4" w:rsidR="00F52EF3" w:rsidRPr="008063D4" w:rsidRDefault="00F52EF3" w:rsidP="00254C9C">
      <w:pPr>
        <w:autoSpaceDE w:val="0"/>
        <w:autoSpaceDN w:val="0"/>
        <w:adjustRightInd w:val="0"/>
        <w:spacing w:after="0" w:line="240" w:lineRule="auto"/>
        <w:jc w:val="both"/>
        <w:rPr>
          <w:rFonts w:ascii="Times New Roman" w:hAnsi="Times New Roman" w:cs="Times New Roman"/>
          <w:iCs/>
          <w:sz w:val="24"/>
          <w:szCs w:val="24"/>
        </w:rPr>
      </w:pPr>
      <w:r w:rsidRPr="008063D4">
        <w:rPr>
          <w:rFonts w:ascii="Times New Roman" w:hAnsi="Times New Roman" w:cs="Times New Roman"/>
          <w:iCs/>
          <w:sz w:val="24"/>
          <w:szCs w:val="24"/>
        </w:rPr>
        <w:t>En 2016, l’évaluation à mi-parcours des progrès accomplis dans la mise en œuvre du plan stratégique 2011-2020 pour la diversité biologique a été effectuée.</w:t>
      </w:r>
      <w:r w:rsidR="00EC17E3">
        <w:rPr>
          <w:rFonts w:ascii="Times New Roman" w:hAnsi="Times New Roman" w:cs="Times New Roman"/>
          <w:iCs/>
          <w:sz w:val="24"/>
          <w:szCs w:val="24"/>
        </w:rPr>
        <w:t xml:space="preserve"> </w:t>
      </w:r>
      <w:r w:rsidRPr="008063D4">
        <w:rPr>
          <w:rFonts w:ascii="Times New Roman" w:hAnsi="Times New Roman" w:cs="Times New Roman"/>
          <w:iCs/>
          <w:sz w:val="24"/>
          <w:szCs w:val="24"/>
        </w:rPr>
        <w:t xml:space="preserve">Cette évaluation à mi-parcours de la mise en œuvre des objectifs nationaux donne une vision claire des efforts entrepris entre 2011-2016 et a jeté les bases des actions futures pour atteindre la vision 2020. Ceci dénote </w:t>
      </w:r>
      <w:r w:rsidR="00353CD6">
        <w:rPr>
          <w:rFonts w:ascii="Times New Roman" w:hAnsi="Times New Roman" w:cs="Times New Roman"/>
          <w:iCs/>
          <w:sz w:val="24"/>
          <w:szCs w:val="24"/>
        </w:rPr>
        <w:t xml:space="preserve">de </w:t>
      </w:r>
      <w:r w:rsidRPr="008063D4">
        <w:rPr>
          <w:rFonts w:ascii="Times New Roman" w:hAnsi="Times New Roman" w:cs="Times New Roman"/>
          <w:iCs/>
          <w:sz w:val="24"/>
          <w:szCs w:val="24"/>
        </w:rPr>
        <w:t xml:space="preserve">la volonté </w:t>
      </w:r>
      <w:r w:rsidR="00353CD6">
        <w:rPr>
          <w:rFonts w:ascii="Times New Roman" w:hAnsi="Times New Roman" w:cs="Times New Roman"/>
          <w:iCs/>
          <w:sz w:val="24"/>
          <w:szCs w:val="24"/>
        </w:rPr>
        <w:t>du</w:t>
      </w:r>
      <w:r w:rsidRPr="008063D4">
        <w:rPr>
          <w:rFonts w:ascii="Times New Roman" w:hAnsi="Times New Roman" w:cs="Times New Roman"/>
          <w:iCs/>
          <w:sz w:val="24"/>
          <w:szCs w:val="24"/>
        </w:rPr>
        <w:t xml:space="preserve"> gouvernement d’assurer la conservation de la biodiversité comme un moyen de survie des communautés locales.</w:t>
      </w:r>
      <w:r w:rsidR="00563A5D">
        <w:rPr>
          <w:rFonts w:ascii="Times New Roman" w:hAnsi="Times New Roman" w:cs="Times New Roman"/>
          <w:iCs/>
          <w:sz w:val="24"/>
          <w:szCs w:val="24"/>
        </w:rPr>
        <w:t xml:space="preserve"> </w:t>
      </w:r>
      <w:r w:rsidRPr="008063D4">
        <w:rPr>
          <w:rFonts w:ascii="Times New Roman" w:hAnsi="Times New Roman" w:cs="Times New Roman"/>
          <w:iCs/>
          <w:sz w:val="24"/>
          <w:szCs w:val="24"/>
        </w:rPr>
        <w:t>De façon global, il ressort en termes de réalisation que le Togo a pu atteindre 60% de l’objectif 1 en matière de mobilisation sociale en faveur de la conservation. Pour les autres objectifs, les taux de mise en œuvre sont tous inférieurs à 50%. Ainsi, les objectifs 2, 4, 5, 6 et 8 totalisent chacun 45% de mise en œuvre. Par contre, les objectifs pour lesquels les plus faibles taux de mise en œuvre ont été observés sont les objectifs 9, 11, 14, 18, 19 et 20 pour lesquels les scores sont évalués à 10% de réalisation.</w:t>
      </w:r>
    </w:p>
    <w:p w14:paraId="3974D511"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iCs/>
          <w:sz w:val="24"/>
          <w:szCs w:val="24"/>
        </w:rPr>
      </w:pPr>
    </w:p>
    <w:p w14:paraId="521EBFBF"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iCs/>
          <w:sz w:val="24"/>
          <w:szCs w:val="24"/>
        </w:rPr>
      </w:pPr>
      <w:r w:rsidRPr="008063D4">
        <w:rPr>
          <w:rFonts w:ascii="Times New Roman" w:hAnsi="Times New Roman" w:cs="Times New Roman"/>
          <w:iCs/>
          <w:sz w:val="24"/>
          <w:szCs w:val="24"/>
        </w:rPr>
        <w:t>Cependant, beaucoup de défis restent encore à relever. Pour ce faire, il est nécessaire de procéder à une large diffusion de la vision du gouvernement en matière de conservation de la biodiversité, promouvoir les actions de recherche dans les différents domaines de la conservation de la biodiversité afin de proposer des outils de décision pour mieux cadrer l’ensemble des initiatives entreprises, renforcer la synergie d’intervention et la coopération avec les partenaires financiers.</w:t>
      </w:r>
    </w:p>
    <w:p w14:paraId="00AEE2AC"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i/>
          <w:iCs/>
          <w:sz w:val="24"/>
          <w:szCs w:val="24"/>
          <w:lang w:val="fr-CA"/>
        </w:rPr>
      </w:pPr>
    </w:p>
    <w:p w14:paraId="503AA39F" w14:textId="77777777" w:rsidR="00F52EF3" w:rsidRPr="008063D4" w:rsidRDefault="00F52EF3" w:rsidP="00555B83">
      <w:pPr>
        <w:autoSpaceDE w:val="0"/>
        <w:autoSpaceDN w:val="0"/>
        <w:adjustRightInd w:val="0"/>
        <w:spacing w:after="0" w:line="240" w:lineRule="auto"/>
        <w:outlineLvl w:val="1"/>
        <w:rPr>
          <w:rFonts w:ascii="Times New Roman" w:hAnsi="Times New Roman" w:cs="Times New Roman"/>
          <w:b/>
          <w:color w:val="000000"/>
          <w:sz w:val="24"/>
          <w:szCs w:val="24"/>
        </w:rPr>
      </w:pPr>
      <w:bookmarkStart w:id="121" w:name="_Toc533413784"/>
      <w:r w:rsidRPr="008063D4">
        <w:rPr>
          <w:rFonts w:ascii="Times New Roman" w:hAnsi="Times New Roman" w:cs="Times New Roman"/>
          <w:b/>
          <w:color w:val="000000"/>
          <w:sz w:val="24"/>
          <w:szCs w:val="24"/>
        </w:rPr>
        <w:t>7.3. Relations nationales</w:t>
      </w:r>
      <w:bookmarkEnd w:id="121"/>
    </w:p>
    <w:p w14:paraId="74A3DB02"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4D15D5A2" w14:textId="77777777" w:rsidR="00F52EF3"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22" w:name="_Toc533413785"/>
      <w:r w:rsidRPr="008063D4">
        <w:rPr>
          <w:rFonts w:ascii="Times New Roman" w:hAnsi="Times New Roman" w:cs="Times New Roman"/>
          <w:b/>
          <w:color w:val="000000"/>
          <w:sz w:val="24"/>
          <w:szCs w:val="24"/>
        </w:rPr>
        <w:t>7.3.1. CDB</w:t>
      </w:r>
      <w:bookmarkEnd w:id="122"/>
    </w:p>
    <w:p w14:paraId="59B19612" w14:textId="77777777" w:rsidR="009777ED" w:rsidRPr="008063D4" w:rsidRDefault="009777ED"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0CD711CD" w14:textId="28DE300D" w:rsidR="00F52EF3" w:rsidRPr="008063D4" w:rsidRDefault="00F52EF3" w:rsidP="00254C9C">
      <w:pPr>
        <w:spacing w:after="0" w:line="240" w:lineRule="auto"/>
        <w:jc w:val="both"/>
        <w:rPr>
          <w:rFonts w:ascii="Times New Roman" w:hAnsi="Times New Roman" w:cs="Times New Roman"/>
          <w:sz w:val="24"/>
          <w:szCs w:val="24"/>
        </w:rPr>
      </w:pPr>
      <w:r w:rsidRPr="00C96A22">
        <w:rPr>
          <w:rFonts w:ascii="Times New Roman" w:hAnsi="Times New Roman" w:cs="Times New Roman"/>
          <w:color w:val="000000"/>
          <w:sz w:val="24"/>
          <w:szCs w:val="24"/>
          <w:shd w:val="clear" w:color="auto" w:fill="FFFFFF"/>
        </w:rPr>
        <w:t xml:space="preserve">Le Togo a signé la Convention sur la diversité biologique le 16 juin 1992 lors de la Conférence des Nations Unies sur l'Environnement et le Développement (CNUED), encore appelée "Sommet de la Terre", à Rio de Janeiro, au Brésil. La ratification de la Convention intervenue pour le Togo le 04 octobre 1995. L'adhésion du Togo à la Convention des Nations Unies sur la Diversité Biologique de 1992 à Rio et sa ratification en Octobre 1995 offre un nouveau cadre pour la conservation et la gestion des ressources biologiques du pays. Cette disposition a  permis au Togo d'élaborer d'une part, un document de monographie nationale et d'autre part, un document de stratégie de conservation et d'utilisation durables de la diversité biologique </w:t>
      </w:r>
      <w:r w:rsidRPr="00C96A22">
        <w:rPr>
          <w:rFonts w:ascii="Times New Roman" w:hAnsi="Times New Roman" w:cs="Times New Roman"/>
          <w:sz w:val="24"/>
          <w:szCs w:val="24"/>
        </w:rPr>
        <w:t>assortie d’un Plan d’Action National</w:t>
      </w:r>
      <w:r w:rsidRPr="00C96A22">
        <w:rPr>
          <w:rFonts w:ascii="Times New Roman" w:hAnsi="Times New Roman" w:cs="Times New Roman"/>
          <w:color w:val="000000"/>
          <w:sz w:val="24"/>
          <w:szCs w:val="24"/>
          <w:shd w:val="clear" w:color="auto" w:fill="FFFFFF"/>
        </w:rPr>
        <w:t xml:space="preserve"> en 2003 comme l'a recommandé la convention à toutes les parties contractantes. </w:t>
      </w:r>
      <w:r w:rsidRPr="00C96A22">
        <w:rPr>
          <w:rFonts w:ascii="Times New Roman" w:hAnsi="Times New Roman" w:cs="Times New Roman"/>
          <w:sz w:val="24"/>
          <w:szCs w:val="24"/>
        </w:rPr>
        <w:t xml:space="preserve">L’objectif poursuivi était de contribuer à réduire substantiellement la perte de la diversité biologique. Cependant, les progrès réalisés dans la mise en œuvre de l’objectif 2010 de la CDB et les efforts menés ainsi que les cibles atteints sont loin de réduire le rythme de la perte de la diversité biologique auquel le pays fait face. Dès lors, la SPANB 2011-2020 a été élaborée en 2014 et se veut un cadre de large concertation avec toutes les parties prenantes. D’autres efforts importants ont été entrepris au niveau national pour élaborer une politique nationale de l’environnement, le Plan National d’Action pour l’Environnement (PNAE), le Programme National de Lutte contre la Désertification (PAN) et la communication nationale sur les changements climatiques, le Plan d’Action Forestier National (PAFN), la Stratégie de gestion de l’Energie Traditionnelle (RPTS), </w:t>
      </w:r>
      <w:r w:rsidR="00563A5D">
        <w:rPr>
          <w:rFonts w:ascii="Times New Roman" w:hAnsi="Times New Roman" w:cs="Times New Roman"/>
          <w:sz w:val="24"/>
          <w:szCs w:val="24"/>
        </w:rPr>
        <w:t>etc.</w:t>
      </w:r>
    </w:p>
    <w:p w14:paraId="31D2901C" w14:textId="77777777" w:rsidR="00F52EF3" w:rsidRDefault="00F52EF3" w:rsidP="00254C9C">
      <w:pPr>
        <w:autoSpaceDE w:val="0"/>
        <w:autoSpaceDN w:val="0"/>
        <w:adjustRightInd w:val="0"/>
        <w:spacing w:after="0" w:line="240" w:lineRule="auto"/>
        <w:jc w:val="both"/>
        <w:rPr>
          <w:rFonts w:ascii="Times New Roman" w:hAnsi="Times New Roman" w:cs="Times New Roman"/>
          <w:color w:val="000000"/>
          <w:sz w:val="24"/>
          <w:szCs w:val="24"/>
        </w:rPr>
      </w:pPr>
    </w:p>
    <w:p w14:paraId="75EF4335"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color w:val="000000"/>
          <w:sz w:val="24"/>
          <w:szCs w:val="24"/>
        </w:rPr>
      </w:pPr>
      <w:bookmarkStart w:id="123" w:name="_Toc533413786"/>
      <w:r w:rsidRPr="008063D4">
        <w:rPr>
          <w:rFonts w:ascii="Times New Roman" w:hAnsi="Times New Roman" w:cs="Times New Roman"/>
          <w:b/>
          <w:color w:val="000000"/>
          <w:sz w:val="24"/>
          <w:szCs w:val="24"/>
        </w:rPr>
        <w:t>7.3.2. Protocole de Cartagena sur la biosécurité</w:t>
      </w:r>
      <w:bookmarkEnd w:id="123"/>
    </w:p>
    <w:p w14:paraId="76F23B91"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color w:val="000000"/>
          <w:sz w:val="24"/>
          <w:szCs w:val="24"/>
        </w:rPr>
      </w:pPr>
    </w:p>
    <w:p w14:paraId="45E4187F" w14:textId="7F9A09F0" w:rsidR="00C96A22" w:rsidRPr="008063D4" w:rsidRDefault="00C96A22" w:rsidP="00C96A22">
      <w:pPr>
        <w:pStyle w:val="Default"/>
        <w:jc w:val="both"/>
      </w:pPr>
      <w:r w:rsidRPr="00381D14">
        <w:t xml:space="preserve">Le Protocole de Cartagena sur la Prévention des risques Biotechnologiques a pour objectif « de contribuer à assurer un degré adéquat de protection pour le transfert, la manipulation et l'utilisation sans danger des organismes vivants modifiés résultant de la biotechnologie moderne qui peuvent avoir des effets défavorables sur la conservation et l'utilisation durable de la diversité biologique, compte tenu également des risques pour la santé humaine, en mettant plus précisément l'accent sur les mouvements transfrontières ». Le Togo a signé en 2000 ce protocole qui lui a offert l’opportunité de renforcement des capacités nationales de gestion de la biosécurité.  Au cours de l’année de 2017, le Togo </w:t>
      </w:r>
      <w:r w:rsidR="00EC17E3" w:rsidRPr="00381D14">
        <w:t>à</w:t>
      </w:r>
      <w:r w:rsidRPr="00381D14">
        <w:t xml:space="preserve"> travers la direction des ressources forestières a poursuivi les actions de suivi de l’adoption de la loi révisée portant sécurité en matière d’utilisation des biotechnologies modernes au ni</w:t>
      </w:r>
      <w:r w:rsidR="003B3B16">
        <w:t>veau du secrétariat général du G</w:t>
      </w:r>
      <w:r w:rsidRPr="00381D14">
        <w:t xml:space="preserve">ouvernement. Par ailleurs, </w:t>
      </w:r>
      <w:r w:rsidR="00531399">
        <w:t xml:space="preserve">le Togo participe à l’élaboration d’un règlement communautaire sur la biosécurité dans </w:t>
      </w:r>
      <w:r w:rsidR="003B3B16">
        <w:t>la sous région Ouest africaine.</w:t>
      </w:r>
      <w:r w:rsidR="00531399">
        <w:t xml:space="preserve"> Le projet dudit règlement examiné par les responsables des agences de biosécurité de la CEDEAO et du CILSS sera soumis à l’adoption des ministres sectoriels en 2019. </w:t>
      </w:r>
    </w:p>
    <w:p w14:paraId="5A8C8C7D"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sz w:val="24"/>
          <w:szCs w:val="24"/>
        </w:rPr>
      </w:pPr>
    </w:p>
    <w:p w14:paraId="5CF674C5" w14:textId="77777777" w:rsidR="00F52EF3" w:rsidRPr="008063D4" w:rsidRDefault="00F52EF3" w:rsidP="00555B83">
      <w:pPr>
        <w:autoSpaceDE w:val="0"/>
        <w:autoSpaceDN w:val="0"/>
        <w:adjustRightInd w:val="0"/>
        <w:spacing w:after="0" w:line="240" w:lineRule="auto"/>
        <w:outlineLvl w:val="2"/>
        <w:rPr>
          <w:rFonts w:ascii="Times New Roman" w:hAnsi="Times New Roman" w:cs="Times New Roman"/>
          <w:b/>
          <w:sz w:val="24"/>
          <w:szCs w:val="24"/>
        </w:rPr>
      </w:pPr>
      <w:bookmarkStart w:id="124" w:name="_Toc533413787"/>
      <w:r w:rsidRPr="008063D4">
        <w:rPr>
          <w:rFonts w:ascii="Times New Roman" w:hAnsi="Times New Roman" w:cs="Times New Roman"/>
          <w:b/>
          <w:color w:val="000000"/>
          <w:sz w:val="24"/>
          <w:szCs w:val="24"/>
        </w:rPr>
        <w:t xml:space="preserve">7.3.3. </w:t>
      </w:r>
      <w:r w:rsidRPr="008063D4">
        <w:rPr>
          <w:rFonts w:ascii="Times New Roman" w:hAnsi="Times New Roman" w:cs="Times New Roman"/>
          <w:b/>
          <w:sz w:val="24"/>
          <w:szCs w:val="24"/>
        </w:rPr>
        <w:t>Protocole de Nagoya sur l'accès et le partage des avantages</w:t>
      </w:r>
      <w:bookmarkEnd w:id="124"/>
    </w:p>
    <w:p w14:paraId="75EA8FD7" w14:textId="77777777" w:rsidR="00F52EF3" w:rsidRPr="008063D4" w:rsidRDefault="00F52EF3" w:rsidP="00254C9C">
      <w:pPr>
        <w:autoSpaceDE w:val="0"/>
        <w:autoSpaceDN w:val="0"/>
        <w:adjustRightInd w:val="0"/>
        <w:spacing w:after="0" w:line="240" w:lineRule="auto"/>
        <w:jc w:val="both"/>
        <w:rPr>
          <w:rFonts w:ascii="Times New Roman" w:hAnsi="Times New Roman" w:cs="Times New Roman"/>
          <w:b/>
          <w:sz w:val="24"/>
          <w:szCs w:val="24"/>
        </w:rPr>
      </w:pPr>
    </w:p>
    <w:p w14:paraId="429D28FC" w14:textId="60F7708F" w:rsidR="00F52EF3" w:rsidRDefault="003B3B16" w:rsidP="00254C9C">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Togo a signé le </w:t>
      </w:r>
      <w:r w:rsidR="00F52EF3" w:rsidRPr="008063D4">
        <w:rPr>
          <w:rFonts w:ascii="Times New Roman" w:hAnsi="Times New Roman" w:cs="Times New Roman"/>
          <w:color w:val="000000"/>
          <w:sz w:val="24"/>
          <w:szCs w:val="24"/>
        </w:rPr>
        <w:t>rotocole de Nagoya (PN) en septembre 2011 et l’a ratifié le 09 février 2016 témoignant davantage sa volonté de contribuer à l’atteinte des objectifs dudit Protocole. Cette ratification apporte une certitude juridique pour tous les partenaires du Togo engagés dans le processus APA car elle ouvre la voie pour la mise en place des cadres politiques, juridiques et institutionnels qui encadreront les mesures opérationnelles de l’APA sur toute l’étendue du territoire national. Le Protocole fait obligation à chaque Etat Partie de prendre des mesures d’ordre politiques, juridiques, administratives et techniques en vue de favoriser l’accès aux ressources génétiques et le partage des avantages découlant de leur utilisation dans le pays. Par ailleurs, l’utilisation de ressources génétiques fait également référence aux connaissances traditionnelles associées à ces ressources et détenues par les communautés autochtones et locales. Ces connaissances traditionnelles associées entrent dans le champ d’application du Protocole de Nagoya car elles contribuent à la préservation de la biodiversité.</w:t>
      </w:r>
    </w:p>
    <w:p w14:paraId="223A2B62" w14:textId="77777777" w:rsidR="00555B83" w:rsidRDefault="00555B83" w:rsidP="00254C9C">
      <w:pPr>
        <w:spacing w:after="0" w:line="240" w:lineRule="auto"/>
        <w:jc w:val="both"/>
        <w:rPr>
          <w:rFonts w:ascii="Times New Roman" w:hAnsi="Times New Roman" w:cs="Times New Roman"/>
          <w:color w:val="000000"/>
          <w:sz w:val="24"/>
          <w:szCs w:val="24"/>
        </w:rPr>
      </w:pPr>
    </w:p>
    <w:p w14:paraId="2C9F0E4B" w14:textId="77777777" w:rsidR="00555B83" w:rsidRDefault="00F52EF3" w:rsidP="00254C9C">
      <w:pPr>
        <w:spacing w:after="0" w:line="240" w:lineRule="auto"/>
        <w:jc w:val="both"/>
        <w:rPr>
          <w:rFonts w:ascii="Times New Roman" w:hAnsi="Times New Roman" w:cs="Times New Roman"/>
          <w:color w:val="000000"/>
          <w:sz w:val="24"/>
          <w:szCs w:val="24"/>
        </w:rPr>
      </w:pPr>
      <w:r w:rsidRPr="008063D4">
        <w:rPr>
          <w:rFonts w:ascii="Times New Roman" w:hAnsi="Times New Roman" w:cs="Times New Roman"/>
          <w:color w:val="000000"/>
          <w:sz w:val="24"/>
          <w:szCs w:val="24"/>
        </w:rPr>
        <w:t>Au Togo, les efforts d’appropriation du PN sont encore à leurs débuts. Cependant, le Togo doit honorer son engagement relatif  à l’article 31 dudit protocole qui recommande à chaque Etat Partie d’élaborer un rapport national intérimaire de mise en œuvre du Protocole quatre ans après son entrée en vigueur. Ce rapport devrait permettre à la Conférence des Parties siégeant en tant que réunion des Parties au Protocole (COP-MOP), d’évaluer l’efficacité du Protocole de Nagoya. Dans ce cadre, un atelier national et deux ateliers régionaux ont eu lieu à Lomé, Kara et Atakpamé respectivement le 16 février, les 13 et 15 mars 2018. L’objectif principal de ces ateliers est de mettre à la disposition des parties prenantes tant au niveau central que régional, des informations suffisantes sur le protocole de Nagoya et son importance pour le pays, en vue de favoriser une meilleure appropriation du processus d’élaboration du rapport intérimaire de mise en œuvre dudit protocole. Il s’est agi de (i) partager le contenu et les enjeux du protocole de Nagoya sur l’APA ; (ii) échanger sur les champs d’application du protocole et son importance en matière de la valorisation et de la conservation de la biodiversité au Togo ; (iii) présenter les efforts réalisés par le Togo depuis la signature du PN ; (v) présenter les lignes directrices pour l’élaboration du rapport national intérimaire sur la mise e</w:t>
      </w:r>
      <w:r w:rsidR="00555B83">
        <w:rPr>
          <w:rFonts w:ascii="Times New Roman" w:hAnsi="Times New Roman" w:cs="Times New Roman"/>
          <w:color w:val="000000"/>
          <w:sz w:val="24"/>
          <w:szCs w:val="24"/>
        </w:rPr>
        <w:t>n œuvre du Protocole de Nagoya.</w:t>
      </w:r>
    </w:p>
    <w:p w14:paraId="6CF415DB" w14:textId="77777777" w:rsidR="00555B83" w:rsidRDefault="00555B83" w:rsidP="00254C9C">
      <w:pPr>
        <w:spacing w:after="0" w:line="240" w:lineRule="auto"/>
        <w:jc w:val="both"/>
        <w:rPr>
          <w:rFonts w:ascii="Times New Roman" w:hAnsi="Times New Roman" w:cs="Times New Roman"/>
          <w:color w:val="000000"/>
          <w:sz w:val="24"/>
          <w:szCs w:val="24"/>
        </w:rPr>
      </w:pPr>
    </w:p>
    <w:p w14:paraId="6AF75EC1" w14:textId="658CD3FB" w:rsidR="00F52EF3" w:rsidRDefault="00F52EF3" w:rsidP="00254C9C">
      <w:pPr>
        <w:spacing w:after="0" w:line="240" w:lineRule="auto"/>
        <w:jc w:val="both"/>
        <w:rPr>
          <w:rFonts w:ascii="Times New Roman" w:hAnsi="Times New Roman" w:cs="Times New Roman"/>
          <w:color w:val="000000"/>
          <w:sz w:val="24"/>
          <w:szCs w:val="24"/>
        </w:rPr>
      </w:pPr>
      <w:r w:rsidRPr="008063D4">
        <w:rPr>
          <w:rFonts w:ascii="Times New Roman" w:hAnsi="Times New Roman" w:cs="Times New Roman"/>
          <w:color w:val="000000"/>
          <w:sz w:val="24"/>
          <w:szCs w:val="24"/>
        </w:rPr>
        <w:t>En déhors de ces ateliers, d’autres actions ont été entreprises par le Togo en lien avec le PN. Il s’agit de (i) évaluation des dispositifs politiques, juridiques et institutionnels existants ainsi que les contraintes liées à la ratification du protocole de Nagoya, (ii), élaboration d’une stratégie et plan d’action national APA, (iii) adoption du projet en conseil des ministres en décembre</w:t>
      </w:r>
      <w:r w:rsidR="003B3B16">
        <w:rPr>
          <w:rFonts w:ascii="Times New Roman" w:hAnsi="Times New Roman" w:cs="Times New Roman"/>
          <w:color w:val="000000"/>
          <w:sz w:val="24"/>
          <w:szCs w:val="24"/>
        </w:rPr>
        <w:t xml:space="preserve"> </w:t>
      </w:r>
      <w:r w:rsidRPr="008063D4">
        <w:rPr>
          <w:rFonts w:ascii="Times New Roman" w:hAnsi="Times New Roman" w:cs="Times New Roman"/>
          <w:color w:val="000000"/>
          <w:sz w:val="24"/>
          <w:szCs w:val="24"/>
        </w:rPr>
        <w:t>2013, (iv) plaidoyer auprès du Gouvernement et de l’Assemblée Nationale, nomination d’un Point Focal APA en l2015. Ben que la ratification par le Togo soit effective  depuis le 30 novembre 2015, les défis restent encore énormes pour la mise en œuvre. Au rang de ces défis, on peut citer  la mise à niveau de l’information à toutes les catégories d’acteurs (secteur privé, société civile, struc</w:t>
      </w:r>
      <w:r w:rsidR="003B3B16">
        <w:rPr>
          <w:rFonts w:ascii="Times New Roman" w:hAnsi="Times New Roman" w:cs="Times New Roman"/>
          <w:color w:val="000000"/>
          <w:sz w:val="24"/>
          <w:szCs w:val="24"/>
        </w:rPr>
        <w:t>tures étatiques, médias, G</w:t>
      </w:r>
      <w:r w:rsidRPr="008063D4">
        <w:rPr>
          <w:rFonts w:ascii="Times New Roman" w:hAnsi="Times New Roman" w:cs="Times New Roman"/>
          <w:color w:val="000000"/>
          <w:sz w:val="24"/>
          <w:szCs w:val="24"/>
        </w:rPr>
        <w:t>ouvernement et Parlement), la mise en place d’un Comité national APA constitué des parties prenantes pertinentes identifiées, l’implication systématique des représentants des parties pertinentes à toutes les activités programmées dans le cadre de la mise en place du cadre national APA,  l’élaboration</w:t>
      </w:r>
      <w:r w:rsidR="003B3B16">
        <w:rPr>
          <w:rFonts w:ascii="Times New Roman" w:hAnsi="Times New Roman" w:cs="Times New Roman"/>
          <w:color w:val="000000"/>
          <w:sz w:val="24"/>
          <w:szCs w:val="24"/>
        </w:rPr>
        <w:t xml:space="preserve"> des</w:t>
      </w:r>
      <w:r w:rsidRPr="008063D4">
        <w:rPr>
          <w:rFonts w:ascii="Times New Roman" w:hAnsi="Times New Roman" w:cs="Times New Roman"/>
          <w:color w:val="000000"/>
          <w:sz w:val="24"/>
          <w:szCs w:val="24"/>
        </w:rPr>
        <w:t xml:space="preserve"> mesures législatives, la poursuite de la sensibilisation à chaque étape du processus avec des outils mieux appropriés et spécifiques, le développement des outils de communication audiovisuelle et écrite (formation des médias sur APA), les connaissances traditionnelles dans la mise en œuvre de l’APA: Protocoles Communautaires, interface/Traité international sur les ressources phytogénétiques pour l'alimentation et l'agriculture (TI-RPGAA) et APA.</w:t>
      </w:r>
    </w:p>
    <w:p w14:paraId="2EFAF70B" w14:textId="77777777" w:rsidR="007475D1" w:rsidRDefault="007475D1" w:rsidP="00254C9C">
      <w:pPr>
        <w:spacing w:after="0" w:line="240" w:lineRule="auto"/>
        <w:jc w:val="both"/>
        <w:rPr>
          <w:rFonts w:ascii="Times New Roman" w:hAnsi="Times New Roman" w:cs="Times New Roman"/>
          <w:color w:val="000000"/>
          <w:sz w:val="24"/>
          <w:szCs w:val="24"/>
        </w:rPr>
      </w:pPr>
    </w:p>
    <w:p w14:paraId="6CE42E3F" w14:textId="77777777" w:rsidR="00555B83" w:rsidRDefault="00555B83" w:rsidP="00254C9C">
      <w:pPr>
        <w:spacing w:after="0" w:line="24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08CF0B25" w14:textId="77777777" w:rsidR="002C24B8" w:rsidRPr="00555B83" w:rsidRDefault="002C24B8" w:rsidP="00555B83">
      <w:pPr>
        <w:spacing w:after="0" w:line="240" w:lineRule="auto"/>
        <w:outlineLvl w:val="0"/>
        <w:rPr>
          <w:rFonts w:ascii="Times New Roman Gras" w:hAnsi="Times New Roman Gras" w:cs="Times New Roman"/>
          <w:b/>
          <w:caps/>
          <w:color w:val="000000"/>
          <w:sz w:val="24"/>
          <w:szCs w:val="24"/>
        </w:rPr>
      </w:pPr>
      <w:bookmarkStart w:id="125" w:name="_Toc533413788"/>
      <w:r w:rsidRPr="00555B83">
        <w:rPr>
          <w:rFonts w:ascii="Times New Roman Gras" w:hAnsi="Times New Roman Gras" w:cs="Times New Roman"/>
          <w:b/>
          <w:caps/>
          <w:color w:val="000000"/>
          <w:sz w:val="24"/>
          <w:szCs w:val="24"/>
        </w:rPr>
        <w:t>Conclusion générale</w:t>
      </w:r>
      <w:bookmarkEnd w:id="125"/>
    </w:p>
    <w:p w14:paraId="20ECAF75" w14:textId="77777777" w:rsidR="00555B83" w:rsidRPr="002C24B8" w:rsidRDefault="00555B83" w:rsidP="00254C9C">
      <w:pPr>
        <w:spacing w:after="0" w:line="240" w:lineRule="auto"/>
        <w:jc w:val="both"/>
        <w:rPr>
          <w:rFonts w:ascii="Times New Roman" w:hAnsi="Times New Roman" w:cs="Times New Roman"/>
          <w:b/>
          <w:color w:val="000000"/>
          <w:sz w:val="24"/>
          <w:szCs w:val="24"/>
        </w:rPr>
      </w:pPr>
    </w:p>
    <w:p w14:paraId="3B0A6837" w14:textId="22413914" w:rsidR="00D26845" w:rsidRDefault="00C627EF" w:rsidP="00D26845">
      <w:pPr>
        <w:jc w:val="both"/>
        <w:rPr>
          <w:rFonts w:ascii="Times New Roman" w:hAnsi="Times New Roman" w:cs="Times New Roman"/>
          <w:color w:val="000000"/>
          <w:sz w:val="24"/>
          <w:szCs w:val="24"/>
        </w:rPr>
      </w:pPr>
      <w:r w:rsidRPr="00C627EF">
        <w:rPr>
          <w:rFonts w:ascii="Times New Roman" w:hAnsi="Times New Roman" w:cs="Times New Roman"/>
          <w:color w:val="000000"/>
          <w:sz w:val="24"/>
          <w:szCs w:val="24"/>
        </w:rPr>
        <w:t>Le Togo a signé la Convention sur la diversité biologique</w:t>
      </w:r>
      <w:r>
        <w:rPr>
          <w:rFonts w:ascii="Times New Roman" w:hAnsi="Times New Roman" w:cs="Times New Roman"/>
          <w:color w:val="000000"/>
          <w:sz w:val="24"/>
          <w:szCs w:val="24"/>
        </w:rPr>
        <w:t xml:space="preserve"> (CDB)</w:t>
      </w:r>
      <w:r w:rsidRPr="00C627EF">
        <w:rPr>
          <w:rFonts w:ascii="Times New Roman" w:hAnsi="Times New Roman" w:cs="Times New Roman"/>
          <w:color w:val="000000"/>
          <w:sz w:val="24"/>
          <w:szCs w:val="24"/>
        </w:rPr>
        <w:t xml:space="preserve"> le 16 juin 1992 </w:t>
      </w:r>
      <w:r>
        <w:rPr>
          <w:rFonts w:ascii="Times New Roman" w:hAnsi="Times New Roman" w:cs="Times New Roman"/>
          <w:color w:val="000000"/>
          <w:sz w:val="24"/>
          <w:szCs w:val="24"/>
        </w:rPr>
        <w:t>et l</w:t>
      </w:r>
      <w:r w:rsidR="003B3B16">
        <w:rPr>
          <w:rFonts w:ascii="Times New Roman" w:hAnsi="Times New Roman" w:cs="Times New Roman"/>
          <w:color w:val="000000"/>
          <w:sz w:val="24"/>
          <w:szCs w:val="24"/>
        </w:rPr>
        <w:t>’</w:t>
      </w:r>
      <w:r>
        <w:rPr>
          <w:rFonts w:ascii="Times New Roman" w:hAnsi="Times New Roman" w:cs="Times New Roman"/>
          <w:color w:val="000000"/>
          <w:sz w:val="24"/>
          <w:szCs w:val="24"/>
        </w:rPr>
        <w:t>a ratifiée l</w:t>
      </w:r>
      <w:r w:rsidRPr="00C627EF">
        <w:rPr>
          <w:rFonts w:ascii="Times New Roman" w:hAnsi="Times New Roman" w:cs="Times New Roman"/>
          <w:color w:val="000000"/>
          <w:sz w:val="24"/>
          <w:szCs w:val="24"/>
        </w:rPr>
        <w:t>e 04 octo</w:t>
      </w:r>
      <w:r>
        <w:rPr>
          <w:rFonts w:ascii="Times New Roman" w:hAnsi="Times New Roman" w:cs="Times New Roman"/>
          <w:color w:val="000000"/>
          <w:sz w:val="24"/>
          <w:szCs w:val="24"/>
        </w:rPr>
        <w:t>bre 1995. L'adhésion du Togo à cette</w:t>
      </w:r>
      <w:r w:rsidRPr="00C627EF">
        <w:rPr>
          <w:rFonts w:ascii="Times New Roman" w:hAnsi="Times New Roman" w:cs="Times New Roman"/>
          <w:color w:val="000000"/>
          <w:sz w:val="24"/>
          <w:szCs w:val="24"/>
        </w:rPr>
        <w:t xml:space="preserve"> Convention</w:t>
      </w:r>
      <w:r w:rsidR="003B3B16">
        <w:rPr>
          <w:rFonts w:ascii="Times New Roman" w:hAnsi="Times New Roman" w:cs="Times New Roman"/>
          <w:color w:val="000000"/>
          <w:sz w:val="24"/>
          <w:szCs w:val="24"/>
        </w:rPr>
        <w:t xml:space="preserve"> a offert</w:t>
      </w:r>
      <w:r w:rsidRPr="00C627EF">
        <w:rPr>
          <w:rFonts w:ascii="Times New Roman" w:hAnsi="Times New Roman" w:cs="Times New Roman"/>
          <w:color w:val="000000"/>
          <w:sz w:val="24"/>
          <w:szCs w:val="24"/>
        </w:rPr>
        <w:t xml:space="preserve"> un nouveau cadre pour la conservation et la gestion des ressources biologiques du pays. Cette disposition a  permis au Togo d'élaborer d'une part, un document de monographie nationale et d'autre part, un document de stratégie de conservation et d'utilisation durables de la diversité biologique assortie d’un Plan d’Action National en 2003 comme l'a recommandé la convention à toutes les parties contractantes. L’objectif poursuivi était de contribuer à réduire substantiellement la perte de la diversité biologique. </w:t>
      </w:r>
    </w:p>
    <w:p w14:paraId="1BBD60E6" w14:textId="7560DEA4" w:rsidR="00D26845" w:rsidRPr="00D26845" w:rsidRDefault="00D26845" w:rsidP="00D26845">
      <w:pPr>
        <w:jc w:val="both"/>
        <w:rPr>
          <w:rFonts w:ascii="Times New Roman" w:hAnsi="Times New Roman" w:cs="Times New Roman"/>
          <w:color w:val="000000"/>
          <w:sz w:val="24"/>
          <w:szCs w:val="24"/>
        </w:rPr>
      </w:pPr>
      <w:r w:rsidRPr="00D26845">
        <w:rPr>
          <w:rFonts w:ascii="Times New Roman" w:hAnsi="Times New Roman" w:cs="Times New Roman"/>
          <w:color w:val="000000"/>
          <w:sz w:val="24"/>
          <w:szCs w:val="24"/>
        </w:rPr>
        <w:t>En vue de se conformer à la vision globale déclinée à travers la stratégique 2011-2020 in</w:t>
      </w:r>
      <w:r w:rsidR="003B3B16">
        <w:rPr>
          <w:rFonts w:ascii="Times New Roman" w:hAnsi="Times New Roman" w:cs="Times New Roman"/>
          <w:color w:val="000000"/>
          <w:sz w:val="24"/>
          <w:szCs w:val="24"/>
        </w:rPr>
        <w:t>tégrant les vingt objectifs d’Aï</w:t>
      </w:r>
      <w:r w:rsidRPr="00D26845">
        <w:rPr>
          <w:rFonts w:ascii="Times New Roman" w:hAnsi="Times New Roman" w:cs="Times New Roman"/>
          <w:color w:val="000000"/>
          <w:sz w:val="24"/>
          <w:szCs w:val="24"/>
        </w:rPr>
        <w:t>chi sur la biodiversité adopté</w:t>
      </w:r>
      <w:r w:rsidR="003B3B16">
        <w:rPr>
          <w:rFonts w:ascii="Times New Roman" w:hAnsi="Times New Roman" w:cs="Times New Roman"/>
          <w:color w:val="000000"/>
          <w:sz w:val="24"/>
          <w:szCs w:val="24"/>
        </w:rPr>
        <w:t>s</w:t>
      </w:r>
      <w:r w:rsidRPr="00D26845">
        <w:rPr>
          <w:rFonts w:ascii="Times New Roman" w:hAnsi="Times New Roman" w:cs="Times New Roman"/>
          <w:color w:val="000000"/>
          <w:sz w:val="24"/>
          <w:szCs w:val="24"/>
        </w:rPr>
        <w:t xml:space="preserve"> lors de la COP10, le Togo a procédé à </w:t>
      </w:r>
      <w:r w:rsidR="003B3B16">
        <w:rPr>
          <w:rFonts w:ascii="Times New Roman" w:hAnsi="Times New Roman" w:cs="Times New Roman"/>
          <w:color w:val="000000"/>
          <w:sz w:val="24"/>
          <w:szCs w:val="24"/>
        </w:rPr>
        <w:t xml:space="preserve">la </w:t>
      </w:r>
      <w:r w:rsidRPr="00D26845">
        <w:rPr>
          <w:rFonts w:ascii="Times New Roman" w:hAnsi="Times New Roman" w:cs="Times New Roman"/>
          <w:color w:val="000000"/>
          <w:sz w:val="24"/>
          <w:szCs w:val="24"/>
        </w:rPr>
        <w:t>révision de sa stratégie et plan d’action national pour la biodiversité adoptée en</w:t>
      </w:r>
      <w:r w:rsidR="003B3B16">
        <w:rPr>
          <w:rFonts w:ascii="Times New Roman" w:hAnsi="Times New Roman" w:cs="Times New Roman"/>
          <w:color w:val="000000"/>
          <w:sz w:val="24"/>
          <w:szCs w:val="24"/>
        </w:rPr>
        <w:t xml:space="preserve"> </w:t>
      </w:r>
      <w:r w:rsidRPr="00D26845">
        <w:rPr>
          <w:rFonts w:ascii="Times New Roman" w:hAnsi="Times New Roman" w:cs="Times New Roman"/>
          <w:color w:val="000000"/>
          <w:sz w:val="24"/>
          <w:szCs w:val="24"/>
        </w:rPr>
        <w:t>2003. Partant d’un diagnostic qui présente les potentialités et les faiblesses dans la conservation et l’utilisation durable de la biodiversité, et tenant compte du contexte agro écologique et socioéconomique, des problèmes de gestion et des principes établis pour la conservation et l’utilisation durable de la biodiversité, 20 objectifs nationaux ont été retenus pour l’horizon 2020 dans le document de stratégie et plan d’action nationa</w:t>
      </w:r>
      <w:r>
        <w:rPr>
          <w:rFonts w:ascii="Times New Roman" w:hAnsi="Times New Roman" w:cs="Times New Roman"/>
          <w:color w:val="000000"/>
          <w:sz w:val="24"/>
          <w:szCs w:val="24"/>
        </w:rPr>
        <w:t>l pour la biodiversité (SPANB</w:t>
      </w:r>
      <w:r w:rsidR="003B3B16">
        <w:rPr>
          <w:rFonts w:ascii="Times New Roman" w:hAnsi="Times New Roman" w:cs="Times New Roman"/>
          <w:color w:val="000000"/>
          <w:sz w:val="24"/>
          <w:szCs w:val="24"/>
        </w:rPr>
        <w:t>, 2011-2020</w:t>
      </w:r>
      <w:r>
        <w:rPr>
          <w:rFonts w:ascii="Times New Roman" w:hAnsi="Times New Roman" w:cs="Times New Roman"/>
          <w:color w:val="000000"/>
          <w:sz w:val="24"/>
          <w:szCs w:val="24"/>
        </w:rPr>
        <w:t>).</w:t>
      </w:r>
    </w:p>
    <w:p w14:paraId="11670FBA" w14:textId="714B3246" w:rsidR="00A83B02" w:rsidRDefault="00633731" w:rsidP="00D26845">
      <w:pPr>
        <w:jc w:val="both"/>
        <w:rPr>
          <w:rFonts w:ascii="Times New Roman" w:hAnsi="Times New Roman" w:cs="Times New Roman"/>
          <w:color w:val="000000"/>
          <w:sz w:val="24"/>
          <w:szCs w:val="24"/>
        </w:rPr>
      </w:pPr>
      <w:r>
        <w:rPr>
          <w:rFonts w:ascii="Times New Roman" w:hAnsi="Times New Roman" w:cs="Times New Roman"/>
          <w:color w:val="000000"/>
          <w:sz w:val="24"/>
          <w:szCs w:val="24"/>
        </w:rPr>
        <w:t>Dans le cadre de l’éboration du 6</w:t>
      </w:r>
      <w:r w:rsidRPr="00633731">
        <w:rPr>
          <w:rFonts w:ascii="Times New Roman" w:hAnsi="Times New Roman" w:cs="Times New Roman"/>
          <w:color w:val="000000"/>
          <w:sz w:val="24"/>
          <w:szCs w:val="24"/>
          <w:vertAlign w:val="superscript"/>
        </w:rPr>
        <w:t>ème</w:t>
      </w:r>
      <w:r>
        <w:rPr>
          <w:rFonts w:ascii="Times New Roman" w:hAnsi="Times New Roman" w:cs="Times New Roman"/>
          <w:color w:val="000000"/>
          <w:sz w:val="24"/>
          <w:szCs w:val="24"/>
        </w:rPr>
        <w:t xml:space="preserve"> rapport national sur la biodiversité, l</w:t>
      </w:r>
      <w:r w:rsidRPr="00633731">
        <w:rPr>
          <w:rFonts w:ascii="Times New Roman" w:hAnsi="Times New Roman" w:cs="Times New Roman"/>
          <w:color w:val="000000"/>
          <w:sz w:val="24"/>
          <w:szCs w:val="24"/>
        </w:rPr>
        <w:t>es données relatives aux activités en lien avec la préservation et la conservation de la biodiversité ont été collectées à travers une enquête auprès des</w:t>
      </w:r>
      <w:r>
        <w:rPr>
          <w:rFonts w:ascii="Times New Roman" w:hAnsi="Times New Roman" w:cs="Times New Roman"/>
          <w:color w:val="000000"/>
          <w:sz w:val="24"/>
          <w:szCs w:val="24"/>
        </w:rPr>
        <w:t xml:space="preserve"> intitutions étatiques et non étatiques</w:t>
      </w:r>
      <w:r w:rsidR="003B3B16">
        <w:rPr>
          <w:rFonts w:ascii="Times New Roman" w:hAnsi="Times New Roman" w:cs="Times New Roman"/>
          <w:color w:val="000000"/>
          <w:sz w:val="24"/>
          <w:szCs w:val="24"/>
        </w:rPr>
        <w:t>.</w:t>
      </w:r>
      <w:r w:rsidRPr="00633731">
        <w:rPr>
          <w:rFonts w:ascii="Times New Roman" w:hAnsi="Times New Roman" w:cs="Times New Roman"/>
          <w:color w:val="000000"/>
          <w:sz w:val="24"/>
          <w:szCs w:val="24"/>
        </w:rPr>
        <w:t xml:space="preserve"> Au total</w:t>
      </w:r>
      <w:r w:rsidR="003B3B16">
        <w:rPr>
          <w:rFonts w:ascii="Times New Roman" w:hAnsi="Times New Roman" w:cs="Times New Roman"/>
          <w:color w:val="000000"/>
          <w:sz w:val="24"/>
          <w:szCs w:val="24"/>
        </w:rPr>
        <w:t>,</w:t>
      </w:r>
      <w:r w:rsidRPr="00633731">
        <w:rPr>
          <w:rFonts w:ascii="Times New Roman" w:hAnsi="Times New Roman" w:cs="Times New Roman"/>
          <w:color w:val="000000"/>
          <w:sz w:val="24"/>
          <w:szCs w:val="24"/>
        </w:rPr>
        <w:t xml:space="preserve"> 76 structures ont été consultées dont 51,31 % constitués par des structures étatiques et 48,69 % des structures non étatiques en majorités les ONG</w:t>
      </w:r>
      <w:r w:rsidR="003B3B16">
        <w:rPr>
          <w:rFonts w:ascii="Times New Roman" w:hAnsi="Times New Roman" w:cs="Times New Roman"/>
          <w:color w:val="000000"/>
          <w:sz w:val="24"/>
          <w:szCs w:val="24"/>
        </w:rPr>
        <w:t>s</w:t>
      </w:r>
      <w:r w:rsidRPr="00633731">
        <w:rPr>
          <w:rFonts w:ascii="Times New Roman" w:hAnsi="Times New Roman" w:cs="Times New Roman"/>
          <w:color w:val="000000"/>
          <w:sz w:val="24"/>
          <w:szCs w:val="24"/>
        </w:rPr>
        <w:t xml:space="preserve"> et associations et quelques acteurs privés.</w:t>
      </w:r>
    </w:p>
    <w:p w14:paraId="1F704DB5" w14:textId="7E969125" w:rsidR="00A83B02" w:rsidRPr="00A83B02" w:rsidRDefault="00A83B02" w:rsidP="00A83B02">
      <w:pPr>
        <w:jc w:val="both"/>
        <w:rPr>
          <w:rFonts w:ascii="Times New Roman" w:hAnsi="Times New Roman" w:cs="Times New Roman"/>
          <w:color w:val="000000"/>
          <w:sz w:val="24"/>
          <w:szCs w:val="24"/>
        </w:rPr>
      </w:pPr>
      <w:r w:rsidRPr="00A83B02">
        <w:rPr>
          <w:rFonts w:ascii="Times New Roman" w:hAnsi="Times New Roman" w:cs="Times New Roman"/>
          <w:color w:val="000000"/>
          <w:sz w:val="24"/>
          <w:szCs w:val="24"/>
        </w:rPr>
        <w:t>L’évaluation globale des 20 objectifs nationaux pour la conservation de la biodiversité montre que différents niveaux de réalisation ont été atteints pour chacun des</w:t>
      </w:r>
      <w:r w:rsidR="003B3B16">
        <w:rPr>
          <w:rFonts w:ascii="Times New Roman" w:hAnsi="Times New Roman" w:cs="Times New Roman"/>
          <w:color w:val="000000"/>
          <w:sz w:val="24"/>
          <w:szCs w:val="24"/>
        </w:rPr>
        <w:t xml:space="preserve"> objectifs nationaux</w:t>
      </w:r>
      <w:r w:rsidRPr="00A83B02">
        <w:rPr>
          <w:rFonts w:ascii="Times New Roman" w:hAnsi="Times New Roman" w:cs="Times New Roman"/>
          <w:color w:val="000000"/>
          <w:sz w:val="24"/>
          <w:szCs w:val="24"/>
        </w:rPr>
        <w:t>. Parmi tous ces objectifs, seul l’objectif 1 (développer une approche intégrée de sensibilisation pour que d’ici 2020, 50% de la population togolaise soit mobilisée pour la conservation et l’utilisation durable de la biodiversité) présente un niveau de réalisation assez conséquent et l’évaluation indique un niveau de réalisation estimé à environ 65% pour l’</w:t>
      </w:r>
      <w:r>
        <w:rPr>
          <w:rFonts w:ascii="Times New Roman" w:hAnsi="Times New Roman" w:cs="Times New Roman"/>
          <w:color w:val="000000"/>
          <w:sz w:val="24"/>
          <w:szCs w:val="24"/>
        </w:rPr>
        <w:t>ensemble des efforts entrepris.</w:t>
      </w:r>
    </w:p>
    <w:p w14:paraId="3313EF33" w14:textId="6FF3FAE0" w:rsidR="007475D1" w:rsidRDefault="00A83B02" w:rsidP="00A83B02">
      <w:pPr>
        <w:jc w:val="both"/>
        <w:rPr>
          <w:rFonts w:ascii="Times New Roman" w:hAnsi="Times New Roman" w:cs="Times New Roman"/>
          <w:color w:val="000000"/>
          <w:sz w:val="24"/>
          <w:szCs w:val="24"/>
        </w:rPr>
      </w:pPr>
      <w:r w:rsidRPr="00A83B02">
        <w:rPr>
          <w:rFonts w:ascii="Times New Roman" w:hAnsi="Times New Roman" w:cs="Times New Roman"/>
          <w:color w:val="000000"/>
          <w:sz w:val="24"/>
          <w:szCs w:val="24"/>
        </w:rPr>
        <w:t>Les efforts et actions engagés et relevés auprès des acteurs pour les objectifs 2, 4, 5, 6 et 8 ont permis d’estimer leurs taux de réalisation à environ 45% pour chaque objectif. Pour les autres objectifs, les taux de mise en œuvre sont compris entre 10 et 30 % de réalisation. Les plus faibles niveaux de mise en œuvre ont été observés pour les objectifs 9, 11, 14, 18, 19 et 20 pour lesquels les scores so</w:t>
      </w:r>
      <w:r w:rsidR="003B3B16">
        <w:rPr>
          <w:rFonts w:ascii="Times New Roman" w:hAnsi="Times New Roman" w:cs="Times New Roman"/>
          <w:color w:val="000000"/>
          <w:sz w:val="24"/>
          <w:szCs w:val="24"/>
        </w:rPr>
        <w:t>nt estimés à 10% de réalisation.</w:t>
      </w:r>
      <w:r w:rsidR="00B557E4">
        <w:rPr>
          <w:rFonts w:ascii="Times New Roman" w:hAnsi="Times New Roman" w:cs="Times New Roman"/>
          <w:color w:val="000000"/>
          <w:sz w:val="24"/>
          <w:szCs w:val="24"/>
        </w:rPr>
        <w:t xml:space="preserve"> Des efforts doivent être d’avantage consentis pour ces objectifs à faible taux en vue de relever le défi d’ici à 2020. </w:t>
      </w:r>
      <w:r w:rsidR="007475D1">
        <w:rPr>
          <w:rFonts w:ascii="Times New Roman" w:hAnsi="Times New Roman" w:cs="Times New Roman"/>
          <w:color w:val="000000"/>
          <w:sz w:val="24"/>
          <w:szCs w:val="24"/>
        </w:rPr>
        <w:br w:type="page"/>
      </w:r>
    </w:p>
    <w:p w14:paraId="1ECC4D3F" w14:textId="77777777" w:rsidR="007475D1" w:rsidRPr="002C24B8" w:rsidRDefault="007475D1" w:rsidP="00555B83">
      <w:pPr>
        <w:spacing w:after="0" w:line="240" w:lineRule="auto"/>
        <w:outlineLvl w:val="0"/>
        <w:rPr>
          <w:rFonts w:ascii="Times New Roman" w:hAnsi="Times New Roman" w:cs="Times New Roman"/>
          <w:b/>
          <w:sz w:val="24"/>
          <w:szCs w:val="24"/>
        </w:rPr>
      </w:pPr>
      <w:bookmarkStart w:id="126" w:name="_Toc533413789"/>
      <w:r w:rsidRPr="002C24B8">
        <w:rPr>
          <w:rFonts w:ascii="Times New Roman" w:hAnsi="Times New Roman" w:cs="Times New Roman"/>
          <w:b/>
          <w:sz w:val="24"/>
          <w:szCs w:val="24"/>
        </w:rPr>
        <w:t>Bibliographie</w:t>
      </w:r>
      <w:bookmarkEnd w:id="126"/>
    </w:p>
    <w:p w14:paraId="1EBC3BF0" w14:textId="77777777" w:rsidR="007475D1" w:rsidRDefault="007475D1" w:rsidP="00254C9C">
      <w:pPr>
        <w:spacing w:after="0" w:line="240" w:lineRule="auto"/>
        <w:jc w:val="both"/>
        <w:rPr>
          <w:rFonts w:ascii="Times New Roman" w:hAnsi="Times New Roman" w:cs="Times New Roman"/>
          <w:sz w:val="24"/>
          <w:szCs w:val="24"/>
        </w:rPr>
      </w:pPr>
    </w:p>
    <w:p w14:paraId="365415B1"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 xml:space="preserve">Abotsi K.E., Kokou K., Dubuisson J-Y., Rouhan G. 2018. </w:t>
      </w:r>
      <w:r w:rsidRPr="00B346A4">
        <w:rPr>
          <w:rFonts w:ascii="Times New Roman" w:hAnsi="Times New Roman"/>
          <w:sz w:val="24"/>
          <w:szCs w:val="24"/>
          <w:lang w:val="en-US"/>
        </w:rPr>
        <w:t xml:space="preserve">A first checklist of the Pteridophytes of Togo (West Africa). </w:t>
      </w:r>
      <w:r w:rsidRPr="00B346A4">
        <w:rPr>
          <w:rFonts w:ascii="Times New Roman" w:hAnsi="Times New Roman"/>
          <w:sz w:val="24"/>
          <w:szCs w:val="24"/>
        </w:rPr>
        <w:t xml:space="preserve">Biodiversity Data Journal 6.  </w:t>
      </w:r>
    </w:p>
    <w:p w14:paraId="52D10748" w14:textId="5BCC52BD"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 xml:space="preserve">Adjonou K, 2011. Structure et indicateurs biologiques de gestion durable des </w:t>
      </w:r>
      <w:r w:rsidR="00B346A4" w:rsidRPr="00B346A4">
        <w:rPr>
          <w:rFonts w:ascii="Times New Roman" w:hAnsi="Times New Roman"/>
          <w:sz w:val="24"/>
          <w:szCs w:val="24"/>
        </w:rPr>
        <w:t>reliques de forê</w:t>
      </w:r>
      <w:r w:rsidRPr="00B346A4">
        <w:rPr>
          <w:rFonts w:ascii="Times New Roman" w:hAnsi="Times New Roman"/>
          <w:sz w:val="24"/>
          <w:szCs w:val="24"/>
        </w:rPr>
        <w:t>ts sèches du Togo. Thèse de doctorat, Université de Lomé-Togo. 119 p.</w:t>
      </w:r>
    </w:p>
    <w:p w14:paraId="3811492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Adjonou K., Ali N., Kokutse, A. D. et Kokou K., 2010. Étude de la dynamique des   peuplements naturels de Pterocarpus erinaceus Poir. (Fabaceae) surexploités au Togo. Bois   et Forêts des Tropiques, n°306 (1), pp 33-43.</w:t>
      </w:r>
    </w:p>
    <w:p w14:paraId="0A2FF12D" w14:textId="488F160B"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Adjonou K., Bellefontaine R., Kokou K., 2009. Les forêts claires du Parc National Oti-Kéran au Nord-Togo</w:t>
      </w:r>
      <w:r w:rsidR="00B346A4" w:rsidRPr="00B346A4">
        <w:rPr>
          <w:rFonts w:ascii="Times New Roman" w:hAnsi="Times New Roman"/>
          <w:sz w:val="24"/>
          <w:szCs w:val="24"/>
        </w:rPr>
        <w:t xml:space="preserve"> </w:t>
      </w:r>
      <w:r w:rsidRPr="00B346A4">
        <w:rPr>
          <w:rFonts w:ascii="Times New Roman" w:hAnsi="Times New Roman"/>
          <w:sz w:val="24"/>
          <w:szCs w:val="24"/>
        </w:rPr>
        <w:t xml:space="preserve">: structure, dynamique et impacts des modifications climatiques récentes; Sécheresse, 1 (5): </w:t>
      </w:r>
      <w:r w:rsidR="00B346A4" w:rsidRPr="00B346A4">
        <w:rPr>
          <w:rFonts w:ascii="Times New Roman" w:hAnsi="Times New Roman"/>
          <w:sz w:val="24"/>
          <w:szCs w:val="24"/>
        </w:rPr>
        <w:t>pp</w:t>
      </w:r>
      <w:r w:rsidRPr="00B346A4">
        <w:rPr>
          <w:rFonts w:ascii="Times New Roman" w:hAnsi="Times New Roman"/>
          <w:sz w:val="24"/>
          <w:szCs w:val="24"/>
        </w:rPr>
        <w:t>1-10.</w:t>
      </w:r>
    </w:p>
    <w:p w14:paraId="6C4411ED"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Adjossou K., 2009. « Diversité, structure et dynamique de la végétation dans les fragments de forêts humides du Togo: les enjeux pour la conservation de la biodiversité ». Th. Doct., Université de Lomé, Togo.</w:t>
      </w:r>
    </w:p>
    <w:p w14:paraId="0A70B55A" w14:textId="557B8D9C"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Afidégnon D., 1999. Les mangroves et les formation</w:t>
      </w:r>
      <w:r w:rsidR="00B346A4" w:rsidRPr="00B346A4">
        <w:rPr>
          <w:rFonts w:ascii="Times New Roman" w:hAnsi="Times New Roman"/>
          <w:sz w:val="24"/>
          <w:szCs w:val="24"/>
        </w:rPr>
        <w:t>s associées du Sud-E</w:t>
      </w:r>
      <w:r w:rsidRPr="00B346A4">
        <w:rPr>
          <w:rFonts w:ascii="Times New Roman" w:hAnsi="Times New Roman"/>
          <w:sz w:val="24"/>
          <w:szCs w:val="24"/>
        </w:rPr>
        <w:t>st du Togo: analyse éco-floristique et cartographique par télédétection spatiale. Thèse de doctorat, Université du Bénin, 237 p.</w:t>
      </w:r>
    </w:p>
    <w:p w14:paraId="20E9E1BD"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Akodéwou A., 2012. Conservation et utilisation durable des ressources Génétiques : cas de Sorindeia warneckei ENGL dans la région maritime au Togo, Mém. DEA, Univ Lomé, 45 p.</w:t>
      </w:r>
    </w:p>
    <w:p w14:paraId="4785D14C"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Akpagana K., Guelly K.A., 1994. Espèces d’Angiospermes nouvelles pour la flore du Togo. Acta bot. Gallica, 141 (6/7): 781-787.</w:t>
      </w:r>
    </w:p>
    <w:p w14:paraId="73BB2EF1"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Akpoto K., 2011. Impacts de l’exploitation artisanale de bois d’oeuvre sur la gestion durable des forêts tropicales humides du Togo. Mémoire DEA Université de Lomé, 50 p.</w:t>
      </w:r>
    </w:p>
    <w:p w14:paraId="6F04C7B0"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185CAD">
        <w:rPr>
          <w:rFonts w:ascii="Times New Roman" w:hAnsi="Times New Roman"/>
          <w:sz w:val="24"/>
          <w:szCs w:val="24"/>
          <w:lang w:val="en-US"/>
        </w:rPr>
        <w:t xml:space="preserve">Akpoto K., Kokutse A.D., Radji R., Adjonou K., Kokou K., 2014. </w:t>
      </w:r>
      <w:r w:rsidRPr="00B346A4">
        <w:rPr>
          <w:rFonts w:ascii="Times New Roman" w:hAnsi="Times New Roman"/>
          <w:sz w:val="24"/>
          <w:szCs w:val="24"/>
          <w:lang w:val="en-US"/>
        </w:rPr>
        <w:t xml:space="preserve">Impact of Small-ScaleLogging in Semi Deciduous Forest of Togo (West Africa). </w:t>
      </w:r>
      <w:r w:rsidRPr="00B346A4">
        <w:rPr>
          <w:rFonts w:ascii="Times New Roman" w:hAnsi="Times New Roman"/>
          <w:sz w:val="24"/>
          <w:szCs w:val="24"/>
        </w:rPr>
        <w:t>Journal of Biodiversity Management &amp;Forestry, (4) 1 : 1 – 6.</w:t>
      </w:r>
    </w:p>
    <w:p w14:paraId="256D99C2"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Aléza K., 2010. Structure et aspects socio-économiques des parcs agroforestiers à Vitellaria paradoxa Gaertn. F. dans la plaine de l’Ôti. Mém. DEA., Univ. Lomé, 51 p</w:t>
      </w:r>
    </w:p>
    <w:p w14:paraId="78B073D3" w14:textId="1C834689"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Ali N., 2009. Pterocarpus erinaceus (Fabaceae) dans la Région Centrale du Togo</w:t>
      </w:r>
      <w:r w:rsidR="00B346A4" w:rsidRPr="00B346A4">
        <w:rPr>
          <w:rFonts w:ascii="Times New Roman" w:hAnsi="Times New Roman"/>
          <w:sz w:val="24"/>
          <w:szCs w:val="24"/>
        </w:rPr>
        <w:t> :</w:t>
      </w:r>
      <w:r w:rsidRPr="00B346A4">
        <w:rPr>
          <w:rFonts w:ascii="Times New Roman" w:hAnsi="Times New Roman"/>
          <w:sz w:val="24"/>
          <w:szCs w:val="24"/>
        </w:rPr>
        <w:t xml:space="preserve"> Usages et   impacts de l'exploitation sur la distribution spatiale et caractéristiques structurale</w:t>
      </w:r>
      <w:r w:rsidR="00B346A4" w:rsidRPr="00B346A4">
        <w:rPr>
          <w:rFonts w:ascii="Times New Roman" w:hAnsi="Times New Roman"/>
          <w:sz w:val="24"/>
          <w:szCs w:val="24"/>
        </w:rPr>
        <w:t>s. Mémoire,  Institut National d</w:t>
      </w:r>
      <w:r w:rsidRPr="00B346A4">
        <w:rPr>
          <w:rFonts w:ascii="Times New Roman" w:hAnsi="Times New Roman"/>
          <w:sz w:val="24"/>
          <w:szCs w:val="24"/>
        </w:rPr>
        <w:t>e Formation Agricole. 46 pp.</w:t>
      </w:r>
    </w:p>
    <w:p w14:paraId="24586961"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185CAD">
        <w:rPr>
          <w:rFonts w:ascii="Times New Roman" w:hAnsi="Times New Roman"/>
          <w:sz w:val="24"/>
          <w:szCs w:val="24"/>
          <w:lang w:val="en-US"/>
        </w:rPr>
        <w:t xml:space="preserve">Atato A., Wala K., Batawila K., Woegan YA., Akpagana K., 2010. </w:t>
      </w:r>
      <w:r w:rsidRPr="00B346A4">
        <w:rPr>
          <w:rFonts w:ascii="Times New Roman" w:hAnsi="Times New Roman"/>
          <w:sz w:val="24"/>
          <w:szCs w:val="24"/>
        </w:rPr>
        <w:t>Diversité des fruits ligneux spontanés du Togo, Fruit, Vegetable and Cereal Science and Biotechnology, Global science book 4 (1) 1-9.</w:t>
      </w:r>
    </w:p>
    <w:p w14:paraId="6ECF6E4D"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Atsri K.H., 2009. Impact de la production du charbon de bois sur les formations végétales au Togo. Mémoire de DEA, Université de Lomé, 77 p + annexes.</w:t>
      </w:r>
    </w:p>
    <w:p w14:paraId="26C7656D" w14:textId="7335B3CF"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185CAD">
        <w:rPr>
          <w:rFonts w:ascii="Times New Roman" w:hAnsi="Times New Roman"/>
          <w:sz w:val="24"/>
          <w:szCs w:val="24"/>
          <w:lang w:val="en-US"/>
        </w:rPr>
        <w:t xml:space="preserve">Badanaro F., Amevoin K., Lamboni C., Amouzou K., 2014. </w:t>
      </w:r>
      <w:r w:rsidRPr="00B346A4">
        <w:rPr>
          <w:rFonts w:ascii="Times New Roman" w:hAnsi="Times New Roman"/>
          <w:sz w:val="24"/>
          <w:szCs w:val="24"/>
          <w:lang w:val="en-US"/>
        </w:rPr>
        <w:t>Edible Cirina forda (Westwood, 1849) (Lepidoptera: Saturniidae) caterpillar among Moba people of the Savannah Region in North Togo</w:t>
      </w:r>
      <w:r w:rsidR="00B346A4" w:rsidRPr="00B346A4">
        <w:rPr>
          <w:rFonts w:ascii="Times New Roman" w:hAnsi="Times New Roman"/>
          <w:sz w:val="24"/>
          <w:szCs w:val="24"/>
          <w:lang w:val="en-US"/>
        </w:rPr>
        <w:t xml:space="preserve"> </w:t>
      </w:r>
      <w:r w:rsidRPr="00B346A4">
        <w:rPr>
          <w:rFonts w:ascii="Times New Roman" w:hAnsi="Times New Roman"/>
          <w:sz w:val="24"/>
          <w:szCs w:val="24"/>
          <w:lang w:val="en-US"/>
        </w:rPr>
        <w:t>: from collector to consumer, Asian Journal of Applied Science and Engineering 3, 13-24.</w:t>
      </w:r>
    </w:p>
    <w:p w14:paraId="4A8ADE57"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Beentje H.J., Adams B., Davis S.D.,1994. Regional overview. In: Davis SD, Heywood, Hamilton AC (eds) Centres of Plant Diversity, vol 1. Cambridge: IUCN Publications Unit. 101-264.</w:t>
      </w:r>
    </w:p>
    <w:p w14:paraId="4C807DFB"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 xml:space="preserve">Beentje H.J., Adams B., Davis S.D., 1994. Regional overview. In: Davis SD, Heywood, Hamilton AC (eds) Centres Brisso N., 2003. </w:t>
      </w:r>
      <w:r w:rsidRPr="00B346A4">
        <w:rPr>
          <w:rFonts w:ascii="Times New Roman" w:hAnsi="Times New Roman"/>
          <w:sz w:val="24"/>
          <w:szCs w:val="24"/>
        </w:rPr>
        <w:t xml:space="preserve">Contribution à l’étude de l’exploitation des ligneux fourragers dans la région  de Wari-Maro. </w:t>
      </w:r>
      <w:r w:rsidRPr="00B346A4">
        <w:rPr>
          <w:rFonts w:ascii="Times New Roman" w:hAnsi="Times New Roman"/>
          <w:sz w:val="24"/>
          <w:szCs w:val="24"/>
          <w:lang w:val="en-US"/>
        </w:rPr>
        <w:t>Th .Ing. Tr CPU/UAC, 63 p.</w:t>
      </w:r>
    </w:p>
    <w:p w14:paraId="786DDFDF"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185CAD">
        <w:rPr>
          <w:rFonts w:ascii="Times New Roman" w:hAnsi="Times New Roman"/>
          <w:sz w:val="24"/>
          <w:szCs w:val="24"/>
        </w:rPr>
        <w:t xml:space="preserve">Brunel J.F., Scholz H., Hiepko P., 1984. </w:t>
      </w:r>
      <w:r w:rsidRPr="00B346A4">
        <w:rPr>
          <w:rFonts w:ascii="Times New Roman" w:hAnsi="Times New Roman"/>
          <w:sz w:val="24"/>
          <w:szCs w:val="24"/>
        </w:rPr>
        <w:t xml:space="preserve">Flore analytique du Togo. Phanérogames. </w:t>
      </w:r>
      <w:r w:rsidRPr="00B346A4">
        <w:rPr>
          <w:rFonts w:ascii="Times New Roman" w:hAnsi="Times New Roman"/>
          <w:sz w:val="24"/>
          <w:szCs w:val="24"/>
          <w:lang w:val="en-US"/>
        </w:rPr>
        <w:t>GTZ, Eschorn, 751 p.</w:t>
      </w:r>
    </w:p>
    <w:p w14:paraId="2A32581D"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Campbell G., Radley P., 2005. Primate and Bird Diversity in the Fazao-Malfakassa National Park, Togo. University Drive, Canada and Oshkosh, Wisconsin, USA, 52p.</w:t>
      </w:r>
    </w:p>
    <w:p w14:paraId="686B0BCD"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Cobbinah J.C., Vink A., Onwuka B., 2008. </w:t>
      </w:r>
      <w:r w:rsidRPr="00B346A4">
        <w:rPr>
          <w:rFonts w:ascii="Times New Roman" w:hAnsi="Times New Roman"/>
          <w:sz w:val="24"/>
          <w:szCs w:val="24"/>
        </w:rPr>
        <w:t>L'élevage d'escargots: Production, transformation et commercialisation. Agromisa Foundation, Série Agrodok No 47, Wageningen, Netherlands. 84 pp.</w:t>
      </w:r>
    </w:p>
    <w:p w14:paraId="6DB0AB4F"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Codjia J.T.C., Noumonvi R.C.G., 2002 : Guide technique d’elevage n°02 sur les escargots géants. J. Hardouin, B.E.D.I.M, FUSAGx, 5030 Gembloux 8 p.</w:t>
      </w:r>
    </w:p>
    <w:p w14:paraId="2DA8EEDC"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 xml:space="preserve">De Meyer G., Shapiro F., Vanderstichele H., Vanmechelen E., Engelborghs S., De Deyn P.P. et al., 2010. </w:t>
      </w:r>
      <w:r w:rsidRPr="00B346A4">
        <w:rPr>
          <w:rFonts w:ascii="Times New Roman" w:hAnsi="Times New Roman"/>
          <w:sz w:val="24"/>
          <w:szCs w:val="24"/>
          <w:lang w:val="en-US"/>
        </w:rPr>
        <w:t xml:space="preserve">Diagnosis-independent Alzheimer disease biomarker signature in cognitively normal elderly people. </w:t>
      </w:r>
      <w:r w:rsidRPr="00B346A4">
        <w:rPr>
          <w:rFonts w:ascii="Times New Roman" w:hAnsi="Times New Roman"/>
          <w:sz w:val="24"/>
          <w:szCs w:val="24"/>
        </w:rPr>
        <w:t>Arch Neurol. 67: 949–956</w:t>
      </w:r>
    </w:p>
    <w:p w14:paraId="44E03CD2"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Dimobé K., Wala K., Batawila K., Akpagana K., 2012. Analyse spatiale des différentes formes de pressions anthropiques dans la réserve de faune de l’Oti-Mandouri (Togo), VertigO-la revue électronique en sciences de l’environnement, Hors-serie 14.</w:t>
      </w:r>
    </w:p>
    <w:p w14:paraId="698A2864"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Diwediga B., Hounkpe K., Wala K., Batawila K., Tatoni T. et Akpagana K., 2012. Agriculture de contre saison sur les berges de l’Oti et ses affluents. African Crop Science Journal, Vol. 20, Issue Supplement s2, pp. 613-624.</w:t>
      </w:r>
    </w:p>
    <w:p w14:paraId="743C77F1"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 xml:space="preserve">Duvall CS., (2008) Pterocarpus erinaceus Poir. </w:t>
      </w:r>
      <w:r w:rsidRPr="00185CAD">
        <w:rPr>
          <w:rFonts w:ascii="Times New Roman" w:hAnsi="Times New Roman"/>
          <w:sz w:val="24"/>
          <w:szCs w:val="24"/>
          <w:lang w:val="en-US"/>
        </w:rPr>
        <w:t xml:space="preserve">In: Louppe, D., Oteng-Amoako, A.A. &amp;   Brink, M. (Editors). </w:t>
      </w:r>
      <w:r w:rsidRPr="00B346A4">
        <w:rPr>
          <w:rFonts w:ascii="Times New Roman" w:hAnsi="Times New Roman"/>
          <w:sz w:val="24"/>
          <w:szCs w:val="24"/>
        </w:rPr>
        <w:t>Prota 7(1): Timbers/Bois d’œuvre 1, PROTA, Wageningen, Netherlands.</w:t>
      </w:r>
    </w:p>
    <w:p w14:paraId="4ED23CCE"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Ekoué S., Kuevi-Akue K., 2002. Enquête sur la consommation, la répartition et l’élevage des escargots géants au Togo. </w:t>
      </w:r>
      <w:r w:rsidRPr="00B346A4">
        <w:rPr>
          <w:rFonts w:ascii="Times New Roman" w:hAnsi="Times New Roman"/>
          <w:sz w:val="24"/>
          <w:szCs w:val="24"/>
          <w:lang w:val="en-US"/>
        </w:rPr>
        <w:t>Tropicultura, 20 (1): 17-22.</w:t>
      </w:r>
    </w:p>
    <w:p w14:paraId="7273862C"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Ern H., 1979. Die Vegetation Togo. Gliederrung, Gefährdung, Erhatung. Willdenowia 9: 295-312.</w:t>
      </w:r>
    </w:p>
    <w:p w14:paraId="54EF2FEF"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ERN H., 1988. Flora and vegetation of the Dahomey-Gap - A contribution to the plant geography of West Africa. </w:t>
      </w:r>
      <w:r w:rsidRPr="00B346A4">
        <w:rPr>
          <w:rFonts w:ascii="Times New Roman" w:hAnsi="Times New Roman"/>
          <w:sz w:val="24"/>
          <w:szCs w:val="24"/>
        </w:rPr>
        <w:t>Monogr. Syst. Bot. Gard. 25 : 517 - 520.</w:t>
      </w:r>
    </w:p>
    <w:p w14:paraId="770EB7AA"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Etse K.E., 2012. Biodiversité et potentialités écotouristiques des mares de la plaine de l’oti. Mém. de DEA, Université de Lomé, Togo, 64 p.</w:t>
      </w:r>
    </w:p>
    <w:p w14:paraId="0AA8FEC8"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FAO, 2014.Situation des forêts du monde Mieux tirer parti des avantages socioéconomiques des forêts. FAO, Rome, 22 p.</w:t>
      </w:r>
    </w:p>
    <w:p w14:paraId="1042E240"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Fondation Franz Weber (FFW), 2013. Inventaire faunique et forestier, Etudes écologiques et cartographiques du Parc National de Fazao-Malfakassa. Rapport Provisoire. 68 p + Annexes.</w:t>
      </w:r>
    </w:p>
    <w:p w14:paraId="70EE6F70"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Fontodji K.J., Atsri H., Adjonou K., Radji A.R., Kokutse A.D., Nuto Y. and Kokou K., 2011. </w:t>
      </w:r>
      <w:r w:rsidRPr="00B346A4">
        <w:rPr>
          <w:rFonts w:ascii="Times New Roman" w:hAnsi="Times New Roman"/>
          <w:sz w:val="24"/>
          <w:szCs w:val="24"/>
          <w:lang w:val="en-US"/>
        </w:rPr>
        <w:t>Impact of Charcoal Production on Biodiversity in Togo (West Africa) in López-Pujol J., The Importance of Biological Interactions in the Study of Biodiversity, ISBN 978-953-307-751-2.</w:t>
      </w:r>
    </w:p>
    <w:p w14:paraId="063612C1"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Gedney N., Valdes P.J., 2000. The effect of Amazonian deforestation on the northern hemisphere circulation and climate. Geophysical Research Letters, Vol. 27, NO. 19, Pp 3053-3056.</w:t>
      </w:r>
    </w:p>
    <w:p w14:paraId="637A1B5A"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185CAD">
        <w:rPr>
          <w:rFonts w:ascii="Times New Roman" w:hAnsi="Times New Roman"/>
          <w:sz w:val="24"/>
          <w:szCs w:val="24"/>
        </w:rPr>
        <w:t xml:space="preserve">Gomina M., Amevoin K., Nuto Y., Sanbena B.B., Anani Kotoklo E., et Glitho I. A. 2012. </w:t>
      </w:r>
      <w:r w:rsidRPr="00B346A4">
        <w:rPr>
          <w:rFonts w:ascii="Times New Roman" w:hAnsi="Times New Roman"/>
          <w:sz w:val="24"/>
          <w:szCs w:val="24"/>
        </w:rPr>
        <w:t>Diversité Spécifique des Mouches des Fruits (Diptera: Tephritidae) Dans Deux Zones Ecologiques au Togo. European Journal of Scientific Research 72 (3): 423-439.</w:t>
      </w:r>
    </w:p>
    <w:p w14:paraId="5E783019"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Guelly K.A., 2006. Inventaire de quelques Champignons Comestibles du Plateau Akposso; rapport, 44 p. Laboratoire de Botanique et Écologie Végétale, Univ. Lomé-Togo.</w:t>
      </w:r>
    </w:p>
    <w:p w14:paraId="43DA183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Guelly K.A., Dourma M., Wala K., 2008. Diversité des Macromycètes inféodés aux substrats ligneux au Togo : cas du Campus Universitaire de Lomé. Cinquièmes Journées Scientifiques Internationales de l’Université de Lomé.</w:t>
      </w:r>
    </w:p>
    <w:p w14:paraId="20DF7D07"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Guelly K.A., 1994. Les savanes de la zone forestière subhumide du Togo. Thèse de doctorat, Université Pierre et Marie Curie – Paris VI, Paris, France.</w:t>
      </w:r>
    </w:p>
    <w:p w14:paraId="38CC2BDE"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Guelly K. A., Kokou K. et Afiademanyo K., 1997. Etude de quelques zones humides du Parc National de la Keran et du sud de la Réserve de Faune de Togodo. Rapport de fin de projet, Lomé, 81 p.</w:t>
      </w:r>
    </w:p>
    <w:p w14:paraId="0BBBB194"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Hounkpè K., 2013. impacts des fluctuations climatiques et des activités anthropiques sur les écosystèmes de la plaine de l’Oti, Th. Univ. Lomé, 142p.</w:t>
      </w:r>
    </w:p>
    <w:p w14:paraId="3A982AA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 xml:space="preserve">Issifou l., atanlé k., Radji r., Lawson h. L., Adjonou k., Edorh m. T., Kokutse a. D., Mensah a. A., Kokou k., 2014. </w:t>
      </w:r>
      <w:r w:rsidRPr="00B346A4">
        <w:rPr>
          <w:rFonts w:ascii="Times New Roman" w:hAnsi="Times New Roman"/>
          <w:sz w:val="24"/>
          <w:szCs w:val="24"/>
          <w:lang w:val="en-US"/>
        </w:rPr>
        <w:t xml:space="preserve">Checklist of tropical algae of Togo in the Guinean Gulf of West-Africa. </w:t>
      </w:r>
      <w:r w:rsidRPr="00B346A4">
        <w:rPr>
          <w:rFonts w:ascii="Times New Roman" w:hAnsi="Times New Roman"/>
          <w:sz w:val="24"/>
          <w:szCs w:val="24"/>
        </w:rPr>
        <w:t>Scientific Research and Essays. Vol. 9(22), pp. 932-958.</w:t>
      </w:r>
    </w:p>
    <w:p w14:paraId="7AA8D866"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Kamou H., 2012. Diversité des macromycètes comestibles de Fazao (préfecture de Sotouboua) Mém. de DEA. Option: Biologie de Développement. Univ de Lomé. 83 p.</w:t>
      </w:r>
    </w:p>
    <w:p w14:paraId="3A82C6CD" w14:textId="77777777" w:rsidR="007475D1" w:rsidRPr="00B346A4" w:rsidRDefault="007475D1" w:rsidP="00E50666">
      <w:pPr>
        <w:pStyle w:val="Paragraphedeliste"/>
        <w:numPr>
          <w:ilvl w:val="0"/>
          <w:numId w:val="45"/>
        </w:numPr>
        <w:autoSpaceDE w:val="0"/>
        <w:autoSpaceDN w:val="0"/>
        <w:adjustRightInd w:val="0"/>
        <w:spacing w:after="0" w:line="240" w:lineRule="auto"/>
        <w:jc w:val="both"/>
        <w:rPr>
          <w:rFonts w:ascii="Times New Roman" w:hAnsi="Times New Roman"/>
          <w:color w:val="002600"/>
          <w:sz w:val="24"/>
          <w:szCs w:val="24"/>
        </w:rPr>
      </w:pPr>
      <w:r w:rsidRPr="00B346A4">
        <w:rPr>
          <w:rFonts w:ascii="Times New Roman" w:hAnsi="Times New Roman"/>
          <w:color w:val="002600"/>
          <w:sz w:val="24"/>
          <w:szCs w:val="24"/>
        </w:rPr>
        <w:t>Kamou H., Gbogbo KA., Yorou SN., Nadjombe P., Abalo-Loko AG., Verbeken A., De Kesel A., Batawila K., Akpagana K., Guelly KA., 2017. Inventaire préliminaire des macromycètes du Parc National Malfakassa du Togo, Afrique de l’Ouest. Tropicultura.</w:t>
      </w:r>
    </w:p>
    <w:p w14:paraId="46118927" w14:textId="77777777" w:rsidR="007475D1" w:rsidRPr="00455DCF" w:rsidRDefault="007475D1" w:rsidP="007475D1">
      <w:pPr>
        <w:autoSpaceDE w:val="0"/>
        <w:autoSpaceDN w:val="0"/>
        <w:adjustRightInd w:val="0"/>
        <w:spacing w:after="0" w:line="240" w:lineRule="auto"/>
        <w:jc w:val="both"/>
        <w:rPr>
          <w:rFonts w:ascii="Times New Roman" w:hAnsi="Times New Roman"/>
          <w:color w:val="002600"/>
          <w:sz w:val="24"/>
          <w:szCs w:val="24"/>
        </w:rPr>
      </w:pPr>
    </w:p>
    <w:p w14:paraId="29C77F7A" w14:textId="77777777" w:rsidR="007475D1" w:rsidRPr="00B346A4" w:rsidRDefault="007475D1" w:rsidP="00E50666">
      <w:pPr>
        <w:pStyle w:val="Paragraphedeliste"/>
        <w:numPr>
          <w:ilvl w:val="0"/>
          <w:numId w:val="45"/>
        </w:numPr>
        <w:autoSpaceDE w:val="0"/>
        <w:autoSpaceDN w:val="0"/>
        <w:adjustRightInd w:val="0"/>
        <w:spacing w:after="0" w:line="240" w:lineRule="auto"/>
        <w:jc w:val="both"/>
        <w:rPr>
          <w:rFonts w:ascii="Times New Roman" w:hAnsi="Times New Roman"/>
          <w:sz w:val="24"/>
          <w:szCs w:val="24"/>
        </w:rPr>
      </w:pPr>
      <w:r w:rsidRPr="00B346A4">
        <w:rPr>
          <w:rFonts w:ascii="Times New Roman" w:hAnsi="Times New Roman"/>
          <w:color w:val="002600"/>
          <w:sz w:val="24"/>
          <w:szCs w:val="24"/>
        </w:rPr>
        <w:t xml:space="preserve">Kamou H., Gbogbo KA., Yorou SN., Nadjombe P., Abalo-Loko AG., Verbeken A., De Kesel A., Batawila K., Akpagana K., Guelly KA., 2016. </w:t>
      </w:r>
      <w:r w:rsidRPr="00B346A4">
        <w:rPr>
          <w:rFonts w:ascii="Times New Roman" w:hAnsi="Times New Roman"/>
          <w:sz w:val="24"/>
          <w:szCs w:val="24"/>
        </w:rPr>
        <w:t>Les champignons ecto-mycorrhiziens consommés par les peuples Bassar et Kabyè, peuples riverains du parc national Fazao-Malfakassa (PNFM) au Togo (Afrique de l’Ouest). Agronomie africaine.</w:t>
      </w:r>
    </w:p>
    <w:p w14:paraId="65722AC8" w14:textId="77777777" w:rsidR="007475D1" w:rsidRPr="00455DCF" w:rsidRDefault="007475D1" w:rsidP="007475D1">
      <w:pPr>
        <w:autoSpaceDE w:val="0"/>
        <w:autoSpaceDN w:val="0"/>
        <w:adjustRightInd w:val="0"/>
        <w:spacing w:after="0" w:line="240" w:lineRule="auto"/>
        <w:jc w:val="both"/>
        <w:rPr>
          <w:rFonts w:ascii="Times New Roman" w:hAnsi="Times New Roman"/>
          <w:sz w:val="24"/>
          <w:szCs w:val="24"/>
        </w:rPr>
      </w:pPr>
    </w:p>
    <w:p w14:paraId="67E03516"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Kokou K., 1998. Les mosaïques forestières au sud du Togo: biodiversité, dynamique et activités humaines. Th. Doct., Université de Montpellier II, France, 140 p.</w:t>
      </w:r>
    </w:p>
    <w:p w14:paraId="1F61858E"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185CAD">
        <w:rPr>
          <w:rFonts w:ascii="Times New Roman" w:hAnsi="Times New Roman"/>
          <w:sz w:val="24"/>
          <w:szCs w:val="24"/>
          <w:lang w:val="en-US"/>
        </w:rPr>
        <w:t xml:space="preserve">Kokou K., Adjossou K., Kokutse, A. D., 2008. </w:t>
      </w:r>
      <w:r w:rsidRPr="00B346A4">
        <w:rPr>
          <w:rFonts w:ascii="Times New Roman" w:hAnsi="Times New Roman"/>
          <w:sz w:val="24"/>
          <w:szCs w:val="24"/>
          <w:lang w:val="en-US"/>
        </w:rPr>
        <w:t xml:space="preserve">Considering sacred and riverside forests in criteria and indicators of forest management in low wood producing countries: The case of Togo. </w:t>
      </w:r>
      <w:r w:rsidRPr="00B346A4">
        <w:rPr>
          <w:rFonts w:ascii="Times New Roman" w:hAnsi="Times New Roman"/>
          <w:sz w:val="24"/>
          <w:szCs w:val="24"/>
        </w:rPr>
        <w:t>Ecological indicators 8, pp 158-169.</w:t>
      </w:r>
    </w:p>
    <w:p w14:paraId="7B4D5606"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Kokou K., Caballé G. et Akpagana K. 1999. Analyse floristique des îlots forestiers du sud du Togo: dynamique et relations avec les végétations périphériques. Revue d’écologie (Terre et vie), vol 54, pp: 301-313.</w:t>
      </w:r>
    </w:p>
    <w:p w14:paraId="60EA2248"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185CAD">
        <w:rPr>
          <w:rFonts w:ascii="Times New Roman" w:hAnsi="Times New Roman"/>
          <w:sz w:val="24"/>
          <w:szCs w:val="24"/>
          <w:lang w:val="en-US"/>
        </w:rPr>
        <w:t xml:space="preserve">Kokou K., Nuto Y., Atsri H., 2009. </w:t>
      </w:r>
      <w:r w:rsidRPr="00B346A4">
        <w:rPr>
          <w:rFonts w:ascii="Times New Roman" w:hAnsi="Times New Roman"/>
          <w:sz w:val="24"/>
          <w:szCs w:val="24"/>
          <w:lang w:val="en-US"/>
        </w:rPr>
        <w:t>Assessment of Charcoal Production and impact of Environmental Policies, in Limited Forest Resources Countries: The case of Togo, West Africa. Discovery and Innovation Vol. 21 n° ½.</w:t>
      </w:r>
    </w:p>
    <w:p w14:paraId="113218F9"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Kokutse AD., Baillères H., Stokes A., Kokou K., 2004. Proportion and quality of heartwood in Togolese teak (Tectona grandis L. f.). </w:t>
      </w:r>
      <w:r w:rsidRPr="00B346A4">
        <w:rPr>
          <w:rFonts w:ascii="Times New Roman" w:hAnsi="Times New Roman"/>
          <w:sz w:val="24"/>
          <w:szCs w:val="24"/>
        </w:rPr>
        <w:t>For. Ecol. Manag., 189: 37-48.</w:t>
      </w:r>
    </w:p>
    <w:p w14:paraId="49F4C2C0" w14:textId="3753959E"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Kpeli P.M., 2006. Impact des feux de brousse sur la biodiversité des bois sacrés en pays Kabi</w:t>
      </w:r>
      <w:r w:rsidR="00B346A4">
        <w:rPr>
          <w:rFonts w:ascii="Times New Roman" w:hAnsi="Times New Roman"/>
          <w:sz w:val="24"/>
          <w:szCs w:val="24"/>
        </w:rPr>
        <w:t>yè</w:t>
      </w:r>
      <w:r w:rsidRPr="00B346A4">
        <w:rPr>
          <w:rFonts w:ascii="Times New Roman" w:hAnsi="Times New Roman"/>
          <w:sz w:val="24"/>
          <w:szCs w:val="24"/>
        </w:rPr>
        <w:t xml:space="preserve"> (Nord-Togo). Mémoire de l’Institut National de Formation Agricole de Tové, 40 p.</w:t>
      </w:r>
    </w:p>
    <w:p w14:paraId="4DE025BA"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La Ferla B., Taplin J., Ockwell D., Lovetti J. 2001. Continental scale patterns of biodiversity: can higher taxa accurately predict African plant distributions? </w:t>
      </w:r>
      <w:r w:rsidRPr="00B346A4">
        <w:rPr>
          <w:rFonts w:ascii="Times New Roman" w:hAnsi="Times New Roman"/>
          <w:sz w:val="24"/>
          <w:szCs w:val="24"/>
        </w:rPr>
        <w:t>Botanical Journal of the Linnean Society 138: 225–235.</w:t>
      </w:r>
    </w:p>
    <w:p w14:paraId="2B143294"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Maba D., 2010. - Inventaire des Lactarus dans la réserve de la faune d’Aledjo. Mém. de DEA. Option: Biologie de Développement. Univ de Lomé. 56 p.</w:t>
      </w:r>
    </w:p>
    <w:p w14:paraId="40E521B8" w14:textId="77777777" w:rsidR="007475D1" w:rsidRPr="00B346A4" w:rsidRDefault="007475D1" w:rsidP="00E50666">
      <w:pPr>
        <w:pStyle w:val="Paragraphedeliste"/>
        <w:numPr>
          <w:ilvl w:val="0"/>
          <w:numId w:val="45"/>
        </w:numPr>
        <w:spacing w:after="0" w:line="240" w:lineRule="auto"/>
        <w:jc w:val="both"/>
        <w:rPr>
          <w:rFonts w:ascii="Times New Roman" w:hAnsi="Times New Roman"/>
          <w:sz w:val="24"/>
          <w:szCs w:val="24"/>
        </w:rPr>
      </w:pPr>
      <w:r w:rsidRPr="00B346A4">
        <w:rPr>
          <w:rFonts w:ascii="Times New Roman" w:hAnsi="Times New Roman"/>
          <w:sz w:val="24"/>
          <w:szCs w:val="24"/>
        </w:rPr>
        <w:t>MacNeely J., strahm W., 1997. L’U.I.C.N. et les espèces étrangères envahissantes : un cadre d’action. Conservation de la vitalité et de la diversité. U.I.C.N. (Editor), Congrès mondial sur la conservation, Ottawa, pp. 3-10.</w:t>
      </w:r>
    </w:p>
    <w:p w14:paraId="314B7466"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MERF, 2018a. Définition de la méthodologie et des outils pour l’évaluation de la biomasse végétale dans les différents compartiments au Togo. Rapport provisoire. Pp 25.</w:t>
      </w:r>
    </w:p>
    <w:p w14:paraId="36BD3DC1"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MERF/FAO, 2016. Evaluation de la Contribution du Secteur Forestier à l’Economie Nationale. Rapport thématique pour la formulation du PNR. FAO, 35 p.</w:t>
      </w:r>
    </w:p>
    <w:p w14:paraId="14F6E0A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MERF/GIZ, 2016. Evaluation du potentiel de restauration des paysages forestiers au Togo. Rapport final, GIZ, Lomé.</w:t>
      </w:r>
    </w:p>
    <w:p w14:paraId="5E14D10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MERF/OIBT, 2010. Deuxième rapport d’évaluation de la gestion durable des forêts (GDF) du Togo (2005-2009). Rapport provisoire, 56 pp.</w:t>
      </w:r>
    </w:p>
    <w:p w14:paraId="5FA34D5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2013. Définition des objectifs, des principes et des priorités pour la biodiversité au Togo.</w:t>
      </w:r>
    </w:p>
    <w:p w14:paraId="16DAAFA4"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(MERF)/FAO,  2011. Plan d’action forestier national du Togo - phase 1 (PAFN1-Togo 20011-20019), Projet TCP/TOG/3203(D), Lomé, Togo, Version complète, 110 p + Annexes.</w:t>
      </w:r>
    </w:p>
    <w:p w14:paraId="5E90E06C"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2010. Elaboration du plan d’aménagement participatif de la forêt classée de Missahoé (Sud-Togo), Lomé-Togo, 146 p + Annexes.</w:t>
      </w:r>
    </w:p>
    <w:p w14:paraId="76FE71C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2016a. Inventaire Forestier National du Togo. Rapport, 44 p.</w:t>
      </w:r>
    </w:p>
    <w:p w14:paraId="1A5F409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2016b. Etude prospective en vue de la création du marché physique national de bois d’œuvre destiné à l’exportation et à la réexportation. Rapport, 110 p.</w:t>
      </w:r>
    </w:p>
    <w:p w14:paraId="533D0F42"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(MERF)/FAO, 2018. Produits forestiers non ligneux du Togo : état des lieux du potentiel, de la gestion et de la valorisation. Rapport, 105 p.</w:t>
      </w:r>
    </w:p>
    <w:p w14:paraId="687F383B"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 xml:space="preserve">Ministère de l’Environnement et des Ressources Forestières (MERF), 2014a. Cinquième rapport national sur la diversité biologique 2009-2014 du Togo. </w:t>
      </w:r>
    </w:p>
    <w:p w14:paraId="739D26CB"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2014b. Stratégie et Plan d’Action National pour la Biodiversité du Togo. Rapport, 174 p.</w:t>
      </w:r>
    </w:p>
    <w:p w14:paraId="6EE6212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2015. Priorités nationales pour le FEM-6. Rapport, 56 p.</w:t>
      </w:r>
    </w:p>
    <w:p w14:paraId="0D927BC2"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2003. Stratégie de conservation et d'utilisation durable de la diversité biologique. MERF-Togo: 1-171.</w:t>
      </w:r>
    </w:p>
    <w:p w14:paraId="47A289EF"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2018b. Stratégie nationale de Réduction des Émissions dues à la Déforestation et à la Dégradation des forêts (REDD+). Rapport provisoire, 49 p.</w:t>
      </w:r>
    </w:p>
    <w:p w14:paraId="4192621A"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Ministère de l’Environnement et des Ressources Forestières (MERF), 2013. Définition des objectifs, des principes et des priorités pour la biodiversité au Togo.</w:t>
      </w:r>
    </w:p>
    <w:p w14:paraId="27CA55D7"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Ministère de l’Equipement, de Mines, de l’Energie et des Postes et Télécommunications (MEMEPT), 2002. Analyse, stratégie et programme d’action du sous-secteur des énergies traditionnelles. </w:t>
      </w:r>
      <w:r w:rsidRPr="00B346A4">
        <w:rPr>
          <w:rFonts w:ascii="Times New Roman" w:hAnsi="Times New Roman"/>
          <w:sz w:val="24"/>
          <w:szCs w:val="24"/>
          <w:lang w:val="en-US"/>
        </w:rPr>
        <w:t>Rapport national.</w:t>
      </w:r>
    </w:p>
    <w:p w14:paraId="184BDD25" w14:textId="733D621D"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Myers N., 1996, The world’s forests: Problems and potentials, Environmental Conservation 23, pp. 156-168.</w:t>
      </w:r>
    </w:p>
    <w:p w14:paraId="316F8539"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Nadjombe O., 1992. La Déforestation Par l’agriculture Itinérante et Les Feux de Brousse. In Conservation de La Forêt Dense En Afrique Centrale Et de L’Ouest, édité par Kevin M. Cleaver, World Bank Publications, 1:110–116.</w:t>
      </w:r>
    </w:p>
    <w:p w14:paraId="1E5698B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Nadjombe P., 2012. Diversité des macromycètes ectomycorhiziens de Kparatao (Préfecture de Bassar) Option: Biologie de Développement. </w:t>
      </w:r>
      <w:r w:rsidRPr="00B346A4">
        <w:rPr>
          <w:rFonts w:ascii="Times New Roman" w:hAnsi="Times New Roman"/>
          <w:sz w:val="24"/>
          <w:szCs w:val="24"/>
          <w:lang w:val="en-US"/>
        </w:rPr>
        <w:t>Univ de Lomé</w:t>
      </w:r>
    </w:p>
    <w:p w14:paraId="7B2CDF52"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Naughton-Treves L., Margaret Buck H., Katrina B., 2005. The role of protected areas in conserving biodiversity and sustaining local livelihoods. Annu. Rev. Environ. Resour, 30:219–52.s</w:t>
      </w:r>
    </w:p>
    <w:p w14:paraId="038033E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Naughton-Treves L., Kammen D.M., Chapman C. 2007. Burning biodiversity: Woody biomass use by commercial and subsistence groups in western Uganda’s forests. </w:t>
      </w:r>
      <w:r w:rsidRPr="00B346A4">
        <w:rPr>
          <w:rFonts w:ascii="Times New Roman" w:hAnsi="Times New Roman"/>
          <w:sz w:val="24"/>
          <w:szCs w:val="24"/>
        </w:rPr>
        <w:t>Biological conservation, 134: 232-241.</w:t>
      </w:r>
    </w:p>
    <w:p w14:paraId="68538944"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Paugy D., Lévêque, C., Teugels G.G., 2003. Poissons d’eaux saumâtres de l’Afrique de l’Ouest. </w:t>
      </w:r>
      <w:r w:rsidRPr="00B346A4">
        <w:rPr>
          <w:rFonts w:ascii="Times New Roman" w:hAnsi="Times New Roman"/>
          <w:sz w:val="24"/>
          <w:szCs w:val="24"/>
          <w:lang w:val="en-US"/>
        </w:rPr>
        <w:t>Tome 1. 457 p. Edit.IRD.</w:t>
      </w:r>
    </w:p>
    <w:p w14:paraId="67C5F4EE"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185CAD">
        <w:rPr>
          <w:rFonts w:ascii="Times New Roman" w:hAnsi="Times New Roman"/>
          <w:sz w:val="24"/>
          <w:szCs w:val="24"/>
        </w:rPr>
        <w:t xml:space="preserve">Paugy D., Lévêque C., Teugels G.G., 2003. </w:t>
      </w:r>
      <w:r w:rsidRPr="00B346A4">
        <w:rPr>
          <w:rFonts w:ascii="Times New Roman" w:hAnsi="Times New Roman"/>
          <w:sz w:val="24"/>
          <w:szCs w:val="24"/>
        </w:rPr>
        <w:t>Faune des poissons d’eaux douces et saumâtres de l’Afrique de l’Ouest. Collection Faune et Flore tropicales 40, Tome II. 815 p.</w:t>
      </w:r>
    </w:p>
    <w:p w14:paraId="305238A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Pérézi T.M., 2002. Les pratiques locales de conservation de la biodiversité: cas des bois sacrés de la préfecture de la Kozah (Nord-Togo). Mém. DEA biologie de développement, option biologie végétale appliquée, Univ. Lomé, 64 p.</w:t>
      </w:r>
    </w:p>
    <w:p w14:paraId="5D53877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PNUD/GEF, 2017. Etude sur la mise en place d’un système de mesure, notification et vérification des actions sur les changements climatiques. Rapport final, 68 p.</w:t>
      </w:r>
    </w:p>
    <w:p w14:paraId="1154C86B" w14:textId="37D34724" w:rsidR="002E523A" w:rsidRPr="002E523A" w:rsidRDefault="007475D1" w:rsidP="00E50666">
      <w:pPr>
        <w:pStyle w:val="Paragraphedeliste"/>
        <w:numPr>
          <w:ilvl w:val="0"/>
          <w:numId w:val="45"/>
        </w:numPr>
        <w:autoSpaceDE w:val="0"/>
        <w:autoSpaceDN w:val="0"/>
        <w:adjustRightInd w:val="0"/>
        <w:spacing w:after="0" w:line="240" w:lineRule="auto"/>
        <w:jc w:val="both"/>
        <w:rPr>
          <w:rFonts w:ascii="Times New Roman" w:hAnsi="Times New Roman"/>
          <w:color w:val="002600"/>
          <w:sz w:val="24"/>
          <w:szCs w:val="24"/>
        </w:rPr>
      </w:pPr>
      <w:r w:rsidRPr="00B346A4">
        <w:rPr>
          <w:rFonts w:ascii="Times New Roman" w:hAnsi="Times New Roman"/>
          <w:color w:val="002600"/>
          <w:sz w:val="24"/>
          <w:szCs w:val="24"/>
        </w:rPr>
        <w:t>PNUE, 2016. Impacts du changement climatique sur la biodiversité et les aires protégées en Afrique de l’Ouest. Résumé des résultats du projet PARCC, Aires protégées résilientes au changement climatique en Afrique de l’Ouest. Pp 64.</w:t>
      </w:r>
    </w:p>
    <w:p w14:paraId="2EB59701" w14:textId="77777777" w:rsidR="007475D1" w:rsidRPr="00B346A4" w:rsidRDefault="007475D1" w:rsidP="00E50666">
      <w:pPr>
        <w:pStyle w:val="Paragraphedeliste"/>
        <w:numPr>
          <w:ilvl w:val="0"/>
          <w:numId w:val="45"/>
        </w:numPr>
        <w:spacing w:after="0" w:line="240" w:lineRule="auto"/>
        <w:jc w:val="both"/>
        <w:rPr>
          <w:rFonts w:ascii="Times New Roman" w:hAnsi="Times New Roman"/>
          <w:sz w:val="24"/>
          <w:szCs w:val="24"/>
          <w:lang w:val="en-US"/>
        </w:rPr>
      </w:pPr>
      <w:r w:rsidRPr="00B346A4">
        <w:rPr>
          <w:rFonts w:ascii="Times New Roman" w:hAnsi="Times New Roman"/>
          <w:sz w:val="24"/>
          <w:szCs w:val="24"/>
        </w:rPr>
        <w:t xml:space="preserve">Programme mondial pour l’alimentation (PAM), 2018. Revue stratégique faim zéro au Togo. </w:t>
      </w:r>
      <w:r w:rsidRPr="00B346A4">
        <w:rPr>
          <w:rFonts w:ascii="Times New Roman" w:hAnsi="Times New Roman"/>
          <w:sz w:val="24"/>
          <w:szCs w:val="24"/>
          <w:lang w:val="en-US"/>
        </w:rPr>
        <w:t>Rapport provisoire, 201 p.</w:t>
      </w:r>
    </w:p>
    <w:p w14:paraId="076EC9E6"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Rossi G., 1984. Present bioclimatic evolution of the plateau region, southwestern Togo. Rev.Geomorphol.Dyn. 33: 57.</w:t>
      </w:r>
    </w:p>
    <w:p w14:paraId="40442970"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Segla KN., Adjonou K., Rabiou H., Kamana P., Radji A.R., Kokutse A.D., Bationo B.A., Mahamane A., Kokou K., 2015a. </w:t>
      </w:r>
      <w:r w:rsidRPr="00B346A4">
        <w:rPr>
          <w:rFonts w:ascii="Times New Roman" w:hAnsi="Times New Roman"/>
          <w:sz w:val="24"/>
          <w:szCs w:val="24"/>
        </w:rPr>
        <w:t>Importance socio-économique de Pterocarpus erinaceus Poir. au Togo. ESJ, 11 (23) : 1857–7881.</w:t>
      </w:r>
    </w:p>
    <w:p w14:paraId="11F67FF6"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Sodinou K.E., 2016. Potentialités horticoles des Orchidacées du Togo : diversité, écologie et menaces. Mémoire de DEA, Université de Lomé, p 69.</w:t>
      </w:r>
    </w:p>
    <w:p w14:paraId="3897C4C7"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Tagba Y., 2013. Comparaison des rendements des meules de carbonisation utilisées au Togo et amélioration de la performance de la meule Casamançaise. </w:t>
      </w:r>
      <w:r w:rsidRPr="00B346A4">
        <w:rPr>
          <w:rFonts w:ascii="Times New Roman" w:hAnsi="Times New Roman"/>
          <w:sz w:val="24"/>
          <w:szCs w:val="24"/>
          <w:lang w:val="en-US"/>
        </w:rPr>
        <w:t>Mém. DEA, Université de Lomé Togo, 50 p + Annexes.</w:t>
      </w:r>
    </w:p>
    <w:p w14:paraId="3164D9EA"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lang w:val="en-US"/>
        </w:rPr>
        <w:t xml:space="preserve">UICN, 2013. Red list 2013: threatened species across the regions of the world. </w:t>
      </w:r>
      <w:hyperlink r:id="rId63" w:history="1">
        <w:r w:rsidRPr="00B346A4">
          <w:rPr>
            <w:rStyle w:val="Lienhypertexte"/>
            <w:rFonts w:ascii="Times New Roman" w:hAnsi="Times New Roman"/>
            <w:sz w:val="24"/>
            <w:szCs w:val="24"/>
          </w:rPr>
          <w:t>http://www.theguardian.com/news/datablog/2013/nov/26/iucn-red-list-threatened-species-by-country-statistics</w:t>
        </w:r>
      </w:hyperlink>
      <w:r w:rsidRPr="00B346A4">
        <w:rPr>
          <w:rFonts w:ascii="Times New Roman" w:hAnsi="Times New Roman"/>
          <w:sz w:val="24"/>
          <w:szCs w:val="24"/>
        </w:rPr>
        <w:t>.</w:t>
      </w:r>
    </w:p>
    <w:p w14:paraId="0508B4C3"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B346A4">
        <w:rPr>
          <w:rFonts w:ascii="Times New Roman" w:hAnsi="Times New Roman"/>
          <w:sz w:val="24"/>
          <w:szCs w:val="24"/>
        </w:rPr>
        <w:t>UICN/PAPACO, 2008. Parcs et Réserves du Togo, Evaluation de l’efficacité de la gestion des aires protégées: aires protégées du Togo, 44 p. ISBN : 978-2-8317-1130-0.</w:t>
      </w:r>
    </w:p>
    <w:p w14:paraId="3A0B4CA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rPr>
        <w:t xml:space="preserve">Vayssières J-F., Korie A., Ayegnon D., 2009. </w:t>
      </w:r>
      <w:r w:rsidRPr="00B346A4">
        <w:rPr>
          <w:rFonts w:ascii="Times New Roman" w:hAnsi="Times New Roman"/>
          <w:sz w:val="24"/>
          <w:szCs w:val="24"/>
          <w:lang w:val="en-US"/>
        </w:rPr>
        <w:t>Correlation of fruit fly (Diptera: Tephritidae) infestation of major mango cultivars in Borgou (Benin) with abiotic and biotic factors and assessment of damage. Crop Prot., 28: 477-488.</w:t>
      </w:r>
    </w:p>
    <w:p w14:paraId="5E882B6F"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185CAD">
        <w:rPr>
          <w:rFonts w:ascii="Times New Roman" w:hAnsi="Times New Roman"/>
          <w:sz w:val="24"/>
          <w:szCs w:val="24"/>
        </w:rPr>
        <w:t xml:space="preserve">Vayssières J-F., Sanogo F., Noussourou M., 2007. </w:t>
      </w:r>
      <w:r w:rsidRPr="00B346A4">
        <w:rPr>
          <w:rFonts w:ascii="Times New Roman" w:hAnsi="Times New Roman"/>
          <w:sz w:val="24"/>
          <w:szCs w:val="24"/>
          <w:lang w:val="en-US"/>
        </w:rPr>
        <w:t>Inventory of the fruit fly species (Diptera: Tephritidae) linked to the mango tree in Mali, and tests of integrated control. Fruits, 62: 329-341.</w:t>
      </w:r>
    </w:p>
    <w:p w14:paraId="28F724D5"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Wieringa J.J., Poorter L., 2004. Biodiversity hotspots in West Afraca; patterns and causes. In: Poorter L., Bongers F., N’.Kouamé F., Wawthorne W.D(eds) Biodiversity of West African Forests. An Ecological Atlas of Woody plant species. CABI Publishing, pp 61-72.</w:t>
      </w:r>
    </w:p>
    <w:p w14:paraId="2C4CBB40"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lang w:val="en-US"/>
        </w:rPr>
      </w:pPr>
      <w:r w:rsidRPr="00B346A4">
        <w:rPr>
          <w:rFonts w:ascii="Times New Roman" w:hAnsi="Times New Roman"/>
          <w:sz w:val="24"/>
          <w:szCs w:val="24"/>
          <w:lang w:val="en-US"/>
        </w:rPr>
        <w:t>World Bank, 2002. World development report 2003: Sustainable development in a dynamic world: transforming institutions, growth, and quality of life. New York; Washington (DC): Oxford University Press; 272 p.</w:t>
      </w:r>
    </w:p>
    <w:p w14:paraId="16B83EC0" w14:textId="77777777" w:rsidR="007475D1" w:rsidRPr="00B346A4" w:rsidRDefault="007475D1" w:rsidP="00E50666">
      <w:pPr>
        <w:pStyle w:val="Paragraphedeliste"/>
        <w:numPr>
          <w:ilvl w:val="0"/>
          <w:numId w:val="45"/>
        </w:numPr>
        <w:spacing w:line="240" w:lineRule="auto"/>
        <w:jc w:val="both"/>
        <w:rPr>
          <w:rFonts w:ascii="Times New Roman" w:hAnsi="Times New Roman"/>
          <w:sz w:val="24"/>
          <w:szCs w:val="24"/>
        </w:rPr>
      </w:pPr>
      <w:r w:rsidRPr="00185CAD">
        <w:rPr>
          <w:rFonts w:ascii="Times New Roman" w:hAnsi="Times New Roman"/>
          <w:sz w:val="24"/>
          <w:szCs w:val="24"/>
        </w:rPr>
        <w:t xml:space="preserve">Yapi A., Sessi K., 1999. </w:t>
      </w:r>
      <w:r w:rsidRPr="00B346A4">
        <w:rPr>
          <w:rFonts w:ascii="Times New Roman" w:hAnsi="Times New Roman"/>
          <w:sz w:val="24"/>
          <w:szCs w:val="24"/>
        </w:rPr>
        <w:t>Etude Economique du Secteur Forestier et de Faisabilité pour la Création d’un Fonds National Forestier au Togo, FAO.</w:t>
      </w:r>
    </w:p>
    <w:p w14:paraId="354BFD94" w14:textId="77777777" w:rsidR="007475D1" w:rsidRDefault="007475D1" w:rsidP="00254C9C">
      <w:pPr>
        <w:spacing w:after="0" w:line="240" w:lineRule="auto"/>
        <w:jc w:val="both"/>
        <w:rPr>
          <w:rFonts w:ascii="Times New Roman" w:hAnsi="Times New Roman" w:cs="Times New Roman"/>
          <w:sz w:val="24"/>
          <w:szCs w:val="24"/>
        </w:rPr>
      </w:pPr>
    </w:p>
    <w:p w14:paraId="3F4BE896" w14:textId="77777777" w:rsidR="007475D1" w:rsidRPr="008063D4" w:rsidRDefault="007475D1" w:rsidP="00254C9C">
      <w:pPr>
        <w:spacing w:after="0" w:line="240" w:lineRule="auto"/>
        <w:jc w:val="both"/>
        <w:rPr>
          <w:rFonts w:ascii="Times New Roman" w:hAnsi="Times New Roman" w:cs="Times New Roman"/>
          <w:sz w:val="24"/>
          <w:szCs w:val="24"/>
        </w:rPr>
      </w:pPr>
    </w:p>
    <w:p w14:paraId="5E26A9D1" w14:textId="77777777" w:rsidR="007475D1" w:rsidRDefault="007475D1">
      <w:r>
        <w:br w:type="page"/>
      </w:r>
    </w:p>
    <w:p w14:paraId="0C4DA347" w14:textId="77777777" w:rsidR="005D7E7E" w:rsidRPr="00555B83" w:rsidRDefault="007475D1" w:rsidP="00C627EF">
      <w:pPr>
        <w:spacing w:after="0" w:line="240" w:lineRule="auto"/>
        <w:jc w:val="center"/>
        <w:outlineLvl w:val="0"/>
        <w:rPr>
          <w:rFonts w:ascii="Times New Roman Gras" w:hAnsi="Times New Roman Gras" w:cs="Times New Roman"/>
          <w:b/>
          <w:caps/>
          <w:sz w:val="28"/>
          <w:szCs w:val="28"/>
        </w:rPr>
      </w:pPr>
      <w:bookmarkStart w:id="127" w:name="_Toc533413790"/>
      <w:r w:rsidRPr="00555B83">
        <w:rPr>
          <w:rFonts w:ascii="Times New Roman Gras" w:hAnsi="Times New Roman Gras" w:cs="Times New Roman"/>
          <w:b/>
          <w:caps/>
          <w:sz w:val="28"/>
          <w:szCs w:val="28"/>
        </w:rPr>
        <w:t>Annexes</w:t>
      </w:r>
      <w:bookmarkEnd w:id="127"/>
    </w:p>
    <w:p w14:paraId="197D80EF" w14:textId="77777777" w:rsidR="00C13127" w:rsidRDefault="00C13127" w:rsidP="00254C9C">
      <w:pPr>
        <w:spacing w:after="0" w:line="240" w:lineRule="auto"/>
      </w:pPr>
    </w:p>
    <w:p w14:paraId="7EC815C1" w14:textId="77777777" w:rsidR="00C13127" w:rsidRDefault="00C13127" w:rsidP="00254C9C">
      <w:pPr>
        <w:spacing w:after="0" w:line="240" w:lineRule="auto"/>
      </w:pPr>
    </w:p>
    <w:p w14:paraId="5CF79183" w14:textId="77777777" w:rsidR="00C13127" w:rsidRDefault="00C13127" w:rsidP="00254C9C">
      <w:pPr>
        <w:spacing w:after="0" w:line="240" w:lineRule="auto"/>
        <w:sectPr w:rsidR="00C13127" w:rsidSect="00497C9F">
          <w:pgSz w:w="11906" w:h="16838"/>
          <w:pgMar w:top="1418" w:right="1418" w:bottom="1418" w:left="1418" w:header="709" w:footer="709" w:gutter="0"/>
          <w:cols w:space="708"/>
          <w:docGrid w:linePitch="360"/>
        </w:sectPr>
      </w:pPr>
    </w:p>
    <w:p w14:paraId="209626EF" w14:textId="77777777" w:rsidR="007475D1" w:rsidRPr="00322B73" w:rsidRDefault="00C13127" w:rsidP="00C13127">
      <w:pPr>
        <w:pStyle w:val="DFSStandard"/>
        <w:spacing w:line="240" w:lineRule="auto"/>
        <w:jc w:val="center"/>
        <w:rPr>
          <w:rFonts w:ascii="Times New Roman" w:hAnsi="Times New Roman"/>
          <w:b/>
          <w:sz w:val="24"/>
          <w:szCs w:val="24"/>
        </w:rPr>
      </w:pPr>
      <w:r>
        <w:rPr>
          <w:rFonts w:ascii="Times New Roman" w:hAnsi="Times New Roman"/>
          <w:b/>
          <w:sz w:val="24"/>
          <w:szCs w:val="24"/>
        </w:rPr>
        <w:t>Annexe 1 :</w:t>
      </w:r>
      <w:r w:rsidR="007475D1" w:rsidRPr="00322B73">
        <w:rPr>
          <w:rFonts w:ascii="Times New Roman" w:hAnsi="Times New Roman"/>
          <w:b/>
          <w:sz w:val="24"/>
          <w:szCs w:val="24"/>
        </w:rPr>
        <w:t xml:space="preserve"> Modèles de restauration testés au Togo</w:t>
      </w:r>
    </w:p>
    <w:p w14:paraId="3B605838" w14:textId="77777777" w:rsidR="007475D1" w:rsidRPr="001557BB" w:rsidRDefault="007475D1" w:rsidP="007475D1">
      <w:pPr>
        <w:pStyle w:val="DFSStandard"/>
        <w:spacing w:line="240" w:lineRule="auto"/>
        <w:rPr>
          <w:rFonts w:ascii="Times New Roman" w:hAnsi="Times New Roman"/>
        </w:rPr>
      </w:pPr>
    </w:p>
    <w:tbl>
      <w:tblPr>
        <w:tblW w:w="150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417"/>
        <w:gridCol w:w="2429"/>
        <w:gridCol w:w="2287"/>
        <w:gridCol w:w="7333"/>
      </w:tblGrid>
      <w:tr w:rsidR="007475D1" w:rsidRPr="001557BB" w14:paraId="66DD6366" w14:textId="77777777" w:rsidTr="00C13127">
        <w:trPr>
          <w:tblHeader/>
          <w:jc w:val="center"/>
        </w:trPr>
        <w:tc>
          <w:tcPr>
            <w:tcW w:w="1555" w:type="dxa"/>
            <w:shd w:val="clear" w:color="auto" w:fill="33CC33"/>
            <w:vAlign w:val="center"/>
          </w:tcPr>
          <w:p w14:paraId="7A253B6D" w14:textId="77777777" w:rsidR="007475D1" w:rsidRPr="00210FB4" w:rsidRDefault="007475D1" w:rsidP="00752D3B">
            <w:pPr>
              <w:pStyle w:val="DFSTablecontent"/>
              <w:spacing w:before="0" w:after="0"/>
              <w:jc w:val="left"/>
              <w:rPr>
                <w:rFonts w:ascii="Times New Roman" w:hAnsi="Times New Roman" w:cs="Times New Roman"/>
                <w:b/>
              </w:rPr>
            </w:pPr>
            <w:r w:rsidRPr="00210FB4">
              <w:rPr>
                <w:rFonts w:ascii="Times New Roman" w:hAnsi="Times New Roman" w:cs="Times New Roman"/>
                <w:b/>
              </w:rPr>
              <w:t>Utilisation des terres</w:t>
            </w:r>
          </w:p>
        </w:tc>
        <w:tc>
          <w:tcPr>
            <w:tcW w:w="1417" w:type="dxa"/>
            <w:shd w:val="clear" w:color="auto" w:fill="33CC33"/>
            <w:vAlign w:val="center"/>
          </w:tcPr>
          <w:p w14:paraId="0165B1B3" w14:textId="77777777" w:rsidR="007475D1" w:rsidRPr="00210FB4" w:rsidRDefault="007475D1" w:rsidP="00752D3B">
            <w:pPr>
              <w:pStyle w:val="DFSTablecontent"/>
              <w:spacing w:before="0" w:after="0"/>
              <w:jc w:val="left"/>
              <w:rPr>
                <w:rFonts w:ascii="Times New Roman" w:hAnsi="Times New Roman" w:cs="Times New Roman"/>
                <w:b/>
              </w:rPr>
            </w:pPr>
            <w:r w:rsidRPr="00210FB4">
              <w:rPr>
                <w:rFonts w:ascii="Times New Roman" w:hAnsi="Times New Roman" w:cs="Times New Roman"/>
                <w:b/>
              </w:rPr>
              <w:t>Catégorie générale</w:t>
            </w:r>
          </w:p>
        </w:tc>
        <w:tc>
          <w:tcPr>
            <w:tcW w:w="2429" w:type="dxa"/>
            <w:shd w:val="clear" w:color="auto" w:fill="33CC33"/>
            <w:vAlign w:val="center"/>
          </w:tcPr>
          <w:p w14:paraId="355EBF20" w14:textId="77777777" w:rsidR="007475D1" w:rsidRPr="00210FB4" w:rsidRDefault="007475D1" w:rsidP="00752D3B">
            <w:pPr>
              <w:pStyle w:val="DFSTablecontent"/>
              <w:spacing w:before="0" w:after="0"/>
              <w:jc w:val="left"/>
              <w:rPr>
                <w:rFonts w:ascii="Times New Roman" w:hAnsi="Times New Roman" w:cs="Times New Roman"/>
                <w:b/>
              </w:rPr>
            </w:pPr>
            <w:r w:rsidRPr="00210FB4">
              <w:rPr>
                <w:rFonts w:ascii="Times New Roman" w:hAnsi="Times New Roman" w:cs="Times New Roman"/>
                <w:b/>
              </w:rPr>
              <w:t>Interventions de restauration spécifiques</w:t>
            </w:r>
          </w:p>
        </w:tc>
        <w:tc>
          <w:tcPr>
            <w:tcW w:w="9620" w:type="dxa"/>
            <w:gridSpan w:val="2"/>
            <w:shd w:val="clear" w:color="auto" w:fill="33CC33"/>
            <w:vAlign w:val="center"/>
          </w:tcPr>
          <w:p w14:paraId="0ED6F0B7" w14:textId="77777777" w:rsidR="007475D1" w:rsidRPr="00210FB4" w:rsidRDefault="007475D1" w:rsidP="00752D3B">
            <w:pPr>
              <w:pStyle w:val="DFSTablecontent"/>
              <w:spacing w:before="0" w:after="0"/>
              <w:jc w:val="left"/>
              <w:rPr>
                <w:rFonts w:ascii="Times New Roman" w:hAnsi="Times New Roman" w:cs="Times New Roman"/>
                <w:b/>
                <w:lang w:val="en-US"/>
              </w:rPr>
            </w:pPr>
            <w:r w:rsidRPr="00210FB4">
              <w:rPr>
                <w:rFonts w:ascii="Times New Roman" w:hAnsi="Times New Roman" w:cs="Times New Roman"/>
                <w:b/>
                <w:lang w:val="en-US"/>
              </w:rPr>
              <w:t>Description</w:t>
            </w:r>
          </w:p>
        </w:tc>
      </w:tr>
      <w:tr w:rsidR="007475D1" w:rsidRPr="001557BB" w14:paraId="0EE84392" w14:textId="77777777" w:rsidTr="00C13127">
        <w:trPr>
          <w:jc w:val="center"/>
        </w:trPr>
        <w:tc>
          <w:tcPr>
            <w:tcW w:w="1555" w:type="dxa"/>
            <w:vMerge w:val="restart"/>
            <w:shd w:val="clear" w:color="auto" w:fill="E36C0A"/>
            <w:vAlign w:val="center"/>
          </w:tcPr>
          <w:p w14:paraId="563B2A1D" w14:textId="77777777" w:rsidR="007475D1" w:rsidRPr="00210FB4" w:rsidRDefault="007475D1" w:rsidP="00752D3B">
            <w:pPr>
              <w:spacing w:after="0" w:line="240" w:lineRule="auto"/>
              <w:rPr>
                <w:rFonts w:ascii="Times New Roman" w:hAnsi="Times New Roman" w:cs="Times New Roman"/>
                <w:b/>
                <w:bCs/>
                <w:sz w:val="20"/>
                <w:szCs w:val="20"/>
              </w:rPr>
            </w:pPr>
            <w:r w:rsidRPr="00210FB4">
              <w:rPr>
                <w:rFonts w:ascii="Times New Roman" w:hAnsi="Times New Roman" w:cs="Times New Roman"/>
                <w:b/>
                <w:bCs/>
                <w:sz w:val="20"/>
                <w:szCs w:val="20"/>
              </w:rPr>
              <w:t>Terres forestières</w:t>
            </w:r>
          </w:p>
        </w:tc>
        <w:tc>
          <w:tcPr>
            <w:tcW w:w="1417" w:type="dxa"/>
            <w:vMerge w:val="restart"/>
            <w:shd w:val="clear" w:color="auto" w:fill="FABF8F"/>
            <w:vAlign w:val="center"/>
          </w:tcPr>
          <w:p w14:paraId="36CB8BD4"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Sylviculture</w:t>
            </w:r>
          </w:p>
        </w:tc>
        <w:tc>
          <w:tcPr>
            <w:tcW w:w="2429" w:type="dxa"/>
            <w:vMerge w:val="restart"/>
            <w:shd w:val="clear" w:color="auto" w:fill="FBD4B4"/>
            <w:vAlign w:val="center"/>
          </w:tcPr>
          <w:p w14:paraId="39C0101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de restauration et de réhabilitation des reliques forestières et savanes incultes d’Alaousso et Bato</w:t>
            </w:r>
          </w:p>
        </w:tc>
        <w:tc>
          <w:tcPr>
            <w:tcW w:w="2287" w:type="dxa"/>
            <w:shd w:val="clear" w:color="auto" w:fill="FBD4B4"/>
            <w:vAlign w:val="center"/>
          </w:tcPr>
          <w:p w14:paraId="1835440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BD4B4"/>
            <w:vAlign w:val="center"/>
          </w:tcPr>
          <w:p w14:paraId="4E7F90F1"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Khayaspp, Terminaliasuperba, Cedrelaodorata, Tectona grandis, Gmelina arborea</w:t>
            </w:r>
          </w:p>
        </w:tc>
      </w:tr>
      <w:tr w:rsidR="007475D1" w:rsidRPr="001557BB" w14:paraId="38D75653" w14:textId="77777777" w:rsidTr="00C13127">
        <w:trPr>
          <w:jc w:val="center"/>
        </w:trPr>
        <w:tc>
          <w:tcPr>
            <w:tcW w:w="1555" w:type="dxa"/>
            <w:vMerge/>
            <w:shd w:val="clear" w:color="auto" w:fill="E36C0A"/>
            <w:vAlign w:val="center"/>
          </w:tcPr>
          <w:p w14:paraId="7F74FF98"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467E55F7"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77B4C65C"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6D2AAB4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BD4B4"/>
            <w:vAlign w:val="center"/>
          </w:tcPr>
          <w:p w14:paraId="18F8FC4A" w14:textId="77777777" w:rsidR="007475D1" w:rsidRPr="00210FB4" w:rsidRDefault="007475D1" w:rsidP="00752D3B">
            <w:pPr>
              <w:pStyle w:val="Paragraphedeliste"/>
              <w:spacing w:after="0" w:line="240" w:lineRule="auto"/>
              <w:ind w:left="360"/>
              <w:jc w:val="both"/>
              <w:rPr>
                <w:rFonts w:ascii="Times New Roman" w:hAnsi="Times New Roman" w:cs="Times New Roman"/>
                <w:sz w:val="20"/>
                <w:szCs w:val="20"/>
              </w:rPr>
            </w:pPr>
            <w:r w:rsidRPr="00210FB4">
              <w:rPr>
                <w:rFonts w:ascii="Times New Roman" w:hAnsi="Times New Roman" w:cs="Times New Roman"/>
                <w:sz w:val="20"/>
                <w:szCs w:val="20"/>
              </w:rPr>
              <w:t>Reboisement :</w:t>
            </w:r>
          </w:p>
          <w:p w14:paraId="22F3595C" w14:textId="77777777" w:rsidR="007475D1" w:rsidRPr="00210FB4" w:rsidRDefault="007475D1" w:rsidP="00752D3B">
            <w:pPr>
              <w:spacing w:after="0" w:line="240" w:lineRule="auto"/>
              <w:ind w:left="360"/>
              <w:rPr>
                <w:rFonts w:ascii="Times New Roman" w:hAnsi="Times New Roman" w:cs="Times New Roman"/>
                <w:i/>
                <w:sz w:val="20"/>
                <w:szCs w:val="20"/>
                <w:lang w:val="es-ES_tradnl"/>
              </w:rPr>
            </w:pPr>
            <w:r w:rsidRPr="00210FB4">
              <w:rPr>
                <w:rFonts w:ascii="Times New Roman" w:hAnsi="Times New Roman" w:cs="Times New Roman"/>
                <w:sz w:val="20"/>
                <w:szCs w:val="20"/>
                <w:lang w:val="es-ES_tradnl"/>
              </w:rPr>
              <w:t xml:space="preserve">200 ha de forêts en </w:t>
            </w:r>
            <w:r w:rsidRPr="00210FB4">
              <w:rPr>
                <w:rFonts w:ascii="Times New Roman" w:hAnsi="Times New Roman" w:cs="Times New Roman"/>
                <w:i/>
                <w:sz w:val="20"/>
                <w:szCs w:val="20"/>
                <w:lang w:val="es-ES_tradnl"/>
              </w:rPr>
              <w:t>Khaya spp, Terminaliasuperba</w:t>
            </w:r>
          </w:p>
          <w:p w14:paraId="6CB7D3EB" w14:textId="77777777" w:rsidR="007475D1" w:rsidRPr="00210FB4" w:rsidRDefault="007475D1" w:rsidP="00752D3B">
            <w:pPr>
              <w:spacing w:after="0" w:line="240" w:lineRule="auto"/>
              <w:ind w:left="360"/>
              <w:rPr>
                <w:rFonts w:ascii="Times New Roman" w:hAnsi="Times New Roman" w:cs="Times New Roman"/>
                <w:sz w:val="20"/>
                <w:szCs w:val="20"/>
                <w:lang w:val="es-ES_tradnl"/>
              </w:rPr>
            </w:pPr>
            <w:r w:rsidRPr="00210FB4">
              <w:rPr>
                <w:rFonts w:ascii="Times New Roman" w:hAnsi="Times New Roman" w:cs="Times New Roman"/>
                <w:sz w:val="20"/>
                <w:szCs w:val="20"/>
                <w:lang w:val="es-ES_tradnl"/>
              </w:rPr>
              <w:t>128 ha d’agroforêt en teck</w:t>
            </w:r>
          </w:p>
          <w:p w14:paraId="6349D2BC" w14:textId="77777777" w:rsidR="007475D1" w:rsidRPr="00210FB4" w:rsidRDefault="007475D1" w:rsidP="00752D3B">
            <w:pPr>
              <w:spacing w:after="0" w:line="240" w:lineRule="auto"/>
              <w:ind w:left="360"/>
              <w:rPr>
                <w:rFonts w:ascii="Times New Roman" w:hAnsi="Times New Roman" w:cs="Times New Roman"/>
                <w:sz w:val="20"/>
                <w:szCs w:val="20"/>
                <w:lang w:val="es-ES_tradnl"/>
              </w:rPr>
            </w:pPr>
            <w:r w:rsidRPr="00210FB4">
              <w:rPr>
                <w:rFonts w:ascii="Times New Roman" w:hAnsi="Times New Roman" w:cs="Times New Roman"/>
                <w:sz w:val="20"/>
                <w:szCs w:val="20"/>
                <w:lang w:val="es-ES_tradnl"/>
              </w:rPr>
              <w:t>10 ha de galerie forestière (</w:t>
            </w:r>
            <w:r w:rsidRPr="00210FB4">
              <w:rPr>
                <w:rFonts w:ascii="Times New Roman" w:hAnsi="Times New Roman" w:cs="Times New Roman"/>
                <w:i/>
                <w:sz w:val="20"/>
                <w:szCs w:val="20"/>
                <w:lang w:val="es-ES_tradnl"/>
              </w:rPr>
              <w:t>Khaya, Terminalia</w:t>
            </w:r>
            <w:r w:rsidRPr="00210FB4">
              <w:rPr>
                <w:rFonts w:ascii="Times New Roman" w:hAnsi="Times New Roman" w:cs="Times New Roman"/>
                <w:sz w:val="20"/>
                <w:szCs w:val="20"/>
                <w:lang w:val="es-ES_tradnl"/>
              </w:rPr>
              <w:t xml:space="preserve"> et </w:t>
            </w:r>
            <w:r w:rsidRPr="00210FB4">
              <w:rPr>
                <w:rFonts w:ascii="Times New Roman" w:hAnsi="Times New Roman" w:cs="Times New Roman"/>
                <w:i/>
                <w:sz w:val="20"/>
                <w:szCs w:val="20"/>
                <w:lang w:val="es-ES_tradnl"/>
              </w:rPr>
              <w:t>Cedrela odorata</w:t>
            </w:r>
            <w:r w:rsidRPr="00210FB4">
              <w:rPr>
                <w:rFonts w:ascii="Times New Roman" w:hAnsi="Times New Roman" w:cs="Times New Roman"/>
                <w:sz w:val="20"/>
                <w:szCs w:val="20"/>
                <w:lang w:val="es-ES_tradnl"/>
              </w:rPr>
              <w:t>)</w:t>
            </w:r>
          </w:p>
          <w:p w14:paraId="22265396" w14:textId="77777777" w:rsidR="007475D1" w:rsidRPr="00210FB4" w:rsidRDefault="007475D1" w:rsidP="00752D3B">
            <w:pPr>
              <w:spacing w:after="0" w:line="240" w:lineRule="auto"/>
              <w:ind w:left="360"/>
              <w:rPr>
                <w:rFonts w:ascii="Times New Roman" w:hAnsi="Times New Roman" w:cs="Times New Roman"/>
                <w:i/>
                <w:sz w:val="20"/>
                <w:szCs w:val="20"/>
              </w:rPr>
            </w:pPr>
            <w:r w:rsidRPr="00210FB4">
              <w:rPr>
                <w:rFonts w:ascii="Times New Roman" w:hAnsi="Times New Roman" w:cs="Times New Roman"/>
                <w:sz w:val="20"/>
                <w:szCs w:val="20"/>
              </w:rPr>
              <w:t>303 ha de forêt reboisée (</w:t>
            </w:r>
            <w:r w:rsidRPr="00210FB4">
              <w:rPr>
                <w:rFonts w:ascii="Times New Roman" w:hAnsi="Times New Roman" w:cs="Times New Roman"/>
                <w:i/>
                <w:sz w:val="20"/>
                <w:szCs w:val="20"/>
              </w:rPr>
              <w:t xml:space="preserve">Khaya, tectona grandis </w:t>
            </w:r>
            <w:r w:rsidRPr="00210FB4">
              <w:rPr>
                <w:rFonts w:ascii="Times New Roman" w:hAnsi="Times New Roman" w:cs="Times New Roman"/>
                <w:sz w:val="20"/>
                <w:szCs w:val="20"/>
              </w:rPr>
              <w:t xml:space="preserve">et </w:t>
            </w:r>
            <w:r w:rsidRPr="00210FB4">
              <w:rPr>
                <w:rFonts w:ascii="Times New Roman" w:hAnsi="Times New Roman" w:cs="Times New Roman"/>
                <w:i/>
                <w:sz w:val="20"/>
                <w:szCs w:val="20"/>
              </w:rPr>
              <w:t>Gmelina</w:t>
            </w:r>
          </w:p>
          <w:p w14:paraId="33615A7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Système taungya et la méthode en régie.</w:t>
            </w:r>
          </w:p>
        </w:tc>
      </w:tr>
      <w:tr w:rsidR="007475D1" w:rsidRPr="001557BB" w14:paraId="359FDD02" w14:textId="77777777" w:rsidTr="00C13127">
        <w:trPr>
          <w:jc w:val="center"/>
        </w:trPr>
        <w:tc>
          <w:tcPr>
            <w:tcW w:w="1555" w:type="dxa"/>
            <w:vMerge/>
            <w:shd w:val="clear" w:color="auto" w:fill="E36C0A"/>
            <w:vAlign w:val="center"/>
          </w:tcPr>
          <w:p w14:paraId="38178D9D"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7AA0833E"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7AD7DF1A"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4696D2C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BD4B4"/>
            <w:vAlign w:val="center"/>
          </w:tcPr>
          <w:p w14:paraId="23209FD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ODEF, Propriétaires terriens qui ont mis à disposition des terres (avec des contrats), Différents groupements socio-professionnels,  Population</w:t>
            </w:r>
          </w:p>
        </w:tc>
      </w:tr>
      <w:tr w:rsidR="007475D1" w:rsidRPr="006D7E22" w14:paraId="633A28B5" w14:textId="77777777" w:rsidTr="00C13127">
        <w:trPr>
          <w:jc w:val="center"/>
        </w:trPr>
        <w:tc>
          <w:tcPr>
            <w:tcW w:w="1555" w:type="dxa"/>
            <w:vMerge/>
            <w:shd w:val="clear" w:color="auto" w:fill="E36C0A"/>
            <w:vAlign w:val="center"/>
          </w:tcPr>
          <w:p w14:paraId="50EE6586"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64B9B0AD"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FDE9D9"/>
            <w:vAlign w:val="center"/>
          </w:tcPr>
          <w:p w14:paraId="42BBC55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Appui à la restauration, à la protection des forêts communautaires et sacrées et des sols du canton de Tenega (préfecture de Doufelgou)</w:t>
            </w:r>
          </w:p>
          <w:p w14:paraId="388FB643"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7C4FFFA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DE9D9"/>
            <w:vAlign w:val="center"/>
          </w:tcPr>
          <w:p w14:paraId="240EB4C8"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Kahya senegalensis, Senna siamea, Afzelia africana, Leuceuna, Eucalyptus</w:t>
            </w:r>
          </w:p>
        </w:tc>
      </w:tr>
      <w:tr w:rsidR="007475D1" w:rsidRPr="001557BB" w14:paraId="69A06136" w14:textId="77777777" w:rsidTr="00C13127">
        <w:trPr>
          <w:jc w:val="center"/>
        </w:trPr>
        <w:tc>
          <w:tcPr>
            <w:tcW w:w="1555" w:type="dxa"/>
            <w:vMerge/>
            <w:shd w:val="clear" w:color="auto" w:fill="E36C0A"/>
            <w:vAlign w:val="center"/>
          </w:tcPr>
          <w:p w14:paraId="49388F9B" w14:textId="77777777" w:rsidR="007475D1" w:rsidRPr="00210FB4" w:rsidRDefault="007475D1" w:rsidP="00752D3B">
            <w:pPr>
              <w:spacing w:after="0" w:line="240" w:lineRule="auto"/>
              <w:rPr>
                <w:rFonts w:ascii="Times New Roman" w:hAnsi="Times New Roman" w:cs="Times New Roman"/>
                <w:b/>
                <w:bCs/>
                <w:sz w:val="20"/>
                <w:szCs w:val="20"/>
                <w:lang w:val="en-US"/>
              </w:rPr>
            </w:pPr>
          </w:p>
        </w:tc>
        <w:tc>
          <w:tcPr>
            <w:tcW w:w="1417" w:type="dxa"/>
            <w:vMerge/>
            <w:shd w:val="clear" w:color="auto" w:fill="FABF8F"/>
            <w:vAlign w:val="center"/>
          </w:tcPr>
          <w:p w14:paraId="19E9FDB6"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lang w:val="en-US"/>
              </w:rPr>
            </w:pPr>
          </w:p>
        </w:tc>
        <w:tc>
          <w:tcPr>
            <w:tcW w:w="2429" w:type="dxa"/>
            <w:vMerge/>
            <w:shd w:val="clear" w:color="auto" w:fill="FDE9D9"/>
            <w:vAlign w:val="center"/>
          </w:tcPr>
          <w:p w14:paraId="40B6DEC6" w14:textId="77777777" w:rsidR="007475D1" w:rsidRPr="00210FB4" w:rsidRDefault="007475D1" w:rsidP="00752D3B">
            <w:pPr>
              <w:spacing w:after="0" w:line="240" w:lineRule="auto"/>
              <w:rPr>
                <w:rFonts w:ascii="Times New Roman" w:hAnsi="Times New Roman" w:cs="Times New Roman"/>
                <w:b/>
                <w:sz w:val="20"/>
                <w:szCs w:val="20"/>
                <w:lang w:val="en-US"/>
              </w:rPr>
            </w:pPr>
          </w:p>
        </w:tc>
        <w:tc>
          <w:tcPr>
            <w:tcW w:w="2287" w:type="dxa"/>
            <w:shd w:val="clear" w:color="auto" w:fill="FDE9D9"/>
            <w:vAlign w:val="center"/>
          </w:tcPr>
          <w:p w14:paraId="428D197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DE9D9"/>
            <w:vAlign w:val="center"/>
          </w:tcPr>
          <w:p w14:paraId="3A1795C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-Restauration et protection de forêts communautaires et sacrées sur 8,6 ha</w:t>
            </w:r>
          </w:p>
          <w:p w14:paraId="35DA6E3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populations</w:t>
            </w:r>
          </w:p>
          <w:p w14:paraId="17C38CF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-Organisation et mise en place de comités de gestion de la forêt</w:t>
            </w:r>
          </w:p>
          <w:p w14:paraId="4404077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xml:space="preserve">-Formation des populations en AGR </w:t>
            </w:r>
          </w:p>
        </w:tc>
      </w:tr>
      <w:tr w:rsidR="007475D1" w:rsidRPr="001557BB" w14:paraId="6FD34F64" w14:textId="77777777" w:rsidTr="00C13127">
        <w:trPr>
          <w:jc w:val="center"/>
        </w:trPr>
        <w:tc>
          <w:tcPr>
            <w:tcW w:w="1555" w:type="dxa"/>
            <w:vMerge/>
            <w:shd w:val="clear" w:color="auto" w:fill="E36C0A"/>
            <w:vAlign w:val="center"/>
          </w:tcPr>
          <w:p w14:paraId="48BE38CC"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4495BE54"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DE9D9"/>
            <w:vAlign w:val="center"/>
          </w:tcPr>
          <w:p w14:paraId="3FB37CA6"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63C1C7D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DE9D9"/>
            <w:vAlign w:val="center"/>
          </w:tcPr>
          <w:p w14:paraId="1C1D682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-CACARP-TOGO : sensibilisation, organisation et suivi des activités</w:t>
            </w:r>
          </w:p>
          <w:p w14:paraId="2F30F46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mise en terre</w:t>
            </w:r>
          </w:p>
          <w:p w14:paraId="041D36F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-Banque mondiale/PGICT : PTF</w:t>
            </w:r>
          </w:p>
        </w:tc>
      </w:tr>
      <w:tr w:rsidR="007475D1" w:rsidRPr="001557BB" w14:paraId="53D736E7" w14:textId="77777777" w:rsidTr="00C13127">
        <w:trPr>
          <w:jc w:val="center"/>
        </w:trPr>
        <w:tc>
          <w:tcPr>
            <w:tcW w:w="1555" w:type="dxa"/>
            <w:vMerge/>
            <w:shd w:val="clear" w:color="auto" w:fill="E36C0A"/>
            <w:vAlign w:val="center"/>
          </w:tcPr>
          <w:p w14:paraId="1899941C"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56D3B57C"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FBD4B4"/>
            <w:vAlign w:val="center"/>
          </w:tcPr>
          <w:p w14:paraId="12E6428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de restauration de la forêt communautaire de Namab dans la préfecture de Dankpen</w:t>
            </w:r>
          </w:p>
          <w:p w14:paraId="2693A8F0"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09C4BBE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BD4B4"/>
            <w:vAlign w:val="center"/>
          </w:tcPr>
          <w:p w14:paraId="5B688585"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 xml:space="preserve">Ceiba pentandra, </w:t>
            </w:r>
            <w:r w:rsidRPr="00210FB4">
              <w:rPr>
                <w:rStyle w:val="sdfn1"/>
                <w:rFonts w:ascii="Times New Roman" w:hAnsi="Times New Roman" w:cs="Times New Roman"/>
                <w:i/>
                <w:iCs/>
                <w:sz w:val="20"/>
                <w:szCs w:val="20"/>
                <w:lang w:val="es-ES_tradnl"/>
              </w:rPr>
              <w:t>Adansonia digitata</w:t>
            </w:r>
            <w:r w:rsidRPr="00210FB4">
              <w:rPr>
                <w:rFonts w:ascii="Times New Roman" w:hAnsi="Times New Roman" w:cs="Times New Roman"/>
                <w:i/>
                <w:sz w:val="20"/>
                <w:szCs w:val="20"/>
                <w:lang w:val="es-ES_tradnl"/>
              </w:rPr>
              <w:t>, Senna siamea, Khaya senegalensis</w:t>
            </w:r>
          </w:p>
        </w:tc>
      </w:tr>
      <w:tr w:rsidR="007475D1" w:rsidRPr="001557BB" w14:paraId="7967FCBF" w14:textId="77777777" w:rsidTr="00C13127">
        <w:trPr>
          <w:jc w:val="center"/>
        </w:trPr>
        <w:tc>
          <w:tcPr>
            <w:tcW w:w="1555" w:type="dxa"/>
            <w:vMerge/>
            <w:shd w:val="clear" w:color="auto" w:fill="E36C0A"/>
            <w:vAlign w:val="center"/>
          </w:tcPr>
          <w:p w14:paraId="026211DD"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07540BE1"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3E5859E2"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5E7D04D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BD4B4"/>
            <w:vAlign w:val="center"/>
          </w:tcPr>
          <w:p w14:paraId="7D2F7D2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Restauration de forêt communautaire sur 10 ha</w:t>
            </w:r>
          </w:p>
          <w:p w14:paraId="21E215B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 la population locale sur la nécessité de sauver la forêt communautaire, formation en apiculture</w:t>
            </w:r>
          </w:p>
        </w:tc>
      </w:tr>
      <w:tr w:rsidR="007475D1" w:rsidRPr="001557BB" w14:paraId="7C742B51" w14:textId="77777777" w:rsidTr="00C13127">
        <w:trPr>
          <w:jc w:val="center"/>
        </w:trPr>
        <w:tc>
          <w:tcPr>
            <w:tcW w:w="1555" w:type="dxa"/>
            <w:vMerge/>
            <w:shd w:val="clear" w:color="auto" w:fill="E36C0A"/>
            <w:vAlign w:val="center"/>
          </w:tcPr>
          <w:p w14:paraId="2558217A"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410902FD"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11C46A32"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372AC22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BD4B4"/>
            <w:vAlign w:val="center"/>
          </w:tcPr>
          <w:p w14:paraId="7E68132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AE2D : sensibilisation et suivi des activités</w:t>
            </w:r>
          </w:p>
          <w:p w14:paraId="79B3EB6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préfet et autorités locales : appui à la sensibilisation</w:t>
            </w:r>
          </w:p>
          <w:p w14:paraId="065BA53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mise en terre et entretien</w:t>
            </w:r>
          </w:p>
          <w:p w14:paraId="04DE092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DRE : appui technique</w:t>
            </w:r>
          </w:p>
          <w:p w14:paraId="5510B17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Ambassade de France : PTF</w:t>
            </w:r>
          </w:p>
        </w:tc>
      </w:tr>
      <w:tr w:rsidR="007475D1" w:rsidRPr="006D7E22" w14:paraId="359517B0" w14:textId="77777777" w:rsidTr="00C13127">
        <w:trPr>
          <w:jc w:val="center"/>
        </w:trPr>
        <w:tc>
          <w:tcPr>
            <w:tcW w:w="1555" w:type="dxa"/>
            <w:vMerge/>
            <w:shd w:val="clear" w:color="auto" w:fill="E36C0A"/>
            <w:vAlign w:val="center"/>
          </w:tcPr>
          <w:p w14:paraId="0FAEB884"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3CE95D9F"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FDE9D9"/>
            <w:vAlign w:val="center"/>
          </w:tcPr>
          <w:p w14:paraId="5FB9630B"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Revalorisation de la forêt sacrée de Tchavad dans la préfecture de Tchaoudjo</w:t>
            </w:r>
          </w:p>
        </w:tc>
        <w:tc>
          <w:tcPr>
            <w:tcW w:w="2287" w:type="dxa"/>
            <w:shd w:val="clear" w:color="auto" w:fill="FDE9D9"/>
            <w:vAlign w:val="center"/>
          </w:tcPr>
          <w:p w14:paraId="6619855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DE9D9"/>
            <w:vAlign w:val="center"/>
          </w:tcPr>
          <w:p w14:paraId="7C1E6852"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 xml:space="preserve">Vitellaria paradoxa, Khaya senegalensis, </w:t>
            </w:r>
            <w:r w:rsidRPr="00210FB4">
              <w:rPr>
                <w:rStyle w:val="sdfn1"/>
                <w:rFonts w:ascii="Times New Roman" w:hAnsi="Times New Roman" w:cs="Times New Roman"/>
                <w:i/>
                <w:iCs/>
                <w:sz w:val="20"/>
                <w:szCs w:val="20"/>
                <w:lang w:val="es-ES_tradnl"/>
              </w:rPr>
              <w:t>Parkia biglobosia</w:t>
            </w:r>
            <w:r w:rsidRPr="00210FB4">
              <w:rPr>
                <w:rFonts w:ascii="Times New Roman" w:hAnsi="Times New Roman" w:cs="Times New Roman"/>
                <w:i/>
                <w:sz w:val="20"/>
                <w:szCs w:val="20"/>
                <w:lang w:val="es-ES_tradnl"/>
              </w:rPr>
              <w:t xml:space="preserve">, </w:t>
            </w:r>
          </w:p>
        </w:tc>
      </w:tr>
      <w:tr w:rsidR="007475D1" w:rsidRPr="001557BB" w14:paraId="71EB4AB9" w14:textId="77777777" w:rsidTr="00C13127">
        <w:trPr>
          <w:jc w:val="center"/>
        </w:trPr>
        <w:tc>
          <w:tcPr>
            <w:tcW w:w="1555" w:type="dxa"/>
            <w:vMerge/>
            <w:shd w:val="clear" w:color="auto" w:fill="E36C0A"/>
            <w:vAlign w:val="center"/>
          </w:tcPr>
          <w:p w14:paraId="33BA8531" w14:textId="77777777" w:rsidR="007475D1" w:rsidRPr="00210FB4" w:rsidRDefault="007475D1" w:rsidP="00752D3B">
            <w:pPr>
              <w:spacing w:after="0" w:line="240" w:lineRule="auto"/>
              <w:rPr>
                <w:rFonts w:ascii="Times New Roman" w:hAnsi="Times New Roman" w:cs="Times New Roman"/>
                <w:b/>
                <w:bCs/>
                <w:sz w:val="20"/>
                <w:szCs w:val="20"/>
                <w:lang w:val="en-US"/>
              </w:rPr>
            </w:pPr>
          </w:p>
        </w:tc>
        <w:tc>
          <w:tcPr>
            <w:tcW w:w="1417" w:type="dxa"/>
            <w:vMerge/>
            <w:shd w:val="clear" w:color="auto" w:fill="FABF8F"/>
            <w:vAlign w:val="center"/>
          </w:tcPr>
          <w:p w14:paraId="159482DE"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lang w:val="en-US"/>
              </w:rPr>
            </w:pPr>
          </w:p>
        </w:tc>
        <w:tc>
          <w:tcPr>
            <w:tcW w:w="2429" w:type="dxa"/>
            <w:vMerge/>
            <w:shd w:val="clear" w:color="auto" w:fill="FDE9D9"/>
            <w:vAlign w:val="center"/>
          </w:tcPr>
          <w:p w14:paraId="7D6D3EDC" w14:textId="77777777" w:rsidR="007475D1" w:rsidRPr="00210FB4" w:rsidRDefault="007475D1" w:rsidP="00752D3B">
            <w:pPr>
              <w:spacing w:after="0" w:line="240" w:lineRule="auto"/>
              <w:rPr>
                <w:rFonts w:ascii="Times New Roman" w:hAnsi="Times New Roman" w:cs="Times New Roman"/>
                <w:b/>
                <w:sz w:val="20"/>
                <w:szCs w:val="20"/>
                <w:lang w:val="en-US"/>
              </w:rPr>
            </w:pPr>
          </w:p>
        </w:tc>
        <w:tc>
          <w:tcPr>
            <w:tcW w:w="2287" w:type="dxa"/>
            <w:shd w:val="clear" w:color="auto" w:fill="FDE9D9"/>
            <w:vAlign w:val="center"/>
          </w:tcPr>
          <w:p w14:paraId="6311714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DE9D9"/>
            <w:vAlign w:val="center"/>
          </w:tcPr>
          <w:p w14:paraId="2F34D96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Reboisement autour de la forêt sacrée sur 16 ha</w:t>
            </w:r>
          </w:p>
          <w:p w14:paraId="198578B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populations sur l'importance de la préservation de la forêt sacrée</w:t>
            </w:r>
          </w:p>
          <w:p w14:paraId="30741F8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écartement non fixe</w:t>
            </w:r>
          </w:p>
        </w:tc>
      </w:tr>
      <w:tr w:rsidR="007475D1" w:rsidRPr="001557BB" w14:paraId="269F10AE" w14:textId="77777777" w:rsidTr="00C13127">
        <w:trPr>
          <w:jc w:val="center"/>
        </w:trPr>
        <w:tc>
          <w:tcPr>
            <w:tcW w:w="1555" w:type="dxa"/>
            <w:vMerge/>
            <w:shd w:val="clear" w:color="auto" w:fill="E36C0A"/>
            <w:vAlign w:val="center"/>
          </w:tcPr>
          <w:p w14:paraId="6A9E87A0"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ABF8F"/>
            <w:vAlign w:val="center"/>
          </w:tcPr>
          <w:p w14:paraId="5EC5FF08"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DE9D9"/>
            <w:vAlign w:val="center"/>
          </w:tcPr>
          <w:p w14:paraId="6CD5C40C"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5FCF010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DE9D9"/>
            <w:vAlign w:val="center"/>
          </w:tcPr>
          <w:p w14:paraId="2366A54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ABAD : sensibilisation, organisation et suivi des activités</w:t>
            </w:r>
          </w:p>
          <w:p w14:paraId="33DFA92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mise en terre et  entretien</w:t>
            </w:r>
          </w:p>
          <w:p w14:paraId="2669098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Banque mondiale/PGICT : financement</w:t>
            </w:r>
          </w:p>
        </w:tc>
      </w:tr>
      <w:tr w:rsidR="007475D1" w:rsidRPr="001557BB" w14:paraId="6138A946" w14:textId="77777777" w:rsidTr="00C13127">
        <w:trPr>
          <w:jc w:val="center"/>
        </w:trPr>
        <w:tc>
          <w:tcPr>
            <w:tcW w:w="1555" w:type="dxa"/>
            <w:vMerge/>
            <w:shd w:val="clear" w:color="auto" w:fill="E36C0A"/>
            <w:vAlign w:val="center"/>
          </w:tcPr>
          <w:p w14:paraId="3F4FA320"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val="restart"/>
            <w:shd w:val="clear" w:color="auto" w:fill="FBD4B4"/>
            <w:vAlign w:val="center"/>
          </w:tcPr>
          <w:p w14:paraId="6D31DA24"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Enrichissement de forêt naturelle</w:t>
            </w:r>
          </w:p>
        </w:tc>
        <w:tc>
          <w:tcPr>
            <w:tcW w:w="2429" w:type="dxa"/>
            <w:vMerge w:val="restart"/>
            <w:shd w:val="clear" w:color="auto" w:fill="FABF8F"/>
            <w:vAlign w:val="center"/>
          </w:tcPr>
          <w:p w14:paraId="2C8A76E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de renforcement de la gestion du complexe forêt d'Abdoulaye et forêt communautaire d’Alibi 1 dans la préfecture Tchamba</w:t>
            </w:r>
          </w:p>
          <w:p w14:paraId="5700AEC5"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503DAB8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ABF8F"/>
            <w:vAlign w:val="center"/>
          </w:tcPr>
          <w:p w14:paraId="68E9824D" w14:textId="77777777" w:rsidR="007475D1" w:rsidRPr="00210FB4" w:rsidRDefault="007475D1" w:rsidP="00752D3B">
            <w:pPr>
              <w:spacing w:after="0" w:line="240" w:lineRule="auto"/>
              <w:rPr>
                <w:rFonts w:ascii="Times New Roman" w:hAnsi="Times New Roman" w:cs="Times New Roman"/>
                <w:i/>
                <w:sz w:val="20"/>
                <w:szCs w:val="20"/>
                <w:lang w:val="en-US"/>
              </w:rPr>
            </w:pPr>
            <w:r w:rsidRPr="00210FB4">
              <w:rPr>
                <w:rFonts w:ascii="Times New Roman" w:hAnsi="Times New Roman" w:cs="Times New Roman"/>
                <w:i/>
                <w:sz w:val="20"/>
                <w:szCs w:val="20"/>
                <w:lang w:val="en-US"/>
              </w:rPr>
              <w:t>Kahya Spp</w:t>
            </w:r>
          </w:p>
        </w:tc>
      </w:tr>
      <w:tr w:rsidR="007475D1" w:rsidRPr="001557BB" w14:paraId="3A1F10FB" w14:textId="77777777" w:rsidTr="00C13127">
        <w:trPr>
          <w:jc w:val="center"/>
        </w:trPr>
        <w:tc>
          <w:tcPr>
            <w:tcW w:w="1555" w:type="dxa"/>
            <w:vMerge/>
            <w:shd w:val="clear" w:color="auto" w:fill="E36C0A"/>
            <w:vAlign w:val="center"/>
          </w:tcPr>
          <w:p w14:paraId="55C2D272"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BD4B4"/>
            <w:vAlign w:val="center"/>
          </w:tcPr>
          <w:p w14:paraId="2E104E76"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ABF8F"/>
            <w:vAlign w:val="center"/>
          </w:tcPr>
          <w:p w14:paraId="429EBFB0"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5F2C8CF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ABF8F"/>
            <w:vAlign w:val="center"/>
          </w:tcPr>
          <w:p w14:paraId="4B28CB4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 la population à adhérer au projet</w:t>
            </w:r>
          </w:p>
          <w:p w14:paraId="770A493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en collecte et vente des produits forestiers, en apiculture, agriculture et maraichage</w:t>
            </w:r>
          </w:p>
          <w:p w14:paraId="60A6A8B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Identification avec la population des poches dégradées</w:t>
            </w:r>
          </w:p>
          <w:p w14:paraId="74A2DB6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enrichissement sur 2ha</w:t>
            </w:r>
          </w:p>
          <w:p w14:paraId="26C6F7D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Mise en terre sans écartement fixe</w:t>
            </w:r>
          </w:p>
        </w:tc>
      </w:tr>
      <w:tr w:rsidR="007475D1" w:rsidRPr="001557BB" w14:paraId="04956B54" w14:textId="77777777" w:rsidTr="00C13127">
        <w:trPr>
          <w:jc w:val="center"/>
        </w:trPr>
        <w:tc>
          <w:tcPr>
            <w:tcW w:w="1555" w:type="dxa"/>
            <w:vMerge/>
            <w:shd w:val="clear" w:color="auto" w:fill="E36C0A"/>
            <w:vAlign w:val="center"/>
          </w:tcPr>
          <w:p w14:paraId="54DB3C28" w14:textId="77777777" w:rsidR="007475D1" w:rsidRPr="00210FB4" w:rsidRDefault="007475D1" w:rsidP="00752D3B">
            <w:pPr>
              <w:spacing w:after="0" w:line="240" w:lineRule="auto"/>
              <w:rPr>
                <w:rFonts w:ascii="Times New Roman" w:hAnsi="Times New Roman" w:cs="Times New Roman"/>
                <w:b/>
                <w:bCs/>
                <w:sz w:val="20"/>
                <w:szCs w:val="20"/>
              </w:rPr>
            </w:pPr>
          </w:p>
        </w:tc>
        <w:tc>
          <w:tcPr>
            <w:tcW w:w="1417" w:type="dxa"/>
            <w:vMerge/>
            <w:shd w:val="clear" w:color="auto" w:fill="FBD4B4"/>
            <w:vAlign w:val="center"/>
          </w:tcPr>
          <w:p w14:paraId="799FB59A"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ABF8F"/>
            <w:vAlign w:val="center"/>
          </w:tcPr>
          <w:p w14:paraId="7F06C46F"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41AAE15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ABF8F"/>
            <w:vAlign w:val="center"/>
          </w:tcPr>
          <w:p w14:paraId="5392B82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AE2D : sensibilisation, organisation et suivi des activités</w:t>
            </w:r>
          </w:p>
          <w:p w14:paraId="3EB017F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xml:space="preserve">DRE : appui technique, UICN : PTF, Population locale : mise en place des pépinières, préparation du sol et mise en terre </w:t>
            </w:r>
          </w:p>
        </w:tc>
      </w:tr>
      <w:tr w:rsidR="007475D1" w:rsidRPr="006D7E22" w14:paraId="7F70DC07" w14:textId="77777777" w:rsidTr="00C13127">
        <w:trPr>
          <w:jc w:val="center"/>
        </w:trPr>
        <w:tc>
          <w:tcPr>
            <w:tcW w:w="1555" w:type="dxa"/>
            <w:vMerge/>
            <w:shd w:val="clear" w:color="auto" w:fill="E36C0A"/>
            <w:vAlign w:val="center"/>
          </w:tcPr>
          <w:p w14:paraId="7343393F"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val="restart"/>
            <w:shd w:val="clear" w:color="auto" w:fill="FDE9D9"/>
            <w:vAlign w:val="center"/>
          </w:tcPr>
          <w:p w14:paraId="74F82DE1"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Plantations forestières</w:t>
            </w:r>
          </w:p>
        </w:tc>
        <w:tc>
          <w:tcPr>
            <w:tcW w:w="2429" w:type="dxa"/>
            <w:vMerge w:val="restart"/>
            <w:shd w:val="clear" w:color="auto" w:fill="FBD4B4"/>
            <w:vAlign w:val="center"/>
          </w:tcPr>
          <w:p w14:paraId="700504A6"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Projet de Développement Communautaire à Haute Intensité de Main d’œuvre (PDC HIMO)</w:t>
            </w:r>
          </w:p>
          <w:p w14:paraId="0B905483"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3B06D0F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DE9D9"/>
            <w:vAlign w:val="center"/>
          </w:tcPr>
          <w:p w14:paraId="0F8BC0D1" w14:textId="77777777" w:rsidR="007475D1" w:rsidRPr="00210FB4" w:rsidRDefault="007475D1" w:rsidP="00752D3B">
            <w:pPr>
              <w:spacing w:after="0" w:line="240" w:lineRule="auto"/>
              <w:rPr>
                <w:rFonts w:ascii="Times New Roman" w:hAnsi="Times New Roman" w:cs="Times New Roman"/>
                <w:sz w:val="20"/>
                <w:szCs w:val="20"/>
                <w:lang w:val="es-ES_tradnl"/>
              </w:rPr>
            </w:pPr>
            <w:r w:rsidRPr="00210FB4">
              <w:rPr>
                <w:rFonts w:ascii="Times New Roman" w:hAnsi="Times New Roman" w:cs="Times New Roman"/>
                <w:i/>
                <w:sz w:val="20"/>
                <w:szCs w:val="20"/>
                <w:lang w:val="es-ES_tradnl"/>
              </w:rPr>
              <w:t xml:space="preserve">Tectona grandis, Eucalyptus spp, Khaya </w:t>
            </w:r>
            <w:r w:rsidRPr="00210FB4">
              <w:rPr>
                <w:rFonts w:ascii="Times New Roman" w:hAnsi="Times New Roman" w:cs="Times New Roman"/>
                <w:sz w:val="20"/>
                <w:szCs w:val="20"/>
                <w:lang w:val="es-ES_tradnl"/>
              </w:rPr>
              <w:t xml:space="preserve">spp, </w:t>
            </w:r>
            <w:r w:rsidRPr="00210FB4">
              <w:rPr>
                <w:rFonts w:ascii="Times New Roman" w:hAnsi="Times New Roman" w:cs="Times New Roman"/>
                <w:i/>
                <w:sz w:val="20"/>
                <w:szCs w:val="20"/>
                <w:lang w:val="es-ES_tradnl"/>
              </w:rPr>
              <w:t>Citrus sinensis, Anacardium, Mangifera indica, Persea americana, Elaeis guineensis, Garcinia</w:t>
            </w:r>
          </w:p>
        </w:tc>
      </w:tr>
      <w:tr w:rsidR="007475D1" w:rsidRPr="001557BB" w14:paraId="11EBE926" w14:textId="77777777" w:rsidTr="00C13127">
        <w:trPr>
          <w:jc w:val="center"/>
        </w:trPr>
        <w:tc>
          <w:tcPr>
            <w:tcW w:w="1555" w:type="dxa"/>
            <w:vMerge/>
            <w:shd w:val="clear" w:color="auto" w:fill="E36C0A"/>
            <w:vAlign w:val="center"/>
          </w:tcPr>
          <w:p w14:paraId="27B5EB09" w14:textId="77777777" w:rsidR="007475D1" w:rsidRPr="00210FB4" w:rsidRDefault="007475D1" w:rsidP="00752D3B">
            <w:pPr>
              <w:spacing w:after="0" w:line="240" w:lineRule="auto"/>
              <w:rPr>
                <w:rFonts w:ascii="Times New Roman" w:hAnsi="Times New Roman" w:cs="Times New Roman"/>
                <w:b/>
                <w:sz w:val="20"/>
                <w:szCs w:val="20"/>
                <w:lang w:val="en-US"/>
              </w:rPr>
            </w:pPr>
          </w:p>
        </w:tc>
        <w:tc>
          <w:tcPr>
            <w:tcW w:w="1417" w:type="dxa"/>
            <w:vMerge/>
            <w:shd w:val="clear" w:color="auto" w:fill="FDE9D9"/>
            <w:vAlign w:val="center"/>
          </w:tcPr>
          <w:p w14:paraId="090680BB"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lang w:val="en-US"/>
              </w:rPr>
            </w:pPr>
          </w:p>
        </w:tc>
        <w:tc>
          <w:tcPr>
            <w:tcW w:w="2429" w:type="dxa"/>
            <w:vMerge/>
            <w:shd w:val="clear" w:color="auto" w:fill="FBD4B4"/>
            <w:vAlign w:val="center"/>
          </w:tcPr>
          <w:p w14:paraId="59852BD9" w14:textId="77777777" w:rsidR="007475D1" w:rsidRPr="00210FB4" w:rsidRDefault="007475D1" w:rsidP="00752D3B">
            <w:pPr>
              <w:spacing w:after="0" w:line="240" w:lineRule="auto"/>
              <w:rPr>
                <w:rFonts w:ascii="Times New Roman" w:hAnsi="Times New Roman" w:cs="Times New Roman"/>
                <w:b/>
                <w:sz w:val="20"/>
                <w:szCs w:val="20"/>
                <w:lang w:val="en-US"/>
              </w:rPr>
            </w:pPr>
          </w:p>
        </w:tc>
        <w:tc>
          <w:tcPr>
            <w:tcW w:w="2287" w:type="dxa"/>
            <w:shd w:val="clear" w:color="auto" w:fill="FDE9D9"/>
            <w:vAlign w:val="center"/>
          </w:tcPr>
          <w:p w14:paraId="64EFFA3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DE9D9"/>
            <w:vAlign w:val="center"/>
          </w:tcPr>
          <w:p w14:paraId="655F471A"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rPr>
            </w:pPr>
            <w:r w:rsidRPr="00210FB4">
              <w:rPr>
                <w:rFonts w:ascii="Times New Roman" w:hAnsi="Times New Roman" w:cs="Times New Roman"/>
                <w:sz w:val="20"/>
                <w:szCs w:val="20"/>
              </w:rPr>
              <w:t>- Sensibilisation et information de la population ciblée sur le programme et ses conditions de mise en œuvre</w:t>
            </w:r>
          </w:p>
          <w:p w14:paraId="1337ADF4"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rPr>
            </w:pPr>
            <w:r w:rsidRPr="00210FB4">
              <w:rPr>
                <w:rFonts w:ascii="Times New Roman" w:hAnsi="Times New Roman" w:cs="Times New Roman"/>
                <w:sz w:val="20"/>
                <w:szCs w:val="20"/>
              </w:rPr>
              <w:t>- Productions de plants en pépinière</w:t>
            </w:r>
          </w:p>
          <w:p w14:paraId="5A1926A2"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rPr>
            </w:pPr>
            <w:r w:rsidRPr="00210FB4">
              <w:rPr>
                <w:rFonts w:ascii="Times New Roman" w:hAnsi="Times New Roman" w:cs="Times New Roman"/>
                <w:sz w:val="20"/>
                <w:szCs w:val="20"/>
              </w:rPr>
              <w:t>- Reboisement de bois d’œuvre, de bois énergie et reboisement de fruitiers</w:t>
            </w:r>
          </w:p>
        </w:tc>
      </w:tr>
      <w:tr w:rsidR="007475D1" w:rsidRPr="001557BB" w14:paraId="1FEB64B1" w14:textId="77777777" w:rsidTr="00C13127">
        <w:trPr>
          <w:jc w:val="center"/>
        </w:trPr>
        <w:tc>
          <w:tcPr>
            <w:tcW w:w="1555" w:type="dxa"/>
            <w:vMerge/>
            <w:shd w:val="clear" w:color="auto" w:fill="E36C0A"/>
            <w:vAlign w:val="center"/>
          </w:tcPr>
          <w:p w14:paraId="225C178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420006F0"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1616FE0E"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0B1D22E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DE9D9"/>
            <w:vAlign w:val="center"/>
          </w:tcPr>
          <w:p w14:paraId="77D093CA"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Secrétariat Technique (ST) du PDC, les AGAIBs, le Ministère du Développement à la Base, de l’Artisanat de la Jeunesse et de l’Emploi des Jeunes (MDBJEJ),</w:t>
            </w:r>
          </w:p>
          <w:p w14:paraId="17C29C1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MERF (ODEF, DRF, DE) MCAS, MCAEP, MCH, les ONG et Associations les ONG les CVD, les CLDD, les AVGAP et UAVGAP</w:t>
            </w:r>
          </w:p>
        </w:tc>
      </w:tr>
      <w:tr w:rsidR="007475D1" w:rsidRPr="006D7E22" w14:paraId="2AC6C4C9" w14:textId="77777777" w:rsidTr="00C13127">
        <w:trPr>
          <w:jc w:val="center"/>
        </w:trPr>
        <w:tc>
          <w:tcPr>
            <w:tcW w:w="1555" w:type="dxa"/>
            <w:vMerge/>
            <w:shd w:val="clear" w:color="auto" w:fill="E36C0A"/>
            <w:vAlign w:val="center"/>
          </w:tcPr>
          <w:p w14:paraId="2482AC93"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442347D0" w14:textId="77777777" w:rsidR="007475D1" w:rsidRPr="00210FB4" w:rsidRDefault="007475D1" w:rsidP="00752D3B">
            <w:pPr>
              <w:spacing w:after="0" w:line="240" w:lineRule="auto"/>
              <w:rPr>
                <w:rFonts w:ascii="Times New Roman" w:hAnsi="Times New Roman" w:cs="Times New Roman"/>
                <w:b/>
                <w:sz w:val="20"/>
                <w:szCs w:val="20"/>
              </w:rPr>
            </w:pPr>
          </w:p>
        </w:tc>
        <w:tc>
          <w:tcPr>
            <w:tcW w:w="2429" w:type="dxa"/>
            <w:vMerge/>
            <w:shd w:val="clear" w:color="auto" w:fill="FBD4B4"/>
            <w:vAlign w:val="center"/>
          </w:tcPr>
          <w:p w14:paraId="1886CA2F"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06073BD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ABF8F"/>
            <w:vAlign w:val="center"/>
          </w:tcPr>
          <w:p w14:paraId="5E8EE3D1"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Kahya senegalensis, Anacardium, Senna siamea, Eucalyptus, Tectona grandis</w:t>
            </w:r>
          </w:p>
        </w:tc>
      </w:tr>
      <w:tr w:rsidR="007475D1" w:rsidRPr="001557BB" w14:paraId="4EF8CE37" w14:textId="77777777" w:rsidTr="00C13127">
        <w:trPr>
          <w:jc w:val="center"/>
        </w:trPr>
        <w:tc>
          <w:tcPr>
            <w:tcW w:w="1555" w:type="dxa"/>
            <w:vMerge/>
            <w:shd w:val="clear" w:color="auto" w:fill="E36C0A"/>
            <w:vAlign w:val="center"/>
          </w:tcPr>
          <w:p w14:paraId="2678102A" w14:textId="77777777" w:rsidR="007475D1" w:rsidRPr="00210FB4" w:rsidRDefault="007475D1" w:rsidP="00752D3B">
            <w:pPr>
              <w:spacing w:after="0" w:line="240" w:lineRule="auto"/>
              <w:rPr>
                <w:rFonts w:ascii="Times New Roman" w:hAnsi="Times New Roman" w:cs="Times New Roman"/>
                <w:b/>
                <w:sz w:val="20"/>
                <w:szCs w:val="20"/>
                <w:lang w:val="es-ES_tradnl"/>
              </w:rPr>
            </w:pPr>
          </w:p>
        </w:tc>
        <w:tc>
          <w:tcPr>
            <w:tcW w:w="1417" w:type="dxa"/>
            <w:vMerge/>
            <w:shd w:val="clear" w:color="auto" w:fill="FDE9D9"/>
            <w:vAlign w:val="center"/>
          </w:tcPr>
          <w:p w14:paraId="6710D720" w14:textId="77777777" w:rsidR="007475D1" w:rsidRPr="00210FB4" w:rsidRDefault="007475D1" w:rsidP="00752D3B">
            <w:pPr>
              <w:spacing w:after="0" w:line="240" w:lineRule="auto"/>
              <w:rPr>
                <w:rFonts w:ascii="Times New Roman" w:hAnsi="Times New Roman" w:cs="Times New Roman"/>
                <w:b/>
                <w:sz w:val="20"/>
                <w:szCs w:val="20"/>
                <w:lang w:val="es-ES_tradnl"/>
              </w:rPr>
            </w:pPr>
          </w:p>
        </w:tc>
        <w:tc>
          <w:tcPr>
            <w:tcW w:w="2429" w:type="dxa"/>
            <w:vMerge/>
            <w:shd w:val="clear" w:color="auto" w:fill="FBD4B4"/>
            <w:vAlign w:val="center"/>
          </w:tcPr>
          <w:p w14:paraId="0C19C57D" w14:textId="77777777" w:rsidR="007475D1" w:rsidRPr="00210FB4" w:rsidRDefault="007475D1" w:rsidP="00752D3B">
            <w:pPr>
              <w:spacing w:after="0" w:line="240" w:lineRule="auto"/>
              <w:rPr>
                <w:rFonts w:ascii="Times New Roman" w:hAnsi="Times New Roman" w:cs="Times New Roman"/>
                <w:b/>
                <w:sz w:val="20"/>
                <w:szCs w:val="20"/>
                <w:lang w:val="es-ES_tradnl"/>
              </w:rPr>
            </w:pPr>
          </w:p>
        </w:tc>
        <w:tc>
          <w:tcPr>
            <w:tcW w:w="2287" w:type="dxa"/>
            <w:shd w:val="clear" w:color="auto" w:fill="FABF8F"/>
            <w:vAlign w:val="center"/>
          </w:tcPr>
          <w:p w14:paraId="53B9FE3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ABF8F"/>
            <w:vAlign w:val="center"/>
          </w:tcPr>
          <w:p w14:paraId="215B3BF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Création de forêt communautaire à Tchanfieri et Nakouorko (prefecture de l’Oti) sur 10 ha</w:t>
            </w:r>
          </w:p>
          <w:p w14:paraId="4418F38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populations</w:t>
            </w:r>
          </w:p>
          <w:p w14:paraId="0C42AE9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Organisation de comité de gestion et de surveillance</w:t>
            </w:r>
          </w:p>
          <w:p w14:paraId="753009E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écartement : 5*5 pour les fruitiers, 3*3 pour les bois d'œuvre, 3*2 pour le bois énergie</w:t>
            </w:r>
          </w:p>
        </w:tc>
      </w:tr>
      <w:tr w:rsidR="007475D1" w:rsidRPr="001557BB" w14:paraId="45D59EFE" w14:textId="77777777" w:rsidTr="00C13127">
        <w:trPr>
          <w:jc w:val="center"/>
        </w:trPr>
        <w:tc>
          <w:tcPr>
            <w:tcW w:w="1555" w:type="dxa"/>
            <w:vMerge/>
            <w:shd w:val="clear" w:color="auto" w:fill="E36C0A"/>
            <w:vAlign w:val="center"/>
          </w:tcPr>
          <w:p w14:paraId="3A0BF204"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77505BB7" w14:textId="77777777" w:rsidR="007475D1" w:rsidRPr="00210FB4" w:rsidRDefault="007475D1" w:rsidP="00752D3B">
            <w:pPr>
              <w:spacing w:after="0" w:line="240" w:lineRule="auto"/>
              <w:rPr>
                <w:rFonts w:ascii="Times New Roman" w:hAnsi="Times New Roman" w:cs="Times New Roman"/>
                <w:b/>
                <w:sz w:val="20"/>
                <w:szCs w:val="20"/>
              </w:rPr>
            </w:pPr>
          </w:p>
        </w:tc>
        <w:tc>
          <w:tcPr>
            <w:tcW w:w="2429" w:type="dxa"/>
            <w:vMerge/>
            <w:shd w:val="clear" w:color="auto" w:fill="FBD4B4"/>
            <w:vAlign w:val="center"/>
          </w:tcPr>
          <w:p w14:paraId="60DB7AA2"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5EFC7C2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ABF8F"/>
            <w:vAlign w:val="center"/>
          </w:tcPr>
          <w:p w14:paraId="1732F1A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GRAIL/NT : sensibilisation, organisation et suivi des activités</w:t>
            </w:r>
          </w:p>
          <w:p w14:paraId="186E651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CVD : appui à la sensibilisation</w:t>
            </w:r>
          </w:p>
          <w:p w14:paraId="5E283A9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mise en terre et entretien</w:t>
            </w:r>
          </w:p>
          <w:p w14:paraId="485D28B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ODEF : fournitures des plants</w:t>
            </w:r>
          </w:p>
          <w:p w14:paraId="38EF0D1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Programme HIMO : Financement</w:t>
            </w:r>
          </w:p>
        </w:tc>
      </w:tr>
      <w:tr w:rsidR="007475D1" w:rsidRPr="001557BB" w14:paraId="39DA1749" w14:textId="77777777" w:rsidTr="00C13127">
        <w:trPr>
          <w:jc w:val="center"/>
        </w:trPr>
        <w:tc>
          <w:tcPr>
            <w:tcW w:w="1555" w:type="dxa"/>
            <w:vMerge/>
            <w:shd w:val="clear" w:color="auto" w:fill="E36C0A"/>
            <w:vAlign w:val="center"/>
          </w:tcPr>
          <w:p w14:paraId="2F41513D"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77D65844" w14:textId="77777777" w:rsidR="007475D1" w:rsidRPr="00210FB4" w:rsidRDefault="007475D1" w:rsidP="00752D3B">
            <w:pPr>
              <w:spacing w:after="0" w:line="240" w:lineRule="auto"/>
              <w:rPr>
                <w:rFonts w:ascii="Times New Roman" w:hAnsi="Times New Roman" w:cs="Times New Roman"/>
                <w:b/>
                <w:sz w:val="20"/>
                <w:szCs w:val="20"/>
              </w:rPr>
            </w:pPr>
          </w:p>
        </w:tc>
        <w:tc>
          <w:tcPr>
            <w:tcW w:w="2429" w:type="dxa"/>
            <w:vMerge w:val="restart"/>
            <w:shd w:val="clear" w:color="auto" w:fill="FBD4B4"/>
            <w:vAlign w:val="center"/>
          </w:tcPr>
          <w:p w14:paraId="7505110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de reboisement et de restauration des forêts communautaire dans la préfecture de Blitta</w:t>
            </w:r>
          </w:p>
          <w:p w14:paraId="5E6A2735"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296EFFF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BD4B4"/>
            <w:vAlign w:val="center"/>
          </w:tcPr>
          <w:p w14:paraId="225F3752" w14:textId="77777777" w:rsidR="007475D1" w:rsidRPr="00210FB4" w:rsidRDefault="007475D1" w:rsidP="00752D3B">
            <w:pPr>
              <w:spacing w:after="0" w:line="240" w:lineRule="auto"/>
              <w:rPr>
                <w:rFonts w:ascii="Times New Roman" w:hAnsi="Times New Roman" w:cs="Times New Roman"/>
                <w:sz w:val="20"/>
                <w:szCs w:val="20"/>
                <w:lang w:val="en-US"/>
              </w:rPr>
            </w:pPr>
            <w:r w:rsidRPr="00210FB4">
              <w:rPr>
                <w:rFonts w:ascii="Times New Roman" w:hAnsi="Times New Roman" w:cs="Times New Roman"/>
                <w:i/>
                <w:sz w:val="20"/>
                <w:szCs w:val="20"/>
                <w:lang w:val="en-US"/>
              </w:rPr>
              <w:t>Tectona grandis</w:t>
            </w:r>
            <w:r w:rsidRPr="00210FB4">
              <w:rPr>
                <w:rFonts w:ascii="Times New Roman" w:hAnsi="Times New Roman" w:cs="Times New Roman"/>
                <w:sz w:val="20"/>
                <w:szCs w:val="20"/>
                <w:lang w:val="en-US"/>
              </w:rPr>
              <w:t xml:space="preserve">, </w:t>
            </w:r>
            <w:r w:rsidRPr="00210FB4">
              <w:rPr>
                <w:rFonts w:ascii="Times New Roman" w:hAnsi="Times New Roman" w:cs="Times New Roman"/>
                <w:i/>
                <w:sz w:val="20"/>
                <w:szCs w:val="20"/>
                <w:lang w:val="en-US"/>
              </w:rPr>
              <w:t>Khaya senegalensis</w:t>
            </w:r>
          </w:p>
        </w:tc>
      </w:tr>
      <w:tr w:rsidR="007475D1" w:rsidRPr="001557BB" w14:paraId="536A5ADA" w14:textId="77777777" w:rsidTr="00C13127">
        <w:trPr>
          <w:jc w:val="center"/>
        </w:trPr>
        <w:tc>
          <w:tcPr>
            <w:tcW w:w="1555" w:type="dxa"/>
            <w:vMerge/>
            <w:shd w:val="clear" w:color="auto" w:fill="E36C0A"/>
            <w:vAlign w:val="center"/>
          </w:tcPr>
          <w:p w14:paraId="7EBC24D5"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12DDED01" w14:textId="77777777" w:rsidR="007475D1" w:rsidRPr="00210FB4" w:rsidRDefault="007475D1" w:rsidP="00752D3B">
            <w:pPr>
              <w:spacing w:after="0" w:line="240" w:lineRule="auto"/>
              <w:rPr>
                <w:rFonts w:ascii="Times New Roman" w:hAnsi="Times New Roman" w:cs="Times New Roman"/>
                <w:b/>
                <w:sz w:val="20"/>
                <w:szCs w:val="20"/>
              </w:rPr>
            </w:pPr>
          </w:p>
        </w:tc>
        <w:tc>
          <w:tcPr>
            <w:tcW w:w="2429" w:type="dxa"/>
            <w:vMerge/>
            <w:shd w:val="clear" w:color="auto" w:fill="FBD4B4"/>
            <w:vAlign w:val="center"/>
          </w:tcPr>
          <w:p w14:paraId="66D9E8F2"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50CA84D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BD4B4"/>
            <w:vAlign w:val="center"/>
          </w:tcPr>
          <w:p w14:paraId="0457591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Plantation de forêt communautaire sur 3 ha à doufouli</w:t>
            </w:r>
          </w:p>
          <w:p w14:paraId="2602970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sur la protection de l'environnement et le reboisement</w:t>
            </w:r>
          </w:p>
          <w:p w14:paraId="4C69048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de pépiniéristes et d'apiculteurs</w:t>
            </w:r>
          </w:p>
          <w:p w14:paraId="73DF2A6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Action s'inspirant du plan d'Action Cantonal PAC et du Plan d'Action Villageoise PAV</w:t>
            </w:r>
          </w:p>
        </w:tc>
      </w:tr>
      <w:tr w:rsidR="007475D1" w:rsidRPr="001557BB" w14:paraId="0221D476" w14:textId="77777777" w:rsidTr="00C13127">
        <w:trPr>
          <w:jc w:val="center"/>
        </w:trPr>
        <w:tc>
          <w:tcPr>
            <w:tcW w:w="1555" w:type="dxa"/>
            <w:vMerge/>
            <w:shd w:val="clear" w:color="auto" w:fill="E36C0A"/>
            <w:vAlign w:val="center"/>
          </w:tcPr>
          <w:p w14:paraId="322C4845"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67DD4832" w14:textId="77777777" w:rsidR="007475D1" w:rsidRPr="00210FB4" w:rsidRDefault="007475D1" w:rsidP="00752D3B">
            <w:pPr>
              <w:spacing w:after="0" w:line="240" w:lineRule="auto"/>
              <w:rPr>
                <w:rFonts w:ascii="Times New Roman" w:hAnsi="Times New Roman" w:cs="Times New Roman"/>
                <w:b/>
                <w:sz w:val="20"/>
                <w:szCs w:val="20"/>
              </w:rPr>
            </w:pPr>
          </w:p>
        </w:tc>
        <w:tc>
          <w:tcPr>
            <w:tcW w:w="2429" w:type="dxa"/>
            <w:vMerge/>
            <w:shd w:val="clear" w:color="auto" w:fill="FBD4B4"/>
            <w:vAlign w:val="center"/>
          </w:tcPr>
          <w:p w14:paraId="2F278ACB"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1B04656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BD4B4"/>
            <w:vAlign w:val="center"/>
          </w:tcPr>
          <w:p w14:paraId="12B35AE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CARD : sensibilisation et formation, organisation et appui des activités</w:t>
            </w:r>
          </w:p>
          <w:p w14:paraId="05B3A0D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mise en terre et entretien, choix d'un jour consacré aux activités communautaire</w:t>
            </w:r>
          </w:p>
          <w:p w14:paraId="572D5BA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FEM : PTF</w:t>
            </w:r>
          </w:p>
        </w:tc>
      </w:tr>
      <w:tr w:rsidR="007475D1" w:rsidRPr="001557BB" w14:paraId="5E88426E" w14:textId="77777777" w:rsidTr="00C13127">
        <w:trPr>
          <w:jc w:val="center"/>
        </w:trPr>
        <w:tc>
          <w:tcPr>
            <w:tcW w:w="1555" w:type="dxa"/>
            <w:vMerge/>
            <w:shd w:val="clear" w:color="auto" w:fill="E36C0A"/>
            <w:vAlign w:val="center"/>
          </w:tcPr>
          <w:p w14:paraId="66E06E95"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4AFF416B" w14:textId="77777777" w:rsidR="007475D1" w:rsidRPr="00210FB4" w:rsidRDefault="007475D1" w:rsidP="00752D3B">
            <w:pPr>
              <w:spacing w:after="0" w:line="240" w:lineRule="auto"/>
              <w:rPr>
                <w:rFonts w:ascii="Times New Roman" w:hAnsi="Times New Roman" w:cs="Times New Roman"/>
                <w:b/>
                <w:sz w:val="20"/>
                <w:szCs w:val="20"/>
              </w:rPr>
            </w:pPr>
          </w:p>
        </w:tc>
        <w:tc>
          <w:tcPr>
            <w:tcW w:w="2429" w:type="dxa"/>
            <w:vMerge w:val="restart"/>
            <w:shd w:val="clear" w:color="auto" w:fill="FDE9D9"/>
            <w:vAlign w:val="center"/>
          </w:tcPr>
          <w:p w14:paraId="3D7D76F2"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Projet ProDRA Volet III</w:t>
            </w:r>
          </w:p>
        </w:tc>
        <w:tc>
          <w:tcPr>
            <w:tcW w:w="2287" w:type="dxa"/>
            <w:shd w:val="clear" w:color="auto" w:fill="FDE9D9"/>
            <w:vAlign w:val="center"/>
          </w:tcPr>
          <w:p w14:paraId="1148E9E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DE9D9"/>
            <w:vAlign w:val="center"/>
          </w:tcPr>
          <w:p w14:paraId="3542CB9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Essences de bois énergie (</w:t>
            </w:r>
            <w:r w:rsidRPr="00210FB4">
              <w:rPr>
                <w:rFonts w:ascii="Times New Roman" w:hAnsi="Times New Roman" w:cs="Times New Roman"/>
                <w:i/>
                <w:sz w:val="20"/>
                <w:szCs w:val="20"/>
              </w:rPr>
              <w:t>Anogeissus leiocarpus</w:t>
            </w:r>
            <w:r w:rsidRPr="00210FB4">
              <w:rPr>
                <w:rFonts w:ascii="Times New Roman" w:hAnsi="Times New Roman" w:cs="Times New Roman"/>
                <w:sz w:val="20"/>
                <w:szCs w:val="20"/>
              </w:rPr>
              <w:t xml:space="preserve">, </w:t>
            </w:r>
            <w:r w:rsidRPr="00210FB4">
              <w:rPr>
                <w:rFonts w:ascii="Times New Roman" w:hAnsi="Times New Roman" w:cs="Times New Roman"/>
                <w:i/>
                <w:sz w:val="20"/>
                <w:szCs w:val="20"/>
              </w:rPr>
              <w:t>Eurytrophleum</w:t>
            </w:r>
            <w:r w:rsidRPr="00210FB4">
              <w:rPr>
                <w:rFonts w:ascii="Times New Roman" w:hAnsi="Times New Roman" w:cs="Times New Roman"/>
                <w:sz w:val="20"/>
                <w:szCs w:val="20"/>
              </w:rPr>
              <w:t xml:space="preserve">, </w:t>
            </w:r>
            <w:r w:rsidRPr="00210FB4">
              <w:rPr>
                <w:rFonts w:ascii="Times New Roman" w:hAnsi="Times New Roman" w:cs="Times New Roman"/>
                <w:i/>
                <w:sz w:val="20"/>
                <w:szCs w:val="20"/>
              </w:rPr>
              <w:t>Senna siamea</w:t>
            </w:r>
            <w:r w:rsidRPr="00210FB4">
              <w:rPr>
                <w:rFonts w:ascii="Times New Roman" w:hAnsi="Times New Roman" w:cs="Times New Roman"/>
                <w:sz w:val="20"/>
                <w:szCs w:val="20"/>
              </w:rPr>
              <w:t xml:space="preserve">, </w:t>
            </w:r>
            <w:r w:rsidRPr="00210FB4">
              <w:rPr>
                <w:rFonts w:ascii="Times New Roman" w:hAnsi="Times New Roman" w:cs="Times New Roman"/>
                <w:i/>
                <w:sz w:val="20"/>
                <w:szCs w:val="20"/>
              </w:rPr>
              <w:t>Acacia auriculiformis</w:t>
            </w:r>
          </w:p>
        </w:tc>
      </w:tr>
      <w:tr w:rsidR="007475D1" w:rsidRPr="001557BB" w14:paraId="12789294" w14:textId="77777777" w:rsidTr="00C13127">
        <w:trPr>
          <w:jc w:val="center"/>
        </w:trPr>
        <w:tc>
          <w:tcPr>
            <w:tcW w:w="1555" w:type="dxa"/>
            <w:vMerge/>
            <w:shd w:val="clear" w:color="auto" w:fill="E36C0A"/>
            <w:vAlign w:val="center"/>
          </w:tcPr>
          <w:p w14:paraId="2C695E1D"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614C4471"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DE9D9"/>
            <w:vAlign w:val="center"/>
          </w:tcPr>
          <w:p w14:paraId="45EA8EF3"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527AC95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 Caractéristiques techniques utilisées</w:t>
            </w:r>
          </w:p>
        </w:tc>
        <w:tc>
          <w:tcPr>
            <w:tcW w:w="7333" w:type="dxa"/>
            <w:shd w:val="clear" w:color="auto" w:fill="FDE9D9"/>
            <w:vAlign w:val="center"/>
          </w:tcPr>
          <w:p w14:paraId="4B8A9F8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Cs/>
                <w:sz w:val="20"/>
                <w:szCs w:val="20"/>
              </w:rPr>
              <w:t>L’analyse de la filière bois énergie, Le renforcement de capacité des acteurs, Lobbying</w:t>
            </w:r>
          </w:p>
          <w:p w14:paraId="20174CEC"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rPr>
            </w:pPr>
            <w:r w:rsidRPr="00210FB4">
              <w:rPr>
                <w:rFonts w:ascii="Times New Roman" w:hAnsi="Times New Roman" w:cs="Times New Roman"/>
                <w:sz w:val="20"/>
                <w:szCs w:val="20"/>
              </w:rPr>
              <w:t>- sensibilisation des décideurs sur la modernisation de la CDV bois-énergie</w:t>
            </w:r>
          </w:p>
          <w:p w14:paraId="38EEC0C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Reboisement villageois individuel avec des contrats avec des propriétaires terriens et les exploitants: groupement fait le reboisement mais à l’intérieur chacun a sa parcelle qu’il gère pour son propre compte)</w:t>
            </w:r>
          </w:p>
          <w:p w14:paraId="3A66008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Approche communautaire</w:t>
            </w:r>
          </w:p>
          <w:p w14:paraId="762F5FB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xml:space="preserve"> -Système taillis (coupe 3 à 4 fois avant la révolution)</w:t>
            </w:r>
          </w:p>
        </w:tc>
      </w:tr>
      <w:tr w:rsidR="007475D1" w:rsidRPr="001557BB" w14:paraId="41CA35CF" w14:textId="77777777" w:rsidTr="00C13127">
        <w:trPr>
          <w:jc w:val="center"/>
        </w:trPr>
        <w:tc>
          <w:tcPr>
            <w:tcW w:w="1555" w:type="dxa"/>
            <w:vMerge/>
            <w:shd w:val="clear" w:color="auto" w:fill="E36C0A"/>
            <w:vAlign w:val="center"/>
          </w:tcPr>
          <w:p w14:paraId="369C052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1A7F0E73"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DE9D9"/>
            <w:vAlign w:val="center"/>
          </w:tcPr>
          <w:p w14:paraId="175A24BA"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DE9D9"/>
            <w:vAlign w:val="center"/>
          </w:tcPr>
          <w:p w14:paraId="783FA9F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DE9D9"/>
            <w:vAlign w:val="center"/>
          </w:tcPr>
          <w:p w14:paraId="3D6863F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GIZ</w:t>
            </w:r>
          </w:p>
          <w:p w14:paraId="68D0B31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MERF</w:t>
            </w:r>
          </w:p>
          <w:p w14:paraId="2973F69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Communautés des 3 régions</w:t>
            </w:r>
          </w:p>
          <w:p w14:paraId="60C8BCC6"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rPr>
            </w:pPr>
            <w:r w:rsidRPr="00210FB4">
              <w:rPr>
                <w:rFonts w:ascii="Times New Roman" w:hAnsi="Times New Roman" w:cs="Times New Roman"/>
                <w:sz w:val="20"/>
                <w:szCs w:val="20"/>
              </w:rPr>
              <w:t>- ONGs EQUINAT, CADO, APDPE, JVE, Groupement Solimbia, SYTREBACT</w:t>
            </w:r>
          </w:p>
          <w:p w14:paraId="0FFEECAC" w14:textId="77777777" w:rsidR="007475D1" w:rsidRPr="00210FB4" w:rsidRDefault="007475D1" w:rsidP="00752D3B">
            <w:pPr>
              <w:autoSpaceDE w:val="0"/>
              <w:autoSpaceDN w:val="0"/>
              <w:adjustRightInd w:val="0"/>
              <w:spacing w:after="0" w:line="240" w:lineRule="auto"/>
              <w:rPr>
                <w:rFonts w:ascii="Times New Roman" w:hAnsi="Times New Roman" w:cs="Times New Roman"/>
                <w:sz w:val="20"/>
                <w:szCs w:val="20"/>
                <w:lang w:val="en-US"/>
              </w:rPr>
            </w:pPr>
            <w:r w:rsidRPr="00210FB4">
              <w:rPr>
                <w:rFonts w:ascii="Times New Roman" w:hAnsi="Times New Roman" w:cs="Times New Roman"/>
                <w:sz w:val="20"/>
                <w:szCs w:val="20"/>
                <w:lang w:val="en-US"/>
              </w:rPr>
              <w:t>- Individus</w:t>
            </w:r>
          </w:p>
        </w:tc>
      </w:tr>
      <w:tr w:rsidR="007475D1" w:rsidRPr="001557BB" w14:paraId="5B9B80E4" w14:textId="77777777" w:rsidTr="00C13127">
        <w:trPr>
          <w:jc w:val="center"/>
        </w:trPr>
        <w:tc>
          <w:tcPr>
            <w:tcW w:w="1555" w:type="dxa"/>
            <w:vMerge/>
            <w:shd w:val="clear" w:color="auto" w:fill="E36C0A"/>
            <w:vAlign w:val="center"/>
          </w:tcPr>
          <w:p w14:paraId="057F304D"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7B6CB53D"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FBD4B4"/>
            <w:vAlign w:val="center"/>
          </w:tcPr>
          <w:p w14:paraId="1471D901"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 xml:space="preserve">Plantation privée de teck </w:t>
            </w:r>
          </w:p>
        </w:tc>
        <w:tc>
          <w:tcPr>
            <w:tcW w:w="2287" w:type="dxa"/>
            <w:shd w:val="clear" w:color="auto" w:fill="FBD4B4"/>
            <w:vAlign w:val="center"/>
          </w:tcPr>
          <w:p w14:paraId="6E9EA7F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BD4B4"/>
            <w:vAlign w:val="center"/>
          </w:tcPr>
          <w:p w14:paraId="579DCBAD" w14:textId="77777777" w:rsidR="007475D1" w:rsidRPr="00210FB4" w:rsidRDefault="007475D1" w:rsidP="00752D3B">
            <w:pPr>
              <w:spacing w:after="0" w:line="240" w:lineRule="auto"/>
              <w:rPr>
                <w:rFonts w:ascii="Times New Roman" w:hAnsi="Times New Roman" w:cs="Times New Roman"/>
                <w:i/>
                <w:color w:val="000000"/>
                <w:sz w:val="20"/>
                <w:szCs w:val="20"/>
              </w:rPr>
            </w:pPr>
            <w:r w:rsidRPr="00210FB4">
              <w:rPr>
                <w:rFonts w:ascii="Times New Roman" w:hAnsi="Times New Roman" w:cs="Times New Roman"/>
                <w:i/>
                <w:color w:val="000000"/>
                <w:sz w:val="20"/>
                <w:szCs w:val="20"/>
              </w:rPr>
              <w:t>Tectona grandis</w:t>
            </w:r>
          </w:p>
        </w:tc>
      </w:tr>
      <w:tr w:rsidR="007475D1" w:rsidRPr="001557BB" w14:paraId="6D2E5CC0" w14:textId="77777777" w:rsidTr="00C13127">
        <w:trPr>
          <w:jc w:val="center"/>
        </w:trPr>
        <w:tc>
          <w:tcPr>
            <w:tcW w:w="1555" w:type="dxa"/>
            <w:vMerge/>
            <w:shd w:val="clear" w:color="auto" w:fill="E36C0A"/>
            <w:vAlign w:val="center"/>
          </w:tcPr>
          <w:p w14:paraId="77AC8AE2"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3158FB0F"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3DA44B23"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62E34BA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BD4B4"/>
            <w:vAlign w:val="center"/>
          </w:tcPr>
          <w:p w14:paraId="44D9A8D2"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sz w:val="20"/>
                <w:szCs w:val="20"/>
              </w:rPr>
              <w:t>Plantation de</w:t>
            </w:r>
            <w:r w:rsidRPr="00210FB4">
              <w:rPr>
                <w:rFonts w:ascii="Times New Roman" w:hAnsi="Times New Roman" w:cs="Times New Roman"/>
                <w:i/>
                <w:sz w:val="20"/>
                <w:szCs w:val="20"/>
              </w:rPr>
              <w:t xml:space="preserve"> Tectona grandis </w:t>
            </w:r>
            <w:r w:rsidRPr="00210FB4">
              <w:rPr>
                <w:rFonts w:ascii="Times New Roman" w:hAnsi="Times New Roman" w:cs="Times New Roman"/>
                <w:sz w:val="20"/>
                <w:szCs w:val="20"/>
              </w:rPr>
              <w:t>sur 50 ha</w:t>
            </w:r>
          </w:p>
        </w:tc>
      </w:tr>
      <w:tr w:rsidR="007475D1" w:rsidRPr="001557BB" w14:paraId="7833A21C" w14:textId="77777777" w:rsidTr="00C13127">
        <w:trPr>
          <w:jc w:val="center"/>
        </w:trPr>
        <w:tc>
          <w:tcPr>
            <w:tcW w:w="1555" w:type="dxa"/>
            <w:vMerge/>
            <w:shd w:val="clear" w:color="auto" w:fill="E36C0A"/>
            <w:vAlign w:val="center"/>
          </w:tcPr>
          <w:p w14:paraId="26A91123"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3F032808"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BD4B4"/>
            <w:vAlign w:val="center"/>
          </w:tcPr>
          <w:p w14:paraId="77239D36"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BD4B4"/>
            <w:vAlign w:val="center"/>
          </w:tcPr>
          <w:p w14:paraId="2C53067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BD4B4"/>
            <w:vAlign w:val="center"/>
          </w:tcPr>
          <w:p w14:paraId="082B179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Privée (M Nimon)</w:t>
            </w:r>
          </w:p>
        </w:tc>
      </w:tr>
      <w:tr w:rsidR="007475D1" w:rsidRPr="001557BB" w14:paraId="0FE2E3F2" w14:textId="77777777" w:rsidTr="00C13127">
        <w:trPr>
          <w:jc w:val="center"/>
        </w:trPr>
        <w:tc>
          <w:tcPr>
            <w:tcW w:w="1555" w:type="dxa"/>
            <w:vMerge/>
            <w:shd w:val="clear" w:color="auto" w:fill="E36C0A"/>
            <w:vAlign w:val="center"/>
          </w:tcPr>
          <w:p w14:paraId="6FDF1237"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5BCAC688"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FABF8F"/>
            <w:vAlign w:val="center"/>
          </w:tcPr>
          <w:p w14:paraId="0D2F47A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Plantation privée d'Anacardium occidentalae avec une ceinture d'eucalyptus à Yokpate (préfecture de Cinkassé)</w:t>
            </w:r>
          </w:p>
          <w:p w14:paraId="69DD330D"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65FC61F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FABF8F"/>
            <w:vAlign w:val="center"/>
          </w:tcPr>
          <w:p w14:paraId="1E467428" w14:textId="77777777" w:rsidR="007475D1" w:rsidRPr="00210FB4" w:rsidRDefault="007475D1" w:rsidP="00752D3B">
            <w:pPr>
              <w:spacing w:after="0" w:line="240" w:lineRule="auto"/>
              <w:rPr>
                <w:rFonts w:ascii="Times New Roman" w:hAnsi="Times New Roman" w:cs="Times New Roman"/>
                <w:i/>
                <w:sz w:val="20"/>
                <w:szCs w:val="20"/>
                <w:lang w:val="en-US"/>
              </w:rPr>
            </w:pPr>
            <w:r w:rsidRPr="00210FB4">
              <w:rPr>
                <w:rFonts w:ascii="Times New Roman" w:hAnsi="Times New Roman" w:cs="Times New Roman"/>
                <w:i/>
                <w:sz w:val="20"/>
                <w:szCs w:val="20"/>
                <w:lang w:val="en-US"/>
              </w:rPr>
              <w:t>Anacardium occidentale, Eucalyptus Spp</w:t>
            </w:r>
          </w:p>
        </w:tc>
      </w:tr>
      <w:tr w:rsidR="007475D1" w:rsidRPr="001557BB" w14:paraId="2C4FA2CD" w14:textId="77777777" w:rsidTr="00C13127">
        <w:trPr>
          <w:jc w:val="center"/>
        </w:trPr>
        <w:tc>
          <w:tcPr>
            <w:tcW w:w="1555" w:type="dxa"/>
            <w:vMerge/>
            <w:shd w:val="clear" w:color="auto" w:fill="E36C0A"/>
            <w:vAlign w:val="center"/>
          </w:tcPr>
          <w:p w14:paraId="0E4F8459"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1B94FE1C"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ABF8F"/>
            <w:vAlign w:val="center"/>
          </w:tcPr>
          <w:p w14:paraId="3DE53F5B"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1EBC4EF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FABF8F"/>
            <w:vAlign w:val="center"/>
          </w:tcPr>
          <w:p w14:paraId="392E297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sur les bienfaits du reboisement et les méfaits des feux de brousse</w:t>
            </w:r>
          </w:p>
          <w:p w14:paraId="3AF92B2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Identification et formation  de planteurs ou reboiseurs volontaires</w:t>
            </w:r>
          </w:p>
          <w:p w14:paraId="03F9FD4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Plantation d’</w:t>
            </w:r>
            <w:r w:rsidRPr="00210FB4">
              <w:rPr>
                <w:rFonts w:ascii="Times New Roman" w:hAnsi="Times New Roman" w:cs="Times New Roman"/>
                <w:i/>
                <w:sz w:val="20"/>
                <w:szCs w:val="20"/>
              </w:rPr>
              <w:t xml:space="preserve">Anacardium </w:t>
            </w:r>
            <w:r w:rsidRPr="00210FB4">
              <w:rPr>
                <w:rFonts w:ascii="Times New Roman" w:hAnsi="Times New Roman" w:cs="Times New Roman"/>
                <w:sz w:val="20"/>
                <w:szCs w:val="20"/>
              </w:rPr>
              <w:t>sur 2 ha</w:t>
            </w:r>
          </w:p>
          <w:p w14:paraId="2876021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Mise en place d’une ceinture d'eucalyptus</w:t>
            </w:r>
          </w:p>
          <w:p w14:paraId="523A941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Mise en place de fil de fer barbelé de protection</w:t>
            </w:r>
          </w:p>
        </w:tc>
      </w:tr>
      <w:tr w:rsidR="007475D1" w:rsidRPr="001557BB" w14:paraId="17A572EA" w14:textId="77777777" w:rsidTr="00C13127">
        <w:trPr>
          <w:jc w:val="center"/>
        </w:trPr>
        <w:tc>
          <w:tcPr>
            <w:tcW w:w="1555" w:type="dxa"/>
            <w:vMerge/>
            <w:shd w:val="clear" w:color="auto" w:fill="E36C0A"/>
            <w:vAlign w:val="center"/>
          </w:tcPr>
          <w:p w14:paraId="06255CA8"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FDE9D9"/>
            <w:vAlign w:val="center"/>
          </w:tcPr>
          <w:p w14:paraId="626045C3"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FABF8F"/>
            <w:vAlign w:val="center"/>
          </w:tcPr>
          <w:p w14:paraId="2261348A"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FABF8F"/>
            <w:vAlign w:val="center"/>
          </w:tcPr>
          <w:p w14:paraId="06295EC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FABF8F"/>
            <w:vAlign w:val="center"/>
          </w:tcPr>
          <w:p w14:paraId="7C2617E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KPAAL NPAAG : sensibilisation des populations et Formation en pépinière, appui des bénéficiaires dans la mise en terre</w:t>
            </w:r>
          </w:p>
          <w:p w14:paraId="5C6F5B9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DPE : fourniture des essences</w:t>
            </w:r>
          </w:p>
          <w:p w14:paraId="371ABBD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Bénéficiaires : contribution à l'achat des plants, mise en terre et entretien</w:t>
            </w:r>
          </w:p>
        </w:tc>
      </w:tr>
      <w:tr w:rsidR="007475D1" w:rsidRPr="001557BB" w14:paraId="27B86AE2" w14:textId="77777777" w:rsidTr="00C13127">
        <w:trPr>
          <w:jc w:val="center"/>
        </w:trPr>
        <w:tc>
          <w:tcPr>
            <w:tcW w:w="1555" w:type="dxa"/>
            <w:vMerge w:val="restart"/>
            <w:shd w:val="clear" w:color="auto" w:fill="31849B"/>
            <w:vAlign w:val="center"/>
          </w:tcPr>
          <w:p w14:paraId="413630E2"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bCs/>
                <w:sz w:val="20"/>
                <w:szCs w:val="20"/>
              </w:rPr>
              <w:t>Terres cultivées/Terres agricoles</w:t>
            </w:r>
          </w:p>
        </w:tc>
        <w:tc>
          <w:tcPr>
            <w:tcW w:w="1417" w:type="dxa"/>
            <w:vMerge w:val="restart"/>
            <w:shd w:val="clear" w:color="auto" w:fill="92CDDC"/>
            <w:vAlign w:val="center"/>
          </w:tcPr>
          <w:p w14:paraId="56FE1894"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r w:rsidRPr="00210FB4">
              <w:rPr>
                <w:rFonts w:ascii="Times New Roman" w:hAnsi="Times New Roman" w:cs="Times New Roman"/>
                <w:b/>
                <w:sz w:val="20"/>
                <w:szCs w:val="20"/>
                <w:shd w:val="clear" w:color="auto" w:fill="92CDDC"/>
              </w:rPr>
              <w:t>A</w:t>
            </w:r>
            <w:r w:rsidRPr="00210FB4">
              <w:rPr>
                <w:rFonts w:ascii="Times New Roman" w:hAnsi="Times New Roman" w:cs="Times New Roman"/>
                <w:b/>
                <w:sz w:val="20"/>
                <w:szCs w:val="20"/>
              </w:rPr>
              <w:t>groforesterie</w:t>
            </w:r>
          </w:p>
        </w:tc>
        <w:tc>
          <w:tcPr>
            <w:tcW w:w="2429" w:type="dxa"/>
            <w:vMerge w:val="restart"/>
            <w:shd w:val="clear" w:color="auto" w:fill="B6DDE8"/>
            <w:vAlign w:val="center"/>
          </w:tcPr>
          <w:p w14:paraId="6D01D4BB"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Valorisation des grains de karité dans la région centrale</w:t>
            </w:r>
          </w:p>
        </w:tc>
        <w:tc>
          <w:tcPr>
            <w:tcW w:w="2287" w:type="dxa"/>
            <w:shd w:val="clear" w:color="auto" w:fill="B6DDE8"/>
            <w:vAlign w:val="center"/>
          </w:tcPr>
          <w:p w14:paraId="7A4B0A8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B6DDE8"/>
            <w:vAlign w:val="center"/>
          </w:tcPr>
          <w:p w14:paraId="2BDF11BE" w14:textId="77777777" w:rsidR="007475D1" w:rsidRPr="00210FB4" w:rsidRDefault="007475D1" w:rsidP="00752D3B">
            <w:pPr>
              <w:spacing w:after="0" w:line="240" w:lineRule="auto"/>
              <w:rPr>
                <w:rFonts w:ascii="Times New Roman" w:hAnsi="Times New Roman" w:cs="Times New Roman"/>
                <w:i/>
                <w:sz w:val="20"/>
                <w:szCs w:val="20"/>
                <w:lang w:val="en-US"/>
              </w:rPr>
            </w:pPr>
            <w:r w:rsidRPr="00210FB4">
              <w:rPr>
                <w:rFonts w:ascii="Times New Roman" w:hAnsi="Times New Roman" w:cs="Times New Roman"/>
                <w:i/>
                <w:sz w:val="20"/>
                <w:szCs w:val="20"/>
                <w:lang w:val="en-US"/>
              </w:rPr>
              <w:t>Vitellaria paradoxa</w:t>
            </w:r>
          </w:p>
        </w:tc>
      </w:tr>
      <w:tr w:rsidR="007475D1" w:rsidRPr="001557BB" w14:paraId="5FD9E994" w14:textId="77777777" w:rsidTr="00C13127">
        <w:trPr>
          <w:jc w:val="center"/>
        </w:trPr>
        <w:tc>
          <w:tcPr>
            <w:tcW w:w="1555" w:type="dxa"/>
            <w:vMerge/>
            <w:shd w:val="clear" w:color="auto" w:fill="31849B"/>
            <w:vAlign w:val="center"/>
          </w:tcPr>
          <w:p w14:paraId="68E9372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55F64902"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B6DDE8"/>
            <w:vAlign w:val="center"/>
          </w:tcPr>
          <w:p w14:paraId="645BAA24"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B6DDE8"/>
            <w:vAlign w:val="center"/>
          </w:tcPr>
          <w:p w14:paraId="2B9B0DC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B6DDE8"/>
            <w:vAlign w:val="center"/>
          </w:tcPr>
          <w:p w14:paraId="766D72C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pour sa conservation, plantation par le biais des pépinières,</w:t>
            </w:r>
          </w:p>
        </w:tc>
      </w:tr>
      <w:tr w:rsidR="007475D1" w:rsidRPr="001557BB" w14:paraId="10D60818" w14:textId="77777777" w:rsidTr="00C13127">
        <w:trPr>
          <w:jc w:val="center"/>
        </w:trPr>
        <w:tc>
          <w:tcPr>
            <w:tcW w:w="1555" w:type="dxa"/>
            <w:vMerge/>
            <w:shd w:val="clear" w:color="auto" w:fill="31849B"/>
            <w:vAlign w:val="center"/>
          </w:tcPr>
          <w:p w14:paraId="45E2BB24"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26322EE5"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B6DDE8"/>
            <w:vAlign w:val="center"/>
          </w:tcPr>
          <w:p w14:paraId="6E3DC05C"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B6DDE8"/>
            <w:vAlign w:val="center"/>
          </w:tcPr>
          <w:p w14:paraId="520979F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B6DDE8"/>
            <w:vAlign w:val="center"/>
          </w:tcPr>
          <w:p w14:paraId="5098CBF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Les ONG AE2D, Alafia et Inades Formation,</w:t>
            </w:r>
          </w:p>
        </w:tc>
      </w:tr>
      <w:tr w:rsidR="007475D1" w:rsidRPr="001557BB" w14:paraId="6F3237D1" w14:textId="77777777" w:rsidTr="00C13127">
        <w:trPr>
          <w:jc w:val="center"/>
        </w:trPr>
        <w:tc>
          <w:tcPr>
            <w:tcW w:w="1555" w:type="dxa"/>
            <w:vMerge/>
            <w:shd w:val="clear" w:color="auto" w:fill="31849B"/>
            <w:vAlign w:val="center"/>
          </w:tcPr>
          <w:p w14:paraId="7E014520"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11C5D69D"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DAEEF3"/>
            <w:vAlign w:val="center"/>
          </w:tcPr>
          <w:p w14:paraId="6DC6ED6B"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Installation des agroforêts à cacaoyers à Dedome</w:t>
            </w:r>
          </w:p>
          <w:p w14:paraId="038F1E68"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248E2B1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DAEEF3"/>
            <w:vAlign w:val="center"/>
          </w:tcPr>
          <w:p w14:paraId="7D16CFE3"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 xml:space="preserve">Theobroma cacao associé aux Musa. D’autres </w:t>
            </w:r>
            <w:r w:rsidRPr="00210FB4">
              <w:rPr>
                <w:rFonts w:ascii="Times New Roman" w:hAnsi="Times New Roman" w:cs="Times New Roman"/>
                <w:sz w:val="20"/>
                <w:szCs w:val="20"/>
              </w:rPr>
              <w:t xml:space="preserve"> espèces sont préconisées dans les exploitations cacaoyères au Togo pour l’ombrage/fertilisation sont </w:t>
            </w:r>
            <w:r w:rsidRPr="00210FB4">
              <w:rPr>
                <w:rFonts w:ascii="Times New Roman" w:hAnsi="Times New Roman" w:cs="Times New Roman"/>
                <w:i/>
                <w:sz w:val="20"/>
                <w:szCs w:val="20"/>
              </w:rPr>
              <w:t xml:space="preserve">Samanea saman, Albizia lebbeck, Albizia zygia ; Albizia adianthifolia, Albizia ferruginea, Terminalia superba, Erythrophleum guineensis </w:t>
            </w:r>
            <w:r w:rsidRPr="00210FB4">
              <w:rPr>
                <w:rFonts w:ascii="Times New Roman" w:hAnsi="Times New Roman" w:cs="Times New Roman"/>
                <w:sz w:val="20"/>
                <w:szCs w:val="20"/>
              </w:rPr>
              <w:t xml:space="preserve">et </w:t>
            </w:r>
            <w:r w:rsidRPr="00210FB4">
              <w:rPr>
                <w:rFonts w:ascii="Times New Roman" w:hAnsi="Times New Roman" w:cs="Times New Roman"/>
                <w:i/>
                <w:sz w:val="20"/>
                <w:szCs w:val="20"/>
              </w:rPr>
              <w:t>Khaya grandifoliola.</w:t>
            </w:r>
          </w:p>
        </w:tc>
      </w:tr>
      <w:tr w:rsidR="007475D1" w:rsidRPr="001557BB" w14:paraId="10F341CA" w14:textId="77777777" w:rsidTr="00C13127">
        <w:trPr>
          <w:jc w:val="center"/>
        </w:trPr>
        <w:tc>
          <w:tcPr>
            <w:tcW w:w="1555" w:type="dxa"/>
            <w:vMerge/>
            <w:shd w:val="clear" w:color="auto" w:fill="31849B"/>
            <w:vAlign w:val="center"/>
          </w:tcPr>
          <w:p w14:paraId="74942C9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738034DC"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DAEEF3"/>
            <w:vAlign w:val="center"/>
          </w:tcPr>
          <w:p w14:paraId="1878D42F"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6E70D71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Activités</w:t>
            </w:r>
          </w:p>
          <w:p w14:paraId="79F8097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DAEEF3"/>
            <w:vAlign w:val="center"/>
          </w:tcPr>
          <w:p w14:paraId="3B8FBCA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lang w:val="es-ES_tradnl"/>
              </w:rPr>
              <w:t xml:space="preserve">1320 pieds/ha (3 m x 2,5m). </w:t>
            </w:r>
            <w:r w:rsidRPr="00210FB4">
              <w:rPr>
                <w:rFonts w:ascii="Times New Roman" w:hAnsi="Times New Roman" w:cs="Times New Roman"/>
                <w:sz w:val="20"/>
                <w:szCs w:val="20"/>
              </w:rPr>
              <w:t>En première année d’installation le nombre d’arbre d’ombrage/fertilitaire est de 100 arbres/ha (arbres de jeune âge) dont 28 arbres de 3</w:t>
            </w:r>
            <w:r w:rsidRPr="00210FB4">
              <w:rPr>
                <w:rFonts w:ascii="Times New Roman" w:hAnsi="Times New Roman" w:cs="Times New Roman"/>
                <w:sz w:val="20"/>
                <w:szCs w:val="20"/>
                <w:vertAlign w:val="superscript"/>
              </w:rPr>
              <w:t>ème</w:t>
            </w:r>
            <w:r w:rsidRPr="00210FB4">
              <w:rPr>
                <w:rFonts w:ascii="Times New Roman" w:hAnsi="Times New Roman" w:cs="Times New Roman"/>
                <w:sz w:val="20"/>
                <w:szCs w:val="20"/>
              </w:rPr>
              <w:t xml:space="preserve"> étage et 72 de 2</w:t>
            </w:r>
            <w:r w:rsidRPr="00210FB4">
              <w:rPr>
                <w:rFonts w:ascii="Times New Roman" w:hAnsi="Times New Roman" w:cs="Times New Roman"/>
                <w:sz w:val="20"/>
                <w:szCs w:val="20"/>
                <w:vertAlign w:val="superscript"/>
              </w:rPr>
              <w:t>ème</w:t>
            </w:r>
            <w:r w:rsidRPr="00210FB4">
              <w:rPr>
                <w:rFonts w:ascii="Times New Roman" w:hAnsi="Times New Roman" w:cs="Times New Roman"/>
                <w:sz w:val="20"/>
                <w:szCs w:val="20"/>
              </w:rPr>
              <w:t xml:space="preserve"> étage associer aux Musa (5m x 6m) si la plantation est installée en plein soleil. C’est une densité assez forte au début qui sera réduite suivant les années. </w:t>
            </w:r>
          </w:p>
          <w:p w14:paraId="144407F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xml:space="preserve">A l’auto-ombrage du </w:t>
            </w:r>
            <w:r w:rsidRPr="00210FB4">
              <w:rPr>
                <w:rFonts w:ascii="Times New Roman" w:hAnsi="Times New Roman" w:cs="Times New Roman"/>
                <w:i/>
                <w:sz w:val="20"/>
                <w:szCs w:val="20"/>
              </w:rPr>
              <w:t>Theobroma cacao</w:t>
            </w:r>
            <w:r w:rsidRPr="00210FB4">
              <w:rPr>
                <w:rFonts w:ascii="Times New Roman" w:hAnsi="Times New Roman" w:cs="Times New Roman"/>
                <w:sz w:val="20"/>
                <w:szCs w:val="20"/>
              </w:rPr>
              <w:t xml:space="preserve"> (4 à 8 ans en fonction de la qualité du sol), on procède à la première éclaircie en réduisant le nombre de chaque étage de moitié. Au final, on conduit les éclaircies de telle manière que la couverture au sol des arbres donne un ombrage total (les houppiers des arbres d’ombrage se touchent sans se chevaucher), en ce moment leur effectif sera autour de 25 dont 7 à 8 arbres de 3</w:t>
            </w:r>
            <w:r w:rsidRPr="00210FB4">
              <w:rPr>
                <w:rFonts w:ascii="Times New Roman" w:hAnsi="Times New Roman" w:cs="Times New Roman"/>
                <w:sz w:val="20"/>
                <w:szCs w:val="20"/>
                <w:vertAlign w:val="superscript"/>
              </w:rPr>
              <w:t>ème</w:t>
            </w:r>
            <w:r w:rsidRPr="00210FB4">
              <w:rPr>
                <w:rFonts w:ascii="Times New Roman" w:hAnsi="Times New Roman" w:cs="Times New Roman"/>
                <w:sz w:val="20"/>
                <w:szCs w:val="20"/>
              </w:rPr>
              <w:t xml:space="preserve"> étage.</w:t>
            </w:r>
          </w:p>
        </w:tc>
      </w:tr>
      <w:tr w:rsidR="007475D1" w:rsidRPr="001557BB" w14:paraId="40519E04" w14:textId="77777777" w:rsidTr="00C13127">
        <w:trPr>
          <w:jc w:val="center"/>
        </w:trPr>
        <w:tc>
          <w:tcPr>
            <w:tcW w:w="1555" w:type="dxa"/>
            <w:vMerge/>
            <w:shd w:val="clear" w:color="auto" w:fill="31849B"/>
            <w:vAlign w:val="center"/>
          </w:tcPr>
          <w:p w14:paraId="5F2FA3C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41AB928A"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DAEEF3"/>
            <w:vAlign w:val="center"/>
          </w:tcPr>
          <w:p w14:paraId="6E219245"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18F54E9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DAEEF3"/>
            <w:vAlign w:val="center"/>
          </w:tcPr>
          <w:p w14:paraId="15D5A61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ICAT et société coopérative des producteurs de café-cacao</w:t>
            </w:r>
          </w:p>
        </w:tc>
      </w:tr>
      <w:tr w:rsidR="007475D1" w:rsidRPr="001557BB" w14:paraId="3AE3885E" w14:textId="77777777" w:rsidTr="00C13127">
        <w:trPr>
          <w:jc w:val="center"/>
        </w:trPr>
        <w:tc>
          <w:tcPr>
            <w:tcW w:w="1555" w:type="dxa"/>
            <w:vMerge/>
            <w:shd w:val="clear" w:color="auto" w:fill="31849B"/>
            <w:vAlign w:val="center"/>
          </w:tcPr>
          <w:p w14:paraId="1627DB3E"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1212A08F"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92CDDC"/>
            <w:vAlign w:val="center"/>
          </w:tcPr>
          <w:p w14:paraId="6FA648EA"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Installation des agroforêts à cafetiers à Sodozion</w:t>
            </w:r>
          </w:p>
          <w:p w14:paraId="59483756"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92CDDC"/>
            <w:vAlign w:val="center"/>
          </w:tcPr>
          <w:p w14:paraId="427FC1A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92CDDC"/>
            <w:vAlign w:val="center"/>
          </w:tcPr>
          <w:p w14:paraId="3A35BEBF"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 xml:space="preserve">cafetiers associés aux Musa. D’autres </w:t>
            </w:r>
            <w:r w:rsidRPr="00210FB4">
              <w:rPr>
                <w:rFonts w:ascii="Times New Roman" w:hAnsi="Times New Roman" w:cs="Times New Roman"/>
                <w:sz w:val="20"/>
                <w:szCs w:val="20"/>
              </w:rPr>
              <w:t xml:space="preserve"> espèces sont préconisées dans les exploitations cacaoyères au Togo pour l’ombrage/fertilisation sont  </w:t>
            </w:r>
            <w:r w:rsidRPr="00210FB4">
              <w:rPr>
                <w:rFonts w:ascii="Times New Roman" w:hAnsi="Times New Roman" w:cs="Times New Roman"/>
                <w:i/>
                <w:sz w:val="20"/>
                <w:szCs w:val="20"/>
              </w:rPr>
              <w:t xml:space="preserve">Samanea saman, Albizia lebbeck, Albizia zygia ; Albizia adiantifolia, Albizia ferruginea, Terminalia superba, Erythrophleum guineensis </w:t>
            </w:r>
            <w:r w:rsidRPr="00210FB4">
              <w:rPr>
                <w:rFonts w:ascii="Times New Roman" w:hAnsi="Times New Roman" w:cs="Times New Roman"/>
                <w:sz w:val="20"/>
                <w:szCs w:val="20"/>
              </w:rPr>
              <w:t xml:space="preserve">et </w:t>
            </w:r>
            <w:r w:rsidRPr="00210FB4">
              <w:rPr>
                <w:rFonts w:ascii="Times New Roman" w:hAnsi="Times New Roman" w:cs="Times New Roman"/>
                <w:i/>
                <w:sz w:val="20"/>
                <w:szCs w:val="20"/>
              </w:rPr>
              <w:t>Khaya grandifoliola.</w:t>
            </w:r>
          </w:p>
        </w:tc>
      </w:tr>
      <w:tr w:rsidR="007475D1" w:rsidRPr="001557BB" w14:paraId="0F54EBC9" w14:textId="77777777" w:rsidTr="00C13127">
        <w:trPr>
          <w:jc w:val="center"/>
        </w:trPr>
        <w:tc>
          <w:tcPr>
            <w:tcW w:w="1555" w:type="dxa"/>
            <w:vMerge/>
            <w:shd w:val="clear" w:color="auto" w:fill="31849B"/>
            <w:vAlign w:val="center"/>
          </w:tcPr>
          <w:p w14:paraId="45F355F7"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2335BA13"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92CDDC"/>
            <w:vAlign w:val="center"/>
          </w:tcPr>
          <w:p w14:paraId="5F304078"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92CDDC"/>
            <w:vAlign w:val="center"/>
          </w:tcPr>
          <w:p w14:paraId="5926261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92CDDC"/>
            <w:vAlign w:val="center"/>
          </w:tcPr>
          <w:p w14:paraId="278F384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lang w:val="es-ES_tradnl"/>
              </w:rPr>
              <w:t xml:space="preserve">1284 pieds/ha (3m x3m en quinconce). </w:t>
            </w:r>
            <w:r w:rsidRPr="00210FB4">
              <w:rPr>
                <w:rFonts w:ascii="Times New Roman" w:hAnsi="Times New Roman" w:cs="Times New Roman"/>
                <w:sz w:val="20"/>
                <w:szCs w:val="20"/>
              </w:rPr>
              <w:t>En première année d’installation le nombre d’arbre d’ombrage/fertilitaire est de 100 arbres/ha (arbres de jeune âge) dont 28 arbres de 3</w:t>
            </w:r>
            <w:r w:rsidRPr="00210FB4">
              <w:rPr>
                <w:rFonts w:ascii="Times New Roman" w:hAnsi="Times New Roman" w:cs="Times New Roman"/>
                <w:sz w:val="20"/>
                <w:szCs w:val="20"/>
                <w:vertAlign w:val="superscript"/>
              </w:rPr>
              <w:t>ème</w:t>
            </w:r>
            <w:r w:rsidRPr="00210FB4">
              <w:rPr>
                <w:rFonts w:ascii="Times New Roman" w:hAnsi="Times New Roman" w:cs="Times New Roman"/>
                <w:sz w:val="20"/>
                <w:szCs w:val="20"/>
              </w:rPr>
              <w:t xml:space="preserve"> étage et 72 de 2</w:t>
            </w:r>
            <w:r w:rsidRPr="00210FB4">
              <w:rPr>
                <w:rFonts w:ascii="Times New Roman" w:hAnsi="Times New Roman" w:cs="Times New Roman"/>
                <w:sz w:val="20"/>
                <w:szCs w:val="20"/>
                <w:vertAlign w:val="superscript"/>
              </w:rPr>
              <w:t>ème</w:t>
            </w:r>
            <w:r w:rsidRPr="00210FB4">
              <w:rPr>
                <w:rFonts w:ascii="Times New Roman" w:hAnsi="Times New Roman" w:cs="Times New Roman"/>
                <w:sz w:val="20"/>
                <w:szCs w:val="20"/>
              </w:rPr>
              <w:t xml:space="preserve"> étage associer aux plantains (5m x 6m) si la plantation est installée en plein soleil. C’est une densité assez forte au début qui sera réduite suivant les années. </w:t>
            </w:r>
          </w:p>
          <w:p w14:paraId="3C6F27C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xml:space="preserve">A l’auto-ombrage du </w:t>
            </w:r>
            <w:r w:rsidRPr="00210FB4">
              <w:rPr>
                <w:rFonts w:ascii="Times New Roman" w:hAnsi="Times New Roman" w:cs="Times New Roman"/>
                <w:i/>
                <w:sz w:val="20"/>
                <w:szCs w:val="20"/>
              </w:rPr>
              <w:t>Theobroma cacao</w:t>
            </w:r>
            <w:r w:rsidRPr="00210FB4">
              <w:rPr>
                <w:rFonts w:ascii="Times New Roman" w:hAnsi="Times New Roman" w:cs="Times New Roman"/>
                <w:sz w:val="20"/>
                <w:szCs w:val="20"/>
              </w:rPr>
              <w:t xml:space="preserve"> (4 à 8 ans en fonction de la qualité du sol), on procède à la première éclaircie en réduisant le nombre de chaque étage de moitié. Au final, on conduit les éclaircies de telle manière que la couverture au sol des arbres donne un ombrage total (les houppiers des arbres d’ombrage se touchent sans se chevaucher), en ce moment leur effectif sera autour de 25 dont 7 à 8 arbres de 3</w:t>
            </w:r>
            <w:r w:rsidRPr="00210FB4">
              <w:rPr>
                <w:rFonts w:ascii="Times New Roman" w:hAnsi="Times New Roman" w:cs="Times New Roman"/>
                <w:sz w:val="20"/>
                <w:szCs w:val="20"/>
                <w:vertAlign w:val="superscript"/>
              </w:rPr>
              <w:t>ème</w:t>
            </w:r>
            <w:r w:rsidRPr="00210FB4">
              <w:rPr>
                <w:rFonts w:ascii="Times New Roman" w:hAnsi="Times New Roman" w:cs="Times New Roman"/>
                <w:sz w:val="20"/>
                <w:szCs w:val="20"/>
              </w:rPr>
              <w:t xml:space="preserve"> étage.</w:t>
            </w:r>
          </w:p>
        </w:tc>
      </w:tr>
      <w:tr w:rsidR="007475D1" w:rsidRPr="001557BB" w14:paraId="2111056B" w14:textId="77777777" w:rsidTr="00C13127">
        <w:trPr>
          <w:jc w:val="center"/>
        </w:trPr>
        <w:tc>
          <w:tcPr>
            <w:tcW w:w="1555" w:type="dxa"/>
            <w:vMerge/>
            <w:shd w:val="clear" w:color="auto" w:fill="31849B"/>
            <w:vAlign w:val="center"/>
          </w:tcPr>
          <w:p w14:paraId="47E63B3C"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667B55FF"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92CDDC"/>
            <w:vAlign w:val="center"/>
          </w:tcPr>
          <w:p w14:paraId="249EF260"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92CDDC"/>
            <w:vAlign w:val="center"/>
          </w:tcPr>
          <w:p w14:paraId="00C5257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92CDDC"/>
            <w:vAlign w:val="center"/>
          </w:tcPr>
          <w:p w14:paraId="263A2E5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ICAT et société coopérative des producteurs de café-cacao</w:t>
            </w:r>
          </w:p>
        </w:tc>
      </w:tr>
      <w:tr w:rsidR="007475D1" w:rsidRPr="001557BB" w14:paraId="2E1049BA" w14:textId="77777777" w:rsidTr="00C13127">
        <w:trPr>
          <w:jc w:val="center"/>
        </w:trPr>
        <w:tc>
          <w:tcPr>
            <w:tcW w:w="1555" w:type="dxa"/>
            <w:vMerge/>
            <w:shd w:val="clear" w:color="auto" w:fill="31849B"/>
            <w:vAlign w:val="center"/>
          </w:tcPr>
          <w:p w14:paraId="2509AD3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7F4779F9"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B6DDE8"/>
            <w:vAlign w:val="center"/>
          </w:tcPr>
          <w:p w14:paraId="741F3D3A" w14:textId="77777777" w:rsidR="007475D1" w:rsidRPr="00210FB4" w:rsidRDefault="007475D1" w:rsidP="00752D3B">
            <w:pPr>
              <w:tabs>
                <w:tab w:val="left" w:pos="2461"/>
              </w:tabs>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Protection et restauration de la biodiversité à travers la promotion de l'apiculture à Kati</w:t>
            </w:r>
          </w:p>
          <w:p w14:paraId="6D7CD4BA"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B6DDE8"/>
            <w:vAlign w:val="center"/>
          </w:tcPr>
          <w:p w14:paraId="68F9CAB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B6DDE8"/>
            <w:vAlign w:val="center"/>
          </w:tcPr>
          <w:p w14:paraId="51E3DFDF"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Anacardium occidentale, Vitellaria paradoxa, Moringa oleifera, Tectona grandis, Parkia biglobosa, Dialium guineense</w:t>
            </w:r>
          </w:p>
        </w:tc>
      </w:tr>
      <w:tr w:rsidR="007475D1" w:rsidRPr="001557BB" w14:paraId="64C4558B" w14:textId="77777777" w:rsidTr="00C13127">
        <w:trPr>
          <w:jc w:val="center"/>
        </w:trPr>
        <w:tc>
          <w:tcPr>
            <w:tcW w:w="1555" w:type="dxa"/>
            <w:vMerge/>
            <w:shd w:val="clear" w:color="auto" w:fill="31849B"/>
            <w:vAlign w:val="center"/>
          </w:tcPr>
          <w:p w14:paraId="41E924A2"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282F404E"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B6DDE8"/>
            <w:vAlign w:val="center"/>
          </w:tcPr>
          <w:p w14:paraId="37C2C7EE"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B6DDE8"/>
            <w:vAlign w:val="center"/>
          </w:tcPr>
          <w:p w14:paraId="467CB5E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B6DDE8"/>
            <w:vAlign w:val="center"/>
          </w:tcPr>
          <w:p w14:paraId="395B1A7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populations</w:t>
            </w:r>
          </w:p>
          <w:p w14:paraId="7713F06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en AGR apiculture/Don de ruches en ciment</w:t>
            </w:r>
          </w:p>
          <w:p w14:paraId="52FA3B5E" w14:textId="77777777" w:rsidR="007475D1" w:rsidRPr="00210FB4" w:rsidRDefault="007475D1" w:rsidP="00752D3B">
            <w:pPr>
              <w:spacing w:after="0" w:line="240" w:lineRule="auto"/>
              <w:rPr>
                <w:rFonts w:ascii="Times New Roman" w:hAnsi="Times New Roman" w:cs="Times New Roman"/>
                <w:i/>
                <w:sz w:val="20"/>
                <w:szCs w:val="20"/>
                <w:lang w:val="es-ES_tradnl"/>
              </w:rPr>
            </w:pPr>
          </w:p>
        </w:tc>
      </w:tr>
      <w:tr w:rsidR="007475D1" w:rsidRPr="001557BB" w14:paraId="4FBD8F41" w14:textId="77777777" w:rsidTr="00C13127">
        <w:trPr>
          <w:jc w:val="center"/>
        </w:trPr>
        <w:tc>
          <w:tcPr>
            <w:tcW w:w="1555" w:type="dxa"/>
            <w:vMerge/>
            <w:shd w:val="clear" w:color="auto" w:fill="31849B"/>
            <w:vAlign w:val="center"/>
          </w:tcPr>
          <w:p w14:paraId="5B12B1E0" w14:textId="77777777" w:rsidR="007475D1" w:rsidRPr="00210FB4" w:rsidRDefault="007475D1" w:rsidP="00752D3B">
            <w:pPr>
              <w:spacing w:after="0" w:line="240" w:lineRule="auto"/>
              <w:rPr>
                <w:rFonts w:ascii="Times New Roman" w:hAnsi="Times New Roman" w:cs="Times New Roman"/>
                <w:b/>
                <w:sz w:val="20"/>
                <w:szCs w:val="20"/>
                <w:lang w:val="es-ES_tradnl"/>
              </w:rPr>
            </w:pPr>
          </w:p>
        </w:tc>
        <w:tc>
          <w:tcPr>
            <w:tcW w:w="1417" w:type="dxa"/>
            <w:vMerge/>
            <w:shd w:val="clear" w:color="auto" w:fill="92CDDC"/>
            <w:vAlign w:val="center"/>
          </w:tcPr>
          <w:p w14:paraId="773ECC4B"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lang w:val="es-ES_tradnl"/>
              </w:rPr>
            </w:pPr>
          </w:p>
        </w:tc>
        <w:tc>
          <w:tcPr>
            <w:tcW w:w="2429" w:type="dxa"/>
            <w:vMerge/>
            <w:shd w:val="clear" w:color="auto" w:fill="B6DDE8"/>
            <w:vAlign w:val="center"/>
          </w:tcPr>
          <w:p w14:paraId="3F3044FE" w14:textId="77777777" w:rsidR="007475D1" w:rsidRPr="00210FB4" w:rsidRDefault="007475D1" w:rsidP="00752D3B">
            <w:pPr>
              <w:spacing w:after="0" w:line="240" w:lineRule="auto"/>
              <w:rPr>
                <w:rFonts w:ascii="Times New Roman" w:hAnsi="Times New Roman" w:cs="Times New Roman"/>
                <w:b/>
                <w:sz w:val="20"/>
                <w:szCs w:val="20"/>
                <w:lang w:val="es-ES_tradnl"/>
              </w:rPr>
            </w:pPr>
          </w:p>
        </w:tc>
        <w:tc>
          <w:tcPr>
            <w:tcW w:w="2287" w:type="dxa"/>
            <w:shd w:val="clear" w:color="auto" w:fill="B6DDE8"/>
            <w:vAlign w:val="center"/>
          </w:tcPr>
          <w:p w14:paraId="39D3A5E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B6DDE8"/>
            <w:vAlign w:val="center"/>
          </w:tcPr>
          <w:p w14:paraId="079082C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CAPLAD : formation sensibilisation et suivi du reboisement</w:t>
            </w:r>
          </w:p>
          <w:p w14:paraId="4DF51F46"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sz w:val="20"/>
                <w:szCs w:val="20"/>
              </w:rPr>
              <w:t>Population locale : plantation par les formés en apiculture</w:t>
            </w:r>
          </w:p>
        </w:tc>
      </w:tr>
      <w:tr w:rsidR="007475D1" w:rsidRPr="001557BB" w14:paraId="7C98D45E" w14:textId="77777777" w:rsidTr="00C13127">
        <w:trPr>
          <w:jc w:val="center"/>
        </w:trPr>
        <w:tc>
          <w:tcPr>
            <w:tcW w:w="1555" w:type="dxa"/>
            <w:vMerge/>
            <w:shd w:val="clear" w:color="auto" w:fill="31849B"/>
            <w:vAlign w:val="center"/>
          </w:tcPr>
          <w:p w14:paraId="362D8DC0"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0CA3D020"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DAEEF3"/>
            <w:vAlign w:val="center"/>
          </w:tcPr>
          <w:p w14:paraId="0374192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de Gestion communautaire des ressources naturelles de la préfecture de Tchamba</w:t>
            </w:r>
          </w:p>
          <w:p w14:paraId="17F558CA"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3A5C07A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DAEEF3"/>
            <w:vAlign w:val="center"/>
          </w:tcPr>
          <w:p w14:paraId="779DD247" w14:textId="77777777" w:rsidR="007475D1" w:rsidRPr="00210FB4" w:rsidRDefault="007475D1" w:rsidP="00752D3B">
            <w:pPr>
              <w:spacing w:after="0" w:line="240" w:lineRule="auto"/>
              <w:rPr>
                <w:rFonts w:ascii="Times New Roman" w:hAnsi="Times New Roman" w:cs="Times New Roman"/>
                <w:i/>
                <w:sz w:val="20"/>
                <w:szCs w:val="20"/>
                <w:lang w:val="en-US"/>
              </w:rPr>
            </w:pPr>
            <w:r w:rsidRPr="00210FB4">
              <w:rPr>
                <w:rFonts w:ascii="Times New Roman" w:hAnsi="Times New Roman" w:cs="Times New Roman"/>
                <w:i/>
                <w:sz w:val="20"/>
                <w:szCs w:val="20"/>
                <w:lang w:val="en-US"/>
              </w:rPr>
              <w:t>Anacardium occidentalae</w:t>
            </w:r>
          </w:p>
        </w:tc>
      </w:tr>
      <w:tr w:rsidR="007475D1" w:rsidRPr="001557BB" w14:paraId="4E185A51" w14:textId="77777777" w:rsidTr="00C13127">
        <w:trPr>
          <w:jc w:val="center"/>
        </w:trPr>
        <w:tc>
          <w:tcPr>
            <w:tcW w:w="1555" w:type="dxa"/>
            <w:vMerge/>
            <w:shd w:val="clear" w:color="auto" w:fill="31849B"/>
            <w:vAlign w:val="center"/>
          </w:tcPr>
          <w:p w14:paraId="0E180D9E"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4BCF166D"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DAEEF3"/>
            <w:vAlign w:val="center"/>
          </w:tcPr>
          <w:p w14:paraId="629C3DFE"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1F0336C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DAEEF3"/>
            <w:vAlign w:val="center"/>
          </w:tcPr>
          <w:p w14:paraId="595953A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xml:space="preserve">plantation </w:t>
            </w:r>
            <w:r w:rsidRPr="00210FB4">
              <w:rPr>
                <w:rFonts w:ascii="Times New Roman" w:hAnsi="Times New Roman" w:cs="Times New Roman"/>
                <w:i/>
                <w:sz w:val="20"/>
                <w:szCs w:val="20"/>
              </w:rPr>
              <w:t>d'Anacardium occidentale</w:t>
            </w:r>
            <w:r w:rsidRPr="00210FB4">
              <w:rPr>
                <w:rFonts w:ascii="Times New Roman" w:hAnsi="Times New Roman" w:cs="Times New Roman"/>
                <w:sz w:val="20"/>
                <w:szCs w:val="20"/>
              </w:rPr>
              <w:t xml:space="preserve"> sur 58 ha</w:t>
            </w:r>
          </w:p>
          <w:p w14:paraId="52EADB9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populations à planter</w:t>
            </w:r>
          </w:p>
          <w:p w14:paraId="16F763B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identifications de planteurs volontaires</w:t>
            </w:r>
          </w:p>
          <w:p w14:paraId="2BB80804" w14:textId="77777777" w:rsidR="007475D1" w:rsidRPr="00210FB4" w:rsidRDefault="007475D1" w:rsidP="00752D3B">
            <w:pPr>
              <w:spacing w:after="0" w:line="240" w:lineRule="auto"/>
              <w:rPr>
                <w:rFonts w:ascii="Times New Roman" w:hAnsi="Times New Roman" w:cs="Times New Roman"/>
                <w:sz w:val="20"/>
                <w:szCs w:val="20"/>
              </w:rPr>
            </w:pPr>
          </w:p>
        </w:tc>
      </w:tr>
      <w:tr w:rsidR="007475D1" w:rsidRPr="001557BB" w14:paraId="22A0B564" w14:textId="77777777" w:rsidTr="00C13127">
        <w:trPr>
          <w:jc w:val="center"/>
        </w:trPr>
        <w:tc>
          <w:tcPr>
            <w:tcW w:w="1555" w:type="dxa"/>
            <w:vMerge/>
            <w:shd w:val="clear" w:color="auto" w:fill="31849B"/>
            <w:vAlign w:val="center"/>
          </w:tcPr>
          <w:p w14:paraId="174DBF9A"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1CBC392F"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DAEEF3"/>
            <w:vAlign w:val="center"/>
          </w:tcPr>
          <w:p w14:paraId="7BEA896D"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6FA7142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DAEEF3"/>
            <w:vAlign w:val="center"/>
          </w:tcPr>
          <w:p w14:paraId="77BC27C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AE2D : sensibilisation et appui des planteurs</w:t>
            </w:r>
          </w:p>
          <w:p w14:paraId="084FE06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ICAT : sélection des bénéficiaires</w:t>
            </w:r>
          </w:p>
          <w:p w14:paraId="7B5FBB4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populations locales (les bénéficiaires) : mise en terre et entretien</w:t>
            </w:r>
          </w:p>
        </w:tc>
      </w:tr>
      <w:tr w:rsidR="007475D1" w:rsidRPr="001557BB" w14:paraId="44B309BF" w14:textId="77777777" w:rsidTr="00C13127">
        <w:trPr>
          <w:jc w:val="center"/>
        </w:trPr>
        <w:tc>
          <w:tcPr>
            <w:tcW w:w="1555" w:type="dxa"/>
            <w:vMerge/>
            <w:shd w:val="clear" w:color="auto" w:fill="31849B"/>
            <w:vAlign w:val="center"/>
          </w:tcPr>
          <w:p w14:paraId="0A5B771A"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val="restart"/>
            <w:shd w:val="clear" w:color="auto" w:fill="92CDDC"/>
            <w:vAlign w:val="center"/>
          </w:tcPr>
          <w:p w14:paraId="71F4D5A4"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val="restart"/>
            <w:shd w:val="clear" w:color="auto" w:fill="DAEEF3"/>
            <w:vAlign w:val="center"/>
          </w:tcPr>
          <w:p w14:paraId="58B4F36E"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Programme d’appui aux initiatives d’agroforesterie et de foresterie Villageoise dans le Sud-Ouest du Togo (PAFVI)</w:t>
            </w:r>
          </w:p>
        </w:tc>
        <w:tc>
          <w:tcPr>
            <w:tcW w:w="2287" w:type="dxa"/>
            <w:shd w:val="clear" w:color="auto" w:fill="DAEEF3"/>
            <w:vAlign w:val="center"/>
          </w:tcPr>
          <w:p w14:paraId="30EBB0B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DAEEF3"/>
            <w:vAlign w:val="center"/>
          </w:tcPr>
          <w:p w14:paraId="5CE7D3BE"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Albizzia adianthifolia, Albizzia chevaleri, Albizzia zygia, Albizzia ferruginea et Samanea saman</w:t>
            </w:r>
          </w:p>
        </w:tc>
      </w:tr>
      <w:tr w:rsidR="007475D1" w:rsidRPr="001557BB" w14:paraId="0721E260" w14:textId="77777777" w:rsidTr="00C13127">
        <w:trPr>
          <w:jc w:val="center"/>
        </w:trPr>
        <w:tc>
          <w:tcPr>
            <w:tcW w:w="1555" w:type="dxa"/>
            <w:vMerge/>
            <w:shd w:val="clear" w:color="auto" w:fill="31849B"/>
            <w:vAlign w:val="center"/>
          </w:tcPr>
          <w:p w14:paraId="2389C98B"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78059536"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DAEEF3"/>
            <w:vAlign w:val="center"/>
          </w:tcPr>
          <w:p w14:paraId="093A2FE8"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184C915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DAEEF3"/>
            <w:vAlign w:val="center"/>
          </w:tcPr>
          <w:p w14:paraId="4C70FAC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Introduction d’arbres fertilitaires dans 9451 parcelles couvrant une superficie de 10181 ha à Tsévié, kpalimé et Badou</w:t>
            </w:r>
          </w:p>
          <w:p w14:paraId="25511F9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sensibilisation, une démarche participative et volontaire incluant la formation des paysans aux différentes techniques agroforestières et forestière</w:t>
            </w:r>
          </w:p>
          <w:p w14:paraId="3435133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-Introduction d’arbres fertilitaires ou forestiers dans les champs des paysans appliquant les techniques de régénération naturelle</w:t>
            </w:r>
          </w:p>
          <w:p w14:paraId="732FAD8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aux techniques de conduite des pépinières villageoises</w:t>
            </w:r>
          </w:p>
        </w:tc>
      </w:tr>
      <w:tr w:rsidR="007475D1" w:rsidRPr="001557BB" w14:paraId="623D6FB7" w14:textId="77777777" w:rsidTr="00C13127">
        <w:trPr>
          <w:jc w:val="center"/>
        </w:trPr>
        <w:tc>
          <w:tcPr>
            <w:tcW w:w="1555" w:type="dxa"/>
            <w:vMerge/>
            <w:shd w:val="clear" w:color="auto" w:fill="31849B"/>
            <w:vAlign w:val="center"/>
          </w:tcPr>
          <w:p w14:paraId="39F642EF"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92CDDC"/>
            <w:vAlign w:val="center"/>
          </w:tcPr>
          <w:p w14:paraId="37729E4C"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DAEEF3"/>
            <w:vAlign w:val="center"/>
          </w:tcPr>
          <w:p w14:paraId="432F8A6C"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DAEEF3"/>
            <w:vAlign w:val="center"/>
          </w:tcPr>
          <w:p w14:paraId="11DE2FA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DAEEF3"/>
            <w:vAlign w:val="center"/>
          </w:tcPr>
          <w:p w14:paraId="13D6A1B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ONG-APAF formation sensibilisation suivi</w:t>
            </w:r>
          </w:p>
          <w:p w14:paraId="2C05A12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UE : financement</w:t>
            </w:r>
          </w:p>
          <w:p w14:paraId="6F03075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mise en terre et entretien</w:t>
            </w:r>
          </w:p>
        </w:tc>
      </w:tr>
      <w:tr w:rsidR="007475D1" w:rsidRPr="001557BB" w14:paraId="5519E673" w14:textId="77777777" w:rsidTr="00C13127">
        <w:trPr>
          <w:jc w:val="center"/>
        </w:trPr>
        <w:tc>
          <w:tcPr>
            <w:tcW w:w="1555" w:type="dxa"/>
            <w:vMerge/>
            <w:shd w:val="clear" w:color="auto" w:fill="31849B"/>
            <w:vAlign w:val="center"/>
          </w:tcPr>
          <w:p w14:paraId="69F3BAE3"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val="restart"/>
            <w:shd w:val="clear" w:color="auto" w:fill="B6DDE8"/>
            <w:vAlign w:val="center"/>
          </w:tcPr>
          <w:p w14:paraId="46557686"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Jachère améliorée</w:t>
            </w:r>
          </w:p>
        </w:tc>
        <w:tc>
          <w:tcPr>
            <w:tcW w:w="2429" w:type="dxa"/>
            <w:vMerge w:val="restart"/>
            <w:shd w:val="clear" w:color="auto" w:fill="92CDDC"/>
            <w:vAlign w:val="center"/>
          </w:tcPr>
          <w:p w14:paraId="57B0C74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Plantation d'arbres fertilisants dans les champs (agroforesteries) à Namaré dans la préfecture de Tone</w:t>
            </w:r>
          </w:p>
          <w:p w14:paraId="33D9A50B"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92CDDC"/>
            <w:vAlign w:val="center"/>
          </w:tcPr>
          <w:p w14:paraId="3F9D5DF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92CDDC"/>
            <w:vAlign w:val="center"/>
          </w:tcPr>
          <w:p w14:paraId="132A3402" w14:textId="77777777" w:rsidR="007475D1" w:rsidRPr="00210FB4" w:rsidRDefault="007475D1" w:rsidP="00752D3B">
            <w:pPr>
              <w:spacing w:after="0" w:line="240" w:lineRule="auto"/>
              <w:rPr>
                <w:rFonts w:ascii="Times New Roman" w:hAnsi="Times New Roman" w:cs="Times New Roman"/>
                <w:i/>
                <w:sz w:val="20"/>
                <w:szCs w:val="20"/>
                <w:lang w:val="en-US"/>
              </w:rPr>
            </w:pPr>
            <w:r w:rsidRPr="00210FB4">
              <w:rPr>
                <w:rFonts w:ascii="Times New Roman" w:hAnsi="Times New Roman" w:cs="Times New Roman"/>
                <w:i/>
                <w:sz w:val="20"/>
                <w:szCs w:val="20"/>
                <w:lang w:val="en-US"/>
              </w:rPr>
              <w:t>Senna siamea, Leuceuna leucocephala</w:t>
            </w:r>
          </w:p>
        </w:tc>
      </w:tr>
      <w:tr w:rsidR="007475D1" w:rsidRPr="001557BB" w14:paraId="14397EDD" w14:textId="77777777" w:rsidTr="00C13127">
        <w:trPr>
          <w:jc w:val="center"/>
        </w:trPr>
        <w:tc>
          <w:tcPr>
            <w:tcW w:w="1555" w:type="dxa"/>
            <w:vMerge/>
            <w:shd w:val="clear" w:color="auto" w:fill="31849B"/>
            <w:vAlign w:val="center"/>
          </w:tcPr>
          <w:p w14:paraId="5DAAACAE"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B6DDE8"/>
            <w:vAlign w:val="center"/>
          </w:tcPr>
          <w:p w14:paraId="77AF866B"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92CDDC"/>
            <w:vAlign w:val="center"/>
          </w:tcPr>
          <w:p w14:paraId="23C4B6B3"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92CDDC"/>
            <w:vAlign w:val="center"/>
          </w:tcPr>
          <w:p w14:paraId="4CA1C65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92CDDC"/>
            <w:vAlign w:val="center"/>
          </w:tcPr>
          <w:p w14:paraId="7544001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plantation d'arbres fertilisants dans les champs (agroforesteries) sur 18 ha</w:t>
            </w:r>
          </w:p>
          <w:p w14:paraId="4CC3E9B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sur les avantages de l'agroforesterie</w:t>
            </w:r>
          </w:p>
          <w:p w14:paraId="12EAD5D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identification et formation des volontaires</w:t>
            </w:r>
          </w:p>
          <w:p w14:paraId="561AA5A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reboisement suivant les pentes</w:t>
            </w:r>
          </w:p>
          <w:p w14:paraId="5752880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plantation des arbres en ligne pour les cultures en couloir</w:t>
            </w:r>
          </w:p>
        </w:tc>
      </w:tr>
      <w:tr w:rsidR="007475D1" w:rsidRPr="001557BB" w14:paraId="4971E2B1" w14:textId="77777777" w:rsidTr="00C13127">
        <w:trPr>
          <w:jc w:val="center"/>
        </w:trPr>
        <w:tc>
          <w:tcPr>
            <w:tcW w:w="1555" w:type="dxa"/>
            <w:vMerge/>
            <w:shd w:val="clear" w:color="auto" w:fill="31849B"/>
            <w:vAlign w:val="center"/>
          </w:tcPr>
          <w:p w14:paraId="7CC4A399"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shd w:val="clear" w:color="auto" w:fill="B6DDE8"/>
            <w:vAlign w:val="center"/>
          </w:tcPr>
          <w:p w14:paraId="1EC51115"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429" w:type="dxa"/>
            <w:vMerge/>
            <w:shd w:val="clear" w:color="auto" w:fill="92CDDC"/>
            <w:vAlign w:val="center"/>
          </w:tcPr>
          <w:p w14:paraId="092D06B5" w14:textId="77777777" w:rsidR="007475D1" w:rsidRPr="00210FB4" w:rsidRDefault="007475D1" w:rsidP="00752D3B">
            <w:pPr>
              <w:spacing w:after="0" w:line="240" w:lineRule="auto"/>
              <w:rPr>
                <w:rFonts w:ascii="Times New Roman" w:hAnsi="Times New Roman" w:cs="Times New Roman"/>
                <w:b/>
                <w:sz w:val="20"/>
                <w:szCs w:val="20"/>
              </w:rPr>
            </w:pPr>
          </w:p>
        </w:tc>
        <w:tc>
          <w:tcPr>
            <w:tcW w:w="2287" w:type="dxa"/>
            <w:shd w:val="clear" w:color="auto" w:fill="92CDDC"/>
            <w:vAlign w:val="center"/>
          </w:tcPr>
          <w:p w14:paraId="1F670A7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92CDDC"/>
            <w:vAlign w:val="center"/>
          </w:tcPr>
          <w:p w14:paraId="4F08963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KPAAL N'PAAG : sensibilisation, formation et appui des populations dans l'agroforesterie</w:t>
            </w:r>
          </w:p>
          <w:p w14:paraId="1776F3C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DPE : fourniture des essences et appui dans les formations</w:t>
            </w:r>
          </w:p>
        </w:tc>
      </w:tr>
      <w:tr w:rsidR="007475D1" w:rsidRPr="006D7E22" w14:paraId="5BBD0BAF" w14:textId="77777777" w:rsidTr="00C13127">
        <w:trPr>
          <w:jc w:val="center"/>
        </w:trPr>
        <w:tc>
          <w:tcPr>
            <w:tcW w:w="1555" w:type="dxa"/>
            <w:vMerge w:val="restart"/>
            <w:shd w:val="clear" w:color="auto" w:fill="5F497A"/>
            <w:vAlign w:val="center"/>
          </w:tcPr>
          <w:p w14:paraId="31128741"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Zones protégées/</w:t>
            </w:r>
          </w:p>
          <w:p w14:paraId="2EDB921F"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 xml:space="preserve">zones Tampons </w:t>
            </w:r>
          </w:p>
          <w:p w14:paraId="38816A02" w14:textId="77777777" w:rsidR="007475D1" w:rsidRPr="00210FB4" w:rsidRDefault="007475D1" w:rsidP="00752D3B">
            <w:pPr>
              <w:spacing w:after="0" w:line="240" w:lineRule="auto"/>
              <w:rPr>
                <w:rFonts w:ascii="Times New Roman" w:hAnsi="Times New Roman" w:cs="Times New Roman"/>
                <w:b/>
                <w:sz w:val="20"/>
                <w:szCs w:val="20"/>
              </w:rPr>
            </w:pPr>
          </w:p>
        </w:tc>
        <w:tc>
          <w:tcPr>
            <w:tcW w:w="1417" w:type="dxa"/>
            <w:vMerge w:val="restart"/>
            <w:shd w:val="clear" w:color="auto" w:fill="B2A1C7"/>
            <w:vAlign w:val="center"/>
          </w:tcPr>
          <w:p w14:paraId="57CC91C9"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Protection de bassins versants et lutte contre l’érosion</w:t>
            </w:r>
          </w:p>
        </w:tc>
        <w:tc>
          <w:tcPr>
            <w:tcW w:w="2429" w:type="dxa"/>
            <w:vMerge w:val="restart"/>
            <w:shd w:val="clear" w:color="auto" w:fill="CCC0D9"/>
            <w:vAlign w:val="center"/>
          </w:tcPr>
          <w:p w14:paraId="5E01BBA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PAGEV : protection de berge des cours d’eaux dans la préfecture de Dankpen</w:t>
            </w:r>
          </w:p>
          <w:p w14:paraId="038934F7" w14:textId="77777777" w:rsidR="007475D1" w:rsidRPr="00210FB4" w:rsidRDefault="007475D1" w:rsidP="00752D3B">
            <w:pPr>
              <w:autoSpaceDE w:val="0"/>
              <w:autoSpaceDN w:val="0"/>
              <w:adjustRightInd w:val="0"/>
              <w:spacing w:after="0" w:line="240" w:lineRule="auto"/>
              <w:rPr>
                <w:rFonts w:ascii="Times New Roman" w:hAnsi="Times New Roman" w:cs="Times New Roman"/>
                <w:b/>
                <w:sz w:val="20"/>
                <w:szCs w:val="20"/>
              </w:rPr>
            </w:pPr>
          </w:p>
        </w:tc>
        <w:tc>
          <w:tcPr>
            <w:tcW w:w="2287" w:type="dxa"/>
            <w:shd w:val="clear" w:color="auto" w:fill="CCC0D9"/>
            <w:vAlign w:val="center"/>
          </w:tcPr>
          <w:p w14:paraId="41C190C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CCC0D9"/>
            <w:vAlign w:val="center"/>
          </w:tcPr>
          <w:p w14:paraId="39DC83E7" w14:textId="77777777" w:rsidR="007475D1" w:rsidRPr="00210FB4" w:rsidRDefault="007475D1" w:rsidP="00752D3B">
            <w:pPr>
              <w:spacing w:after="0" w:line="240" w:lineRule="auto"/>
              <w:rPr>
                <w:rFonts w:ascii="Times New Roman" w:hAnsi="Times New Roman" w:cs="Times New Roman"/>
                <w:sz w:val="20"/>
                <w:szCs w:val="20"/>
                <w:lang w:val="es-ES_tradnl"/>
              </w:rPr>
            </w:pPr>
            <w:r w:rsidRPr="00210FB4">
              <w:rPr>
                <w:rFonts w:ascii="Times New Roman" w:hAnsi="Times New Roman" w:cs="Times New Roman"/>
                <w:i/>
                <w:sz w:val="20"/>
                <w:szCs w:val="20"/>
                <w:lang w:val="es-ES_tradnl"/>
              </w:rPr>
              <w:t>Acacia spp.</w:t>
            </w:r>
            <w:r w:rsidRPr="00210FB4">
              <w:rPr>
                <w:rFonts w:ascii="Times New Roman" w:hAnsi="Times New Roman" w:cs="Times New Roman"/>
                <w:sz w:val="20"/>
                <w:szCs w:val="20"/>
                <w:lang w:val="es-ES_tradnl"/>
              </w:rPr>
              <w:t xml:space="preserve"> et </w:t>
            </w:r>
            <w:r w:rsidRPr="00210FB4">
              <w:rPr>
                <w:rFonts w:ascii="Times New Roman" w:hAnsi="Times New Roman" w:cs="Times New Roman"/>
                <w:i/>
                <w:sz w:val="20"/>
                <w:szCs w:val="20"/>
                <w:lang w:val="es-ES_tradnl"/>
              </w:rPr>
              <w:t xml:space="preserve">Senna siamea, Khaya </w:t>
            </w:r>
            <w:r w:rsidRPr="00210FB4">
              <w:rPr>
                <w:rFonts w:ascii="Times New Roman" w:hAnsi="Times New Roman" w:cs="Times New Roman"/>
                <w:sz w:val="20"/>
                <w:szCs w:val="20"/>
                <w:lang w:val="es-ES_tradnl"/>
              </w:rPr>
              <w:t>spp.</w:t>
            </w:r>
            <w:r w:rsidRPr="00210FB4">
              <w:rPr>
                <w:rFonts w:ascii="Times New Roman" w:hAnsi="Times New Roman" w:cs="Times New Roman"/>
                <w:i/>
                <w:sz w:val="20"/>
                <w:szCs w:val="20"/>
                <w:lang w:val="es-ES_tradnl"/>
              </w:rPr>
              <w:t>, Musa, Elaeis guineensis</w:t>
            </w:r>
          </w:p>
        </w:tc>
      </w:tr>
      <w:tr w:rsidR="007475D1" w:rsidRPr="001557BB" w14:paraId="65204A1D" w14:textId="77777777" w:rsidTr="00C13127">
        <w:trPr>
          <w:trHeight w:val="2229"/>
          <w:jc w:val="center"/>
        </w:trPr>
        <w:tc>
          <w:tcPr>
            <w:tcW w:w="1555" w:type="dxa"/>
            <w:vMerge/>
            <w:shd w:val="clear" w:color="auto" w:fill="5F497A"/>
            <w:vAlign w:val="center"/>
          </w:tcPr>
          <w:p w14:paraId="7E761F73"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1417" w:type="dxa"/>
            <w:vMerge/>
            <w:shd w:val="clear" w:color="auto" w:fill="B2A1C7"/>
            <w:vAlign w:val="center"/>
          </w:tcPr>
          <w:p w14:paraId="14A167AE"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429" w:type="dxa"/>
            <w:vMerge/>
            <w:shd w:val="clear" w:color="auto" w:fill="CCC0D9"/>
            <w:vAlign w:val="center"/>
          </w:tcPr>
          <w:p w14:paraId="0F133D14"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287" w:type="dxa"/>
            <w:shd w:val="clear" w:color="auto" w:fill="CCC0D9"/>
            <w:vAlign w:val="center"/>
          </w:tcPr>
          <w:p w14:paraId="701AEAF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CCC0D9"/>
            <w:vAlign w:val="center"/>
          </w:tcPr>
          <w:p w14:paraId="53B45F7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Restauration de la berge de la rivière Kara</w:t>
            </w:r>
          </w:p>
          <w:p w14:paraId="49BE52E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Sensibilisation de la population</w:t>
            </w:r>
          </w:p>
          <w:p w14:paraId="25806F5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Organisation en comité de protection des cours d’eaux</w:t>
            </w:r>
          </w:p>
          <w:p w14:paraId="4B3C589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 Protection de la berge</w:t>
            </w:r>
          </w:p>
        </w:tc>
      </w:tr>
      <w:tr w:rsidR="007475D1" w:rsidRPr="001557BB" w14:paraId="4D90A34D" w14:textId="77777777" w:rsidTr="00C13127">
        <w:trPr>
          <w:jc w:val="center"/>
        </w:trPr>
        <w:tc>
          <w:tcPr>
            <w:tcW w:w="1555" w:type="dxa"/>
            <w:vMerge/>
            <w:shd w:val="clear" w:color="auto" w:fill="5F497A"/>
            <w:vAlign w:val="center"/>
          </w:tcPr>
          <w:p w14:paraId="22C81487"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70C83849"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CCC0D9"/>
            <w:vAlign w:val="center"/>
          </w:tcPr>
          <w:p w14:paraId="4C244008"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CCC0D9"/>
            <w:vAlign w:val="center"/>
          </w:tcPr>
          <w:p w14:paraId="25B941F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CCC0D9"/>
            <w:vAlign w:val="center"/>
          </w:tcPr>
          <w:p w14:paraId="4F241FA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Village de Djabegnon, Koupekou et</w:t>
            </w:r>
          </w:p>
          <w:p w14:paraId="37E0419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Signature d’un accord de avec les populations</w:t>
            </w:r>
          </w:p>
          <w:p w14:paraId="3140D62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 sensibilisation</w:t>
            </w:r>
          </w:p>
          <w:p w14:paraId="1F63AA8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DRERF, Comités cantonaux.</w:t>
            </w:r>
          </w:p>
        </w:tc>
      </w:tr>
      <w:tr w:rsidR="007475D1" w:rsidRPr="001557BB" w14:paraId="5D9EA577" w14:textId="77777777" w:rsidTr="00C13127">
        <w:trPr>
          <w:jc w:val="center"/>
        </w:trPr>
        <w:tc>
          <w:tcPr>
            <w:tcW w:w="1555" w:type="dxa"/>
            <w:vMerge/>
            <w:shd w:val="clear" w:color="auto" w:fill="5F497A"/>
            <w:vAlign w:val="center"/>
          </w:tcPr>
          <w:p w14:paraId="40D5A0A8"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5E812525"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E5DFEC"/>
            <w:vAlign w:val="center"/>
          </w:tcPr>
          <w:p w14:paraId="1B7AEDA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Appui au développement et à la restauration communautaire des galeries forestières et des forêts des terroirs villageois dans la Région des Plateaux : Site Amavenou</w:t>
            </w:r>
          </w:p>
          <w:p w14:paraId="55FC317A"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4703014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E5DFEC"/>
            <w:vAlign w:val="center"/>
          </w:tcPr>
          <w:p w14:paraId="59556A45"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Terminalia superba, Terminalia ivoirensis, Khaya grandifoliola</w:t>
            </w:r>
          </w:p>
          <w:p w14:paraId="3CDAB29B"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Samanea saman, Acacia auriculiformis, Anogessus léiocarpus</w:t>
            </w:r>
          </w:p>
          <w:p w14:paraId="2D02C079"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Gmelina arbórea, Khaya senegalensis</w:t>
            </w:r>
          </w:p>
        </w:tc>
      </w:tr>
      <w:tr w:rsidR="007475D1" w:rsidRPr="001557BB" w14:paraId="258C334B" w14:textId="77777777" w:rsidTr="00C13127">
        <w:trPr>
          <w:jc w:val="center"/>
        </w:trPr>
        <w:tc>
          <w:tcPr>
            <w:tcW w:w="1555" w:type="dxa"/>
            <w:vMerge/>
            <w:shd w:val="clear" w:color="auto" w:fill="5F497A"/>
            <w:vAlign w:val="center"/>
          </w:tcPr>
          <w:p w14:paraId="2A3EB952"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435858A1"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2F4CEA29"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34C0004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E5DFEC"/>
            <w:vAlign w:val="center"/>
          </w:tcPr>
          <w:p w14:paraId="44D7BEB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des pépiniéristes</w:t>
            </w:r>
          </w:p>
          <w:p w14:paraId="23BD712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des acteurs de reboisement</w:t>
            </w:r>
          </w:p>
          <w:p w14:paraId="35AA3E0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Appui-accompagnement des pépiniéristes</w:t>
            </w:r>
          </w:p>
          <w:p w14:paraId="5F1B7FF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Appui-accompagnement des reboiseurs</w:t>
            </w:r>
          </w:p>
          <w:p w14:paraId="3D09219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Matérialisation des superficies reboisées</w:t>
            </w:r>
          </w:p>
          <w:p w14:paraId="225B59A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Installation de panneaux d’information</w:t>
            </w:r>
          </w:p>
        </w:tc>
      </w:tr>
      <w:tr w:rsidR="007475D1" w:rsidRPr="001557BB" w14:paraId="41F92D16" w14:textId="77777777" w:rsidTr="00C13127">
        <w:trPr>
          <w:jc w:val="center"/>
        </w:trPr>
        <w:tc>
          <w:tcPr>
            <w:tcW w:w="1555" w:type="dxa"/>
            <w:vMerge/>
            <w:shd w:val="clear" w:color="auto" w:fill="5F497A"/>
            <w:vAlign w:val="center"/>
          </w:tcPr>
          <w:p w14:paraId="0E9877E0"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0A3B85A0"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2881F5E9"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1CC3BA9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E5DFEC"/>
            <w:vAlign w:val="center"/>
          </w:tcPr>
          <w:p w14:paraId="1BDB2A79"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ONG Cado, les écoles</w:t>
            </w:r>
          </w:p>
        </w:tc>
      </w:tr>
      <w:tr w:rsidR="007475D1" w:rsidRPr="006D7E22" w14:paraId="13486EBA" w14:textId="77777777" w:rsidTr="00C13127">
        <w:trPr>
          <w:jc w:val="center"/>
        </w:trPr>
        <w:tc>
          <w:tcPr>
            <w:tcW w:w="1555" w:type="dxa"/>
            <w:vMerge/>
            <w:shd w:val="clear" w:color="auto" w:fill="5F497A"/>
            <w:vAlign w:val="center"/>
          </w:tcPr>
          <w:p w14:paraId="0F4389A0"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2D03706E"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B2A1C7"/>
            <w:vAlign w:val="center"/>
          </w:tcPr>
          <w:p w14:paraId="77FCF35D"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Restauration de la cuvette du barrage de Kpime</w:t>
            </w:r>
          </w:p>
        </w:tc>
        <w:tc>
          <w:tcPr>
            <w:tcW w:w="2287" w:type="dxa"/>
            <w:shd w:val="clear" w:color="auto" w:fill="B2A1C7"/>
            <w:vAlign w:val="center"/>
          </w:tcPr>
          <w:p w14:paraId="3E113AF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B2A1C7"/>
            <w:vAlign w:val="center"/>
          </w:tcPr>
          <w:p w14:paraId="360FB2BB"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Garcinia/Arthocarpus/Anacrdium</w:t>
            </w:r>
            <w:r w:rsidRPr="00210FB4">
              <w:rPr>
                <w:rFonts w:ascii="Times New Roman" w:hAnsi="Times New Roman" w:cs="Times New Roman"/>
                <w:i/>
                <w:sz w:val="20"/>
                <w:szCs w:val="20"/>
                <w:shd w:val="clear" w:color="auto" w:fill="B2A1C7"/>
                <w:lang w:val="es-ES_tradnl"/>
              </w:rPr>
              <w:t>/</w:t>
            </w:r>
            <w:r w:rsidRPr="00210FB4">
              <w:rPr>
                <w:rStyle w:val="Accentuation"/>
                <w:rFonts w:ascii="Times New Roman" w:hAnsi="Times New Roman" w:cs="Times New Roman"/>
                <w:bCs/>
                <w:iCs w:val="0"/>
                <w:sz w:val="20"/>
                <w:szCs w:val="20"/>
                <w:shd w:val="clear" w:color="auto" w:fill="B2A1C7"/>
                <w:lang w:val="es-ES_tradnl"/>
              </w:rPr>
              <w:t>Milicia excelsa</w:t>
            </w:r>
            <w:r w:rsidRPr="00210FB4">
              <w:rPr>
                <w:rFonts w:ascii="Times New Roman" w:hAnsi="Times New Roman" w:cs="Times New Roman"/>
                <w:i/>
                <w:sz w:val="20"/>
                <w:szCs w:val="20"/>
                <w:lang w:val="es-ES_tradnl"/>
              </w:rPr>
              <w:t xml:space="preserve"> /Terminalia superba</w:t>
            </w:r>
          </w:p>
        </w:tc>
      </w:tr>
      <w:tr w:rsidR="007475D1" w:rsidRPr="001557BB" w14:paraId="6F65D2BB" w14:textId="77777777" w:rsidTr="00C13127">
        <w:trPr>
          <w:jc w:val="center"/>
        </w:trPr>
        <w:tc>
          <w:tcPr>
            <w:tcW w:w="1555" w:type="dxa"/>
            <w:vMerge/>
            <w:shd w:val="clear" w:color="auto" w:fill="5F497A"/>
            <w:vAlign w:val="center"/>
          </w:tcPr>
          <w:p w14:paraId="5CCC9149"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1417" w:type="dxa"/>
            <w:vMerge/>
            <w:shd w:val="clear" w:color="auto" w:fill="B2A1C7"/>
            <w:vAlign w:val="center"/>
          </w:tcPr>
          <w:p w14:paraId="2EEE94CF"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429" w:type="dxa"/>
            <w:vMerge/>
            <w:shd w:val="clear" w:color="auto" w:fill="B2A1C7"/>
            <w:vAlign w:val="center"/>
          </w:tcPr>
          <w:p w14:paraId="11CF8346"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287" w:type="dxa"/>
            <w:shd w:val="clear" w:color="auto" w:fill="B2A1C7"/>
            <w:vAlign w:val="center"/>
          </w:tcPr>
          <w:p w14:paraId="60EBBF2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B2A1C7"/>
            <w:vAlign w:val="center"/>
          </w:tcPr>
          <w:p w14:paraId="4F109015"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Sensibilisation de la population</w:t>
            </w:r>
          </w:p>
          <w:p w14:paraId="497464D2"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création d'AGR avec des chèvres pour l'élevage à des personnes sélectionnées</w:t>
            </w:r>
          </w:p>
          <w:p w14:paraId="114CBB69"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reboisement des  berges de ruisseaux et de terrains communautaires</w:t>
            </w:r>
          </w:p>
          <w:p w14:paraId="47BE6CEE"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écartement 3x3</w:t>
            </w:r>
          </w:p>
        </w:tc>
      </w:tr>
      <w:tr w:rsidR="007475D1" w:rsidRPr="001557BB" w14:paraId="6E537F1D" w14:textId="77777777" w:rsidTr="00C13127">
        <w:trPr>
          <w:jc w:val="center"/>
        </w:trPr>
        <w:tc>
          <w:tcPr>
            <w:tcW w:w="1555" w:type="dxa"/>
            <w:vMerge/>
            <w:shd w:val="clear" w:color="auto" w:fill="5F497A"/>
            <w:vAlign w:val="center"/>
          </w:tcPr>
          <w:p w14:paraId="30523BD5"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5DCE236F"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B2A1C7"/>
            <w:vAlign w:val="center"/>
          </w:tcPr>
          <w:p w14:paraId="483236FC"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B2A1C7"/>
            <w:vAlign w:val="center"/>
          </w:tcPr>
          <w:p w14:paraId="49743D5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B2A1C7"/>
            <w:vAlign w:val="center"/>
          </w:tcPr>
          <w:p w14:paraId="0B61D347"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ONG RADI : suivi et accompagnement</w:t>
            </w:r>
          </w:p>
          <w:p w14:paraId="42F305C3"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Banque Mondiale et PGCIT : PTF</w:t>
            </w:r>
          </w:p>
          <w:p w14:paraId="0030E1CF"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i/>
                <w:sz w:val="20"/>
                <w:szCs w:val="20"/>
              </w:rPr>
              <w:t>Population locale : Plantation et entretien des essences</w:t>
            </w:r>
          </w:p>
        </w:tc>
      </w:tr>
      <w:tr w:rsidR="007475D1" w:rsidRPr="001557BB" w14:paraId="604902D6" w14:textId="77777777" w:rsidTr="00C13127">
        <w:trPr>
          <w:jc w:val="center"/>
        </w:trPr>
        <w:tc>
          <w:tcPr>
            <w:tcW w:w="1555" w:type="dxa"/>
            <w:vMerge/>
            <w:shd w:val="clear" w:color="auto" w:fill="5F497A"/>
            <w:vAlign w:val="center"/>
          </w:tcPr>
          <w:p w14:paraId="14406F3B"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06F7D752"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CCC0D9"/>
            <w:vAlign w:val="center"/>
          </w:tcPr>
          <w:p w14:paraId="6D0C10B2" w14:textId="77777777" w:rsidR="007475D1" w:rsidRPr="00210FB4" w:rsidRDefault="007475D1" w:rsidP="00752D3B">
            <w:pPr>
              <w:spacing w:after="0" w:line="240" w:lineRule="auto"/>
              <w:rPr>
                <w:rFonts w:ascii="Times New Roman" w:hAnsi="Times New Roman" w:cs="Times New Roman"/>
                <w:b/>
                <w:sz w:val="20"/>
                <w:szCs w:val="20"/>
              </w:rPr>
            </w:pPr>
            <w:r w:rsidRPr="00210FB4">
              <w:rPr>
                <w:rFonts w:ascii="Times New Roman" w:hAnsi="Times New Roman" w:cs="Times New Roman"/>
                <w:b/>
                <w:sz w:val="20"/>
                <w:szCs w:val="20"/>
              </w:rPr>
              <w:t>Projet de restauration de flancs de montagnes terres dégradées et berges des cours d'eau</w:t>
            </w:r>
          </w:p>
          <w:p w14:paraId="02E96771"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CCC0D9"/>
            <w:vAlign w:val="center"/>
          </w:tcPr>
          <w:p w14:paraId="4F32076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CCC0D9"/>
            <w:vAlign w:val="center"/>
          </w:tcPr>
          <w:p w14:paraId="4D521052"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Kahya senegalensis, Tectona grandis, Afzelia africana</w:t>
            </w:r>
          </w:p>
        </w:tc>
      </w:tr>
      <w:tr w:rsidR="007475D1" w:rsidRPr="001557BB" w14:paraId="7B5B06CB" w14:textId="77777777" w:rsidTr="00C13127">
        <w:trPr>
          <w:jc w:val="center"/>
        </w:trPr>
        <w:tc>
          <w:tcPr>
            <w:tcW w:w="1555" w:type="dxa"/>
            <w:vMerge/>
            <w:shd w:val="clear" w:color="auto" w:fill="5F497A"/>
            <w:vAlign w:val="center"/>
          </w:tcPr>
          <w:p w14:paraId="6BFEBEE8"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26EEAB17"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CCC0D9"/>
            <w:vAlign w:val="center"/>
          </w:tcPr>
          <w:p w14:paraId="2D265EE8"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CCC0D9"/>
            <w:vAlign w:val="center"/>
          </w:tcPr>
          <w:p w14:paraId="3413C40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CCC0D9"/>
            <w:vAlign w:val="center"/>
          </w:tcPr>
          <w:p w14:paraId="7554CB0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élèves et leurs parents pour le reboisement de flanc de montagne à Agou Gadzepe</w:t>
            </w:r>
          </w:p>
          <w:p w14:paraId="50FF025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Ecartement :</w:t>
            </w:r>
          </w:p>
          <w:p w14:paraId="6208F80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i/>
                <w:sz w:val="20"/>
                <w:szCs w:val="20"/>
              </w:rPr>
              <w:t xml:space="preserve">Tectona grandis </w:t>
            </w:r>
            <w:r w:rsidRPr="00210FB4">
              <w:rPr>
                <w:rFonts w:ascii="Times New Roman" w:hAnsi="Times New Roman" w:cs="Times New Roman"/>
                <w:sz w:val="20"/>
                <w:szCs w:val="20"/>
              </w:rPr>
              <w:t>2x2</w:t>
            </w:r>
          </w:p>
          <w:p w14:paraId="0D1F0DA4" w14:textId="77777777" w:rsidR="007475D1" w:rsidRPr="00210FB4" w:rsidRDefault="007475D1" w:rsidP="00752D3B">
            <w:pPr>
              <w:spacing w:after="0" w:line="240" w:lineRule="auto"/>
              <w:rPr>
                <w:rFonts w:ascii="Times New Roman" w:hAnsi="Times New Roman" w:cs="Times New Roman"/>
                <w:i/>
                <w:sz w:val="20"/>
                <w:szCs w:val="20"/>
              </w:rPr>
            </w:pPr>
            <w:r w:rsidRPr="00210FB4">
              <w:rPr>
                <w:rFonts w:ascii="Times New Roman" w:hAnsi="Times New Roman" w:cs="Times New Roman"/>
                <w:sz w:val="20"/>
                <w:szCs w:val="20"/>
              </w:rPr>
              <w:t xml:space="preserve">Kahya et </w:t>
            </w:r>
            <w:r w:rsidRPr="00210FB4">
              <w:rPr>
                <w:rFonts w:ascii="Times New Roman" w:hAnsi="Times New Roman" w:cs="Times New Roman"/>
                <w:i/>
                <w:sz w:val="20"/>
                <w:szCs w:val="20"/>
              </w:rPr>
              <w:t>Afzelia africana</w:t>
            </w:r>
            <w:r w:rsidRPr="00210FB4">
              <w:rPr>
                <w:rFonts w:ascii="Times New Roman" w:hAnsi="Times New Roman" w:cs="Times New Roman"/>
                <w:sz w:val="20"/>
                <w:szCs w:val="20"/>
              </w:rPr>
              <w:t xml:space="preserve"> 7x8</w:t>
            </w:r>
          </w:p>
        </w:tc>
      </w:tr>
      <w:tr w:rsidR="007475D1" w:rsidRPr="001557BB" w14:paraId="6E855235" w14:textId="77777777" w:rsidTr="00C13127">
        <w:trPr>
          <w:jc w:val="center"/>
        </w:trPr>
        <w:tc>
          <w:tcPr>
            <w:tcW w:w="1555" w:type="dxa"/>
            <w:vMerge/>
            <w:shd w:val="clear" w:color="auto" w:fill="5F497A"/>
            <w:vAlign w:val="center"/>
          </w:tcPr>
          <w:p w14:paraId="6E209F1E"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74852806"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CCC0D9"/>
            <w:vAlign w:val="center"/>
          </w:tcPr>
          <w:p w14:paraId="335D5E33"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CCC0D9"/>
            <w:vAlign w:val="center"/>
          </w:tcPr>
          <w:p w14:paraId="1FF3934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CCC0D9"/>
            <w:vAlign w:val="center"/>
          </w:tcPr>
          <w:p w14:paraId="5E66194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CAPLAD : formation sensibilisation et Appui mise en œuvre et entretien</w:t>
            </w:r>
          </w:p>
          <w:p w14:paraId="0DE5B19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Elèves et parents d'élèves : Mise en terre et entretien</w:t>
            </w:r>
          </w:p>
          <w:p w14:paraId="3FDB733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 locale : Plantation et entretien</w:t>
            </w:r>
          </w:p>
          <w:p w14:paraId="60DF814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ODEF : fourniture des plants</w:t>
            </w:r>
          </w:p>
          <w:p w14:paraId="7970915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AGAIB et banque Mondiale : PTF</w:t>
            </w:r>
          </w:p>
        </w:tc>
      </w:tr>
      <w:tr w:rsidR="007475D1" w:rsidRPr="001557BB" w14:paraId="4E3702F7" w14:textId="77777777" w:rsidTr="00C13127">
        <w:trPr>
          <w:jc w:val="center"/>
        </w:trPr>
        <w:tc>
          <w:tcPr>
            <w:tcW w:w="1555" w:type="dxa"/>
            <w:vMerge/>
            <w:shd w:val="clear" w:color="auto" w:fill="5F497A"/>
            <w:vAlign w:val="center"/>
          </w:tcPr>
          <w:p w14:paraId="0BAFA8BA"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6CE8A994"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E5DFEC"/>
            <w:vAlign w:val="center"/>
          </w:tcPr>
          <w:p w14:paraId="34BE93F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privée de reboisement des berges de la rivière Anié à Anié-Peul (Adjengré préfecture de Sotouboua)</w:t>
            </w:r>
          </w:p>
          <w:p w14:paraId="0E3E6416"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0A926A2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E5DFEC"/>
            <w:vAlign w:val="center"/>
          </w:tcPr>
          <w:p w14:paraId="2DFFED15"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Kahya, Mangifera indica, Citrus sinensis</w:t>
            </w:r>
          </w:p>
        </w:tc>
      </w:tr>
      <w:tr w:rsidR="007475D1" w:rsidRPr="001557BB" w14:paraId="6CD2FE87" w14:textId="77777777" w:rsidTr="00C13127">
        <w:trPr>
          <w:jc w:val="center"/>
        </w:trPr>
        <w:tc>
          <w:tcPr>
            <w:tcW w:w="1555" w:type="dxa"/>
            <w:vMerge/>
            <w:shd w:val="clear" w:color="auto" w:fill="5F497A"/>
            <w:vAlign w:val="center"/>
          </w:tcPr>
          <w:p w14:paraId="2F798A62"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64BEA478"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00B88BC1"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42D61DC4"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E5DFEC"/>
            <w:vAlign w:val="center"/>
          </w:tcPr>
          <w:p w14:paraId="2B40B9F4" w14:textId="77777777" w:rsidR="007475D1" w:rsidRPr="00210FB4" w:rsidRDefault="007475D1" w:rsidP="00752D3B">
            <w:pPr>
              <w:spacing w:after="0" w:line="240" w:lineRule="auto"/>
              <w:rPr>
                <w:rFonts w:ascii="Times New Roman" w:hAnsi="Times New Roman" w:cs="Times New Roman"/>
                <w:sz w:val="20"/>
                <w:szCs w:val="20"/>
              </w:rPr>
            </w:pPr>
          </w:p>
          <w:p w14:paraId="6D2A8B1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Reboisement sur 400 m les berges de la rivière Anié</w:t>
            </w:r>
          </w:p>
          <w:p w14:paraId="1427268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curage de la rivière et vente du sable pour financer le reboisement</w:t>
            </w:r>
          </w:p>
          <w:p w14:paraId="3CFE115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riverains pour la préservation de la végétation existante</w:t>
            </w:r>
          </w:p>
          <w:p w14:paraId="79EBF99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Ecartement de 5 à 10 m</w:t>
            </w:r>
          </w:p>
        </w:tc>
      </w:tr>
      <w:tr w:rsidR="007475D1" w:rsidRPr="001557BB" w14:paraId="12715E37" w14:textId="77777777" w:rsidTr="00C13127">
        <w:trPr>
          <w:jc w:val="center"/>
        </w:trPr>
        <w:tc>
          <w:tcPr>
            <w:tcW w:w="1555" w:type="dxa"/>
            <w:vMerge/>
            <w:shd w:val="clear" w:color="auto" w:fill="5F497A"/>
            <w:vAlign w:val="center"/>
          </w:tcPr>
          <w:p w14:paraId="757B77CD"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1CAFEFEE"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24944C10"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6836CA0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E5DFEC"/>
            <w:vAlign w:val="center"/>
          </w:tcPr>
          <w:p w14:paraId="18F1E5B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 Nimon : achat des plants et mise en terre</w:t>
            </w:r>
          </w:p>
          <w:p w14:paraId="130719B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populations locales : aide à la préservation</w:t>
            </w:r>
          </w:p>
        </w:tc>
      </w:tr>
      <w:tr w:rsidR="007475D1" w:rsidRPr="006D7E22" w14:paraId="7DA832F6" w14:textId="77777777" w:rsidTr="00C13127">
        <w:trPr>
          <w:jc w:val="center"/>
        </w:trPr>
        <w:tc>
          <w:tcPr>
            <w:tcW w:w="1555" w:type="dxa"/>
            <w:vMerge/>
            <w:shd w:val="clear" w:color="auto" w:fill="5F497A"/>
            <w:vAlign w:val="center"/>
          </w:tcPr>
          <w:p w14:paraId="22381F53"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5E168798"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B2A1C7"/>
            <w:vAlign w:val="center"/>
          </w:tcPr>
          <w:p w14:paraId="215CC74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Appui aux communautés locales pour la conservation et la gestion durables des ressources forestières des monts Kabyè</w:t>
            </w:r>
          </w:p>
          <w:p w14:paraId="7F54FE2C"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B2A1C7"/>
            <w:vAlign w:val="center"/>
          </w:tcPr>
          <w:p w14:paraId="7AA7DDF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B2A1C7"/>
            <w:vAlign w:val="center"/>
          </w:tcPr>
          <w:p w14:paraId="14FB0980" w14:textId="77777777" w:rsidR="007475D1" w:rsidRPr="00210FB4" w:rsidRDefault="007475D1" w:rsidP="00752D3B">
            <w:pPr>
              <w:spacing w:after="0" w:line="240" w:lineRule="auto"/>
              <w:rPr>
                <w:rFonts w:ascii="Times New Roman" w:hAnsi="Times New Roman" w:cs="Times New Roman"/>
                <w:sz w:val="20"/>
                <w:szCs w:val="20"/>
                <w:lang w:val="es-ES_tradnl"/>
              </w:rPr>
            </w:pPr>
            <w:r w:rsidRPr="00210FB4">
              <w:rPr>
                <w:rStyle w:val="sdfn1"/>
                <w:rFonts w:ascii="Times New Roman" w:hAnsi="Times New Roman" w:cs="Times New Roman"/>
                <w:i/>
                <w:iCs/>
                <w:sz w:val="20"/>
                <w:szCs w:val="20"/>
                <w:lang w:val="es-ES_tradnl"/>
              </w:rPr>
              <w:t>Parkia biglobosia</w:t>
            </w:r>
            <w:r w:rsidRPr="00210FB4">
              <w:rPr>
                <w:rFonts w:ascii="Times New Roman" w:hAnsi="Times New Roman" w:cs="Times New Roman"/>
                <w:sz w:val="20"/>
                <w:szCs w:val="20"/>
                <w:lang w:val="es-ES_tradnl"/>
              </w:rPr>
              <w:t xml:space="preserve">, </w:t>
            </w:r>
            <w:r w:rsidRPr="00210FB4">
              <w:rPr>
                <w:rFonts w:ascii="Times New Roman" w:hAnsi="Times New Roman" w:cs="Times New Roman"/>
                <w:i/>
                <w:sz w:val="20"/>
                <w:szCs w:val="20"/>
                <w:lang w:val="es-ES_tradnl"/>
              </w:rPr>
              <w:t>kahya senegalensis</w:t>
            </w:r>
            <w:r w:rsidRPr="00210FB4">
              <w:rPr>
                <w:rFonts w:ascii="Times New Roman" w:hAnsi="Times New Roman" w:cs="Times New Roman"/>
                <w:sz w:val="20"/>
                <w:szCs w:val="20"/>
                <w:lang w:val="es-ES_tradnl"/>
              </w:rPr>
              <w:t xml:space="preserve">, </w:t>
            </w:r>
            <w:r w:rsidRPr="00210FB4">
              <w:rPr>
                <w:rFonts w:ascii="Times New Roman" w:hAnsi="Times New Roman" w:cs="Times New Roman"/>
                <w:i/>
                <w:sz w:val="20"/>
                <w:szCs w:val="20"/>
                <w:lang w:val="es-ES_tradnl"/>
              </w:rPr>
              <w:t>Afzelia africana</w:t>
            </w:r>
          </w:p>
        </w:tc>
      </w:tr>
      <w:tr w:rsidR="007475D1" w:rsidRPr="001557BB" w14:paraId="6E55A2FF" w14:textId="77777777" w:rsidTr="00C13127">
        <w:trPr>
          <w:jc w:val="center"/>
        </w:trPr>
        <w:tc>
          <w:tcPr>
            <w:tcW w:w="1555" w:type="dxa"/>
            <w:vMerge/>
            <w:shd w:val="clear" w:color="auto" w:fill="5F497A"/>
            <w:vAlign w:val="center"/>
          </w:tcPr>
          <w:p w14:paraId="38B801CD"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1417" w:type="dxa"/>
            <w:vMerge/>
            <w:shd w:val="clear" w:color="auto" w:fill="B2A1C7"/>
            <w:vAlign w:val="center"/>
          </w:tcPr>
          <w:p w14:paraId="0629E7D3"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429" w:type="dxa"/>
            <w:vMerge/>
            <w:shd w:val="clear" w:color="auto" w:fill="B2A1C7"/>
            <w:vAlign w:val="center"/>
          </w:tcPr>
          <w:p w14:paraId="10AF2EAC"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287" w:type="dxa"/>
            <w:shd w:val="clear" w:color="auto" w:fill="B2A1C7"/>
            <w:vAlign w:val="center"/>
          </w:tcPr>
          <w:p w14:paraId="2B9E259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B2A1C7"/>
            <w:vAlign w:val="center"/>
          </w:tcPr>
          <w:p w14:paraId="6D1613E2"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Enrichissement sur 6,15 ha à Lassa Houdè</w:t>
            </w:r>
          </w:p>
          <w:p w14:paraId="0305BE1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des populations sur les changements climatiques</w:t>
            </w:r>
          </w:p>
          <w:p w14:paraId="0E5B1F80"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choix des forêts avec les communautés</w:t>
            </w:r>
          </w:p>
          <w:p w14:paraId="58D4377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mise en place de pare feu</w:t>
            </w:r>
          </w:p>
          <w:p w14:paraId="6061738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formation en AGR: apiculture</w:t>
            </w:r>
          </w:p>
          <w:p w14:paraId="159ACA7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Ecartement : entre  2*2 et 4*4</w:t>
            </w:r>
          </w:p>
        </w:tc>
      </w:tr>
      <w:tr w:rsidR="007475D1" w:rsidRPr="001557BB" w14:paraId="3BD9ABC3" w14:textId="77777777" w:rsidTr="00C13127">
        <w:trPr>
          <w:jc w:val="center"/>
        </w:trPr>
        <w:tc>
          <w:tcPr>
            <w:tcW w:w="1555" w:type="dxa"/>
            <w:vMerge/>
            <w:shd w:val="clear" w:color="auto" w:fill="5F497A"/>
            <w:vAlign w:val="center"/>
          </w:tcPr>
          <w:p w14:paraId="665B0F30"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4E629CB2"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B2A1C7"/>
            <w:vAlign w:val="center"/>
          </w:tcPr>
          <w:p w14:paraId="382246F6"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B2A1C7"/>
            <w:vAlign w:val="center"/>
          </w:tcPr>
          <w:p w14:paraId="16090D3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B2A1C7"/>
            <w:vAlign w:val="center"/>
          </w:tcPr>
          <w:p w14:paraId="744D5D4F"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AIDV : sensibilisation, formation, montage du projet avec les populations (mise en terre des plants et entretien), suivi des activités</w:t>
            </w:r>
          </w:p>
          <w:p w14:paraId="5701877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PGICT, FEM : PTF</w:t>
            </w:r>
          </w:p>
          <w:p w14:paraId="70B71CD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DPE : appui et conseil technique</w:t>
            </w:r>
          </w:p>
        </w:tc>
      </w:tr>
      <w:tr w:rsidR="007475D1" w:rsidRPr="006D7E22" w14:paraId="4DCA637C" w14:textId="77777777" w:rsidTr="00C13127">
        <w:trPr>
          <w:jc w:val="center"/>
        </w:trPr>
        <w:tc>
          <w:tcPr>
            <w:tcW w:w="1555" w:type="dxa"/>
            <w:vMerge/>
            <w:shd w:val="clear" w:color="auto" w:fill="5F497A"/>
            <w:vAlign w:val="center"/>
          </w:tcPr>
          <w:p w14:paraId="289F1AE7"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7AD7D932"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CCC0D9"/>
            <w:vAlign w:val="center"/>
          </w:tcPr>
          <w:p w14:paraId="45B445B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Action communautaire pour la lutte contre la dégradation du couvert végétal, les éboulements du flanc de la montagne Tchaa à Tchitchao</w:t>
            </w:r>
          </w:p>
          <w:p w14:paraId="2FE3E66F"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CCC0D9"/>
            <w:vAlign w:val="center"/>
          </w:tcPr>
          <w:p w14:paraId="550BFF7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CCC0D9"/>
            <w:vAlign w:val="center"/>
          </w:tcPr>
          <w:p w14:paraId="4853B16C"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Kahya senegalensis, Senna siamea, Albizia lebec</w:t>
            </w:r>
          </w:p>
        </w:tc>
      </w:tr>
      <w:tr w:rsidR="007475D1" w:rsidRPr="001557BB" w14:paraId="6BE4EE15" w14:textId="77777777" w:rsidTr="00C13127">
        <w:trPr>
          <w:jc w:val="center"/>
        </w:trPr>
        <w:tc>
          <w:tcPr>
            <w:tcW w:w="1555" w:type="dxa"/>
            <w:vMerge/>
            <w:shd w:val="clear" w:color="auto" w:fill="5F497A"/>
            <w:vAlign w:val="center"/>
          </w:tcPr>
          <w:p w14:paraId="6857716C" w14:textId="77777777" w:rsidR="007475D1" w:rsidRPr="00210FB4" w:rsidRDefault="007475D1" w:rsidP="00752D3B">
            <w:pPr>
              <w:spacing w:after="0" w:line="240" w:lineRule="auto"/>
              <w:rPr>
                <w:rFonts w:ascii="Times New Roman" w:hAnsi="Times New Roman" w:cs="Times New Roman"/>
                <w:sz w:val="20"/>
                <w:szCs w:val="20"/>
                <w:lang w:val="es-ES_tradnl"/>
              </w:rPr>
            </w:pPr>
          </w:p>
        </w:tc>
        <w:tc>
          <w:tcPr>
            <w:tcW w:w="1417" w:type="dxa"/>
            <w:vMerge/>
            <w:shd w:val="clear" w:color="auto" w:fill="B2A1C7"/>
            <w:vAlign w:val="center"/>
          </w:tcPr>
          <w:p w14:paraId="7DA73338" w14:textId="77777777" w:rsidR="007475D1" w:rsidRPr="00210FB4" w:rsidRDefault="007475D1" w:rsidP="00752D3B">
            <w:pPr>
              <w:spacing w:after="0" w:line="240" w:lineRule="auto"/>
              <w:rPr>
                <w:rFonts w:ascii="Times New Roman" w:hAnsi="Times New Roman" w:cs="Times New Roman"/>
                <w:sz w:val="20"/>
                <w:szCs w:val="20"/>
                <w:lang w:val="es-ES_tradnl"/>
              </w:rPr>
            </w:pPr>
          </w:p>
        </w:tc>
        <w:tc>
          <w:tcPr>
            <w:tcW w:w="2429" w:type="dxa"/>
            <w:vMerge/>
            <w:shd w:val="clear" w:color="auto" w:fill="CCC0D9"/>
            <w:vAlign w:val="center"/>
          </w:tcPr>
          <w:p w14:paraId="1264D645" w14:textId="77777777" w:rsidR="007475D1" w:rsidRPr="00210FB4" w:rsidRDefault="007475D1" w:rsidP="00752D3B">
            <w:pPr>
              <w:spacing w:after="0" w:line="240" w:lineRule="auto"/>
              <w:rPr>
                <w:rFonts w:ascii="Times New Roman" w:hAnsi="Times New Roman" w:cs="Times New Roman"/>
                <w:sz w:val="20"/>
                <w:szCs w:val="20"/>
                <w:lang w:val="es-ES_tradnl"/>
              </w:rPr>
            </w:pPr>
          </w:p>
        </w:tc>
        <w:tc>
          <w:tcPr>
            <w:tcW w:w="2287" w:type="dxa"/>
            <w:shd w:val="clear" w:color="auto" w:fill="CCC0D9"/>
            <w:vAlign w:val="center"/>
          </w:tcPr>
          <w:p w14:paraId="417CD056"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CCC0D9"/>
            <w:vAlign w:val="center"/>
          </w:tcPr>
          <w:p w14:paraId="6C5140B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cantonale</w:t>
            </w:r>
          </w:p>
          <w:p w14:paraId="042CA5A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villageoise avec projection de film</w:t>
            </w:r>
          </w:p>
          <w:p w14:paraId="3FDB537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Reboisement de 5ha d'arbres forestiers autour de la montagne</w:t>
            </w:r>
          </w:p>
          <w:p w14:paraId="5C1E536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Haie vive de 1100m de long au pied de la montagne</w:t>
            </w:r>
          </w:p>
          <w:p w14:paraId="127349D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60 ha de montagne et flanc de montagne reboisé</w:t>
            </w:r>
          </w:p>
        </w:tc>
      </w:tr>
      <w:tr w:rsidR="007475D1" w:rsidRPr="001557BB" w14:paraId="616A30E1" w14:textId="77777777" w:rsidTr="00C13127">
        <w:trPr>
          <w:jc w:val="center"/>
        </w:trPr>
        <w:tc>
          <w:tcPr>
            <w:tcW w:w="1555" w:type="dxa"/>
            <w:vMerge/>
            <w:shd w:val="clear" w:color="auto" w:fill="5F497A"/>
            <w:vAlign w:val="center"/>
          </w:tcPr>
          <w:p w14:paraId="488E9D2E"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2230C9CD"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CCC0D9"/>
            <w:vAlign w:val="center"/>
          </w:tcPr>
          <w:p w14:paraId="44BA7A04"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CCC0D9"/>
            <w:vAlign w:val="center"/>
          </w:tcPr>
          <w:p w14:paraId="40E7BC4D"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CCC0D9"/>
            <w:vAlign w:val="center"/>
          </w:tcPr>
          <w:p w14:paraId="152FAF7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PADES, AGAIB-KARA, les leaders communautaires, le comité de pilotage, la population locale (mise en terre des plants), Banque Mondiale/PGICT</w:t>
            </w:r>
          </w:p>
        </w:tc>
      </w:tr>
      <w:tr w:rsidR="007475D1" w:rsidRPr="006D7E22" w14:paraId="52DF593F" w14:textId="77777777" w:rsidTr="00C13127">
        <w:trPr>
          <w:jc w:val="center"/>
        </w:trPr>
        <w:tc>
          <w:tcPr>
            <w:tcW w:w="1555" w:type="dxa"/>
            <w:vMerge/>
            <w:shd w:val="clear" w:color="auto" w:fill="5F497A"/>
            <w:vAlign w:val="center"/>
          </w:tcPr>
          <w:p w14:paraId="41E215BC"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196899A7"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E5DFEC"/>
            <w:vAlign w:val="center"/>
          </w:tcPr>
          <w:p w14:paraId="5CDB52A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Projet de reboisement des montagnes Omakpèlè  et Agamato à Atakpamé dans la Préfecture de l’Ogou</w:t>
            </w:r>
          </w:p>
          <w:p w14:paraId="64FF2A08"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2BFC72CA"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E5DFEC"/>
            <w:vAlign w:val="center"/>
          </w:tcPr>
          <w:p w14:paraId="0ECC68DB" w14:textId="77777777" w:rsidR="007475D1" w:rsidRPr="00210FB4" w:rsidRDefault="007475D1" w:rsidP="00752D3B">
            <w:pPr>
              <w:spacing w:after="0" w:line="240" w:lineRule="auto"/>
              <w:rPr>
                <w:rFonts w:ascii="Times New Roman" w:hAnsi="Times New Roman" w:cs="Times New Roman"/>
                <w:i/>
                <w:sz w:val="20"/>
                <w:szCs w:val="20"/>
                <w:lang w:val="es-ES_tradnl"/>
              </w:rPr>
            </w:pPr>
            <w:r w:rsidRPr="00210FB4">
              <w:rPr>
                <w:rFonts w:ascii="Times New Roman" w:hAnsi="Times New Roman" w:cs="Times New Roman"/>
                <w:i/>
                <w:sz w:val="20"/>
                <w:szCs w:val="20"/>
                <w:lang w:val="es-ES_tradnl"/>
              </w:rPr>
              <w:t>Senna siamea, Gmelina arobrea, Parkia biglobosa</w:t>
            </w:r>
          </w:p>
        </w:tc>
      </w:tr>
      <w:tr w:rsidR="007475D1" w:rsidRPr="001557BB" w14:paraId="5E59C089" w14:textId="77777777" w:rsidTr="00C13127">
        <w:trPr>
          <w:jc w:val="center"/>
        </w:trPr>
        <w:tc>
          <w:tcPr>
            <w:tcW w:w="1555" w:type="dxa"/>
            <w:vMerge/>
            <w:shd w:val="clear" w:color="auto" w:fill="5F497A"/>
            <w:vAlign w:val="center"/>
          </w:tcPr>
          <w:p w14:paraId="5D6FAEDC"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1417" w:type="dxa"/>
            <w:vMerge/>
            <w:shd w:val="clear" w:color="auto" w:fill="B2A1C7"/>
            <w:vAlign w:val="center"/>
          </w:tcPr>
          <w:p w14:paraId="20941A1F"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429" w:type="dxa"/>
            <w:vMerge/>
            <w:shd w:val="clear" w:color="auto" w:fill="E5DFEC"/>
            <w:vAlign w:val="center"/>
          </w:tcPr>
          <w:p w14:paraId="6CBAD5D3" w14:textId="77777777" w:rsidR="007475D1" w:rsidRPr="00210FB4" w:rsidRDefault="007475D1" w:rsidP="00752D3B">
            <w:pPr>
              <w:spacing w:after="0" w:line="240" w:lineRule="auto"/>
              <w:rPr>
                <w:rFonts w:ascii="Times New Roman" w:hAnsi="Times New Roman" w:cs="Times New Roman"/>
                <w:sz w:val="20"/>
                <w:szCs w:val="20"/>
                <w:lang w:val="en-US"/>
              </w:rPr>
            </w:pPr>
          </w:p>
        </w:tc>
        <w:tc>
          <w:tcPr>
            <w:tcW w:w="2287" w:type="dxa"/>
            <w:shd w:val="clear" w:color="auto" w:fill="E5DFEC"/>
            <w:vAlign w:val="center"/>
          </w:tcPr>
          <w:p w14:paraId="56A9F331"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E5DFEC"/>
            <w:vAlign w:val="center"/>
          </w:tcPr>
          <w:p w14:paraId="50E37C3C"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reboisement de la montagne "omakpèlè" à Kossikiti et d'Agamato à Agbo lycée sur 25 ha</w:t>
            </w:r>
          </w:p>
          <w:p w14:paraId="4221F70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Sensibilisation de la communauté</w:t>
            </w:r>
          </w:p>
          <w:p w14:paraId="2C0F3465"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écartement : 2 x 2</w:t>
            </w:r>
          </w:p>
        </w:tc>
      </w:tr>
      <w:tr w:rsidR="007475D1" w:rsidRPr="001557BB" w14:paraId="27866BDF" w14:textId="77777777" w:rsidTr="00C13127">
        <w:trPr>
          <w:jc w:val="center"/>
        </w:trPr>
        <w:tc>
          <w:tcPr>
            <w:tcW w:w="1555" w:type="dxa"/>
            <w:vMerge/>
            <w:shd w:val="clear" w:color="auto" w:fill="5F497A"/>
            <w:vAlign w:val="center"/>
          </w:tcPr>
          <w:p w14:paraId="343C2A4D"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032FA059"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552717AD"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57C41B2B"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E5DFEC"/>
            <w:vAlign w:val="center"/>
          </w:tcPr>
          <w:p w14:paraId="195330DE"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ONG ACATBLI, AGAIB PLATEAUX, la population locale</w:t>
            </w:r>
          </w:p>
        </w:tc>
      </w:tr>
      <w:tr w:rsidR="007475D1" w:rsidRPr="001557BB" w14:paraId="751585C1" w14:textId="77777777" w:rsidTr="00C13127">
        <w:trPr>
          <w:jc w:val="center"/>
        </w:trPr>
        <w:tc>
          <w:tcPr>
            <w:tcW w:w="1555" w:type="dxa"/>
            <w:vMerge w:val="restart"/>
            <w:shd w:val="clear" w:color="auto" w:fill="5F497A"/>
            <w:vAlign w:val="center"/>
          </w:tcPr>
          <w:p w14:paraId="6AE51ED4" w14:textId="77777777" w:rsidR="007475D1" w:rsidRPr="00210FB4" w:rsidRDefault="007475D1" w:rsidP="00752D3B">
            <w:pPr>
              <w:spacing w:after="0" w:line="240" w:lineRule="auto"/>
              <w:rPr>
                <w:rFonts w:ascii="Times New Roman" w:hAnsi="Times New Roman" w:cs="Times New Roman"/>
                <w:sz w:val="20"/>
                <w:szCs w:val="20"/>
              </w:rPr>
            </w:pPr>
          </w:p>
          <w:p w14:paraId="72DC9C87"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val="restart"/>
            <w:shd w:val="clear" w:color="auto" w:fill="B2A1C7"/>
            <w:vAlign w:val="center"/>
          </w:tcPr>
          <w:p w14:paraId="146DEE71"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val="restart"/>
            <w:shd w:val="clear" w:color="auto" w:fill="E5DFEC"/>
            <w:vAlign w:val="center"/>
          </w:tcPr>
          <w:p w14:paraId="58612138"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b/>
                <w:sz w:val="20"/>
                <w:szCs w:val="20"/>
              </w:rPr>
              <w:t>Restauration de la mangrove autour du lac de Zowla (préfecture des Lacs</w:t>
            </w:r>
          </w:p>
        </w:tc>
        <w:tc>
          <w:tcPr>
            <w:tcW w:w="2287" w:type="dxa"/>
            <w:shd w:val="clear" w:color="auto" w:fill="E5DFEC"/>
            <w:vAlign w:val="center"/>
          </w:tcPr>
          <w:p w14:paraId="214435B7"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Espèces d’arbres utilisés</w:t>
            </w:r>
          </w:p>
        </w:tc>
        <w:tc>
          <w:tcPr>
            <w:tcW w:w="7333" w:type="dxa"/>
            <w:shd w:val="clear" w:color="auto" w:fill="E5DFEC"/>
            <w:vAlign w:val="center"/>
          </w:tcPr>
          <w:p w14:paraId="50CD7530" w14:textId="77777777" w:rsidR="007475D1" w:rsidRPr="00210FB4" w:rsidRDefault="007475D1" w:rsidP="00752D3B">
            <w:pPr>
              <w:spacing w:after="0" w:line="240" w:lineRule="auto"/>
              <w:rPr>
                <w:rFonts w:ascii="Times New Roman" w:hAnsi="Times New Roman" w:cs="Times New Roman"/>
                <w:sz w:val="20"/>
                <w:szCs w:val="20"/>
                <w:lang w:val="en-US"/>
              </w:rPr>
            </w:pPr>
            <w:r w:rsidRPr="00210FB4">
              <w:rPr>
                <w:rFonts w:ascii="Times New Roman" w:hAnsi="Times New Roman" w:cs="Times New Roman"/>
                <w:i/>
                <w:sz w:val="20"/>
                <w:szCs w:val="20"/>
              </w:rPr>
              <w:t>Rhizophora racemosa, Avicenia germinans</w:t>
            </w:r>
          </w:p>
        </w:tc>
      </w:tr>
      <w:tr w:rsidR="007475D1" w:rsidRPr="001557BB" w14:paraId="445DF51C" w14:textId="77777777" w:rsidTr="00C13127">
        <w:trPr>
          <w:jc w:val="center"/>
        </w:trPr>
        <w:tc>
          <w:tcPr>
            <w:tcW w:w="1555" w:type="dxa"/>
            <w:vMerge/>
            <w:shd w:val="clear" w:color="auto" w:fill="5F497A"/>
            <w:vAlign w:val="center"/>
          </w:tcPr>
          <w:p w14:paraId="55B93CB7"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3E5B1F35"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48C90F37"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64599E73"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Méthodes techniques/Caractéristiques techniques utilisées</w:t>
            </w:r>
          </w:p>
        </w:tc>
        <w:tc>
          <w:tcPr>
            <w:tcW w:w="7333" w:type="dxa"/>
            <w:shd w:val="clear" w:color="auto" w:fill="E5DFEC"/>
            <w:vAlign w:val="center"/>
          </w:tcPr>
          <w:p w14:paraId="5D208A13" w14:textId="77777777" w:rsidR="007475D1" w:rsidRPr="00210FB4" w:rsidRDefault="007475D1" w:rsidP="00752D3B">
            <w:pPr>
              <w:spacing w:after="0" w:line="240" w:lineRule="auto"/>
              <w:ind w:left="33"/>
              <w:rPr>
                <w:rFonts w:ascii="Times New Roman" w:hAnsi="Times New Roman" w:cs="Times New Roman"/>
                <w:sz w:val="20"/>
                <w:szCs w:val="20"/>
              </w:rPr>
            </w:pPr>
            <w:r w:rsidRPr="00210FB4">
              <w:rPr>
                <w:rFonts w:ascii="Times New Roman" w:hAnsi="Times New Roman" w:cs="Times New Roman"/>
                <w:sz w:val="20"/>
                <w:szCs w:val="20"/>
              </w:rPr>
              <w:t xml:space="preserve">Identification des sites pour le ramassage des semenceaux, Essais de régénération des semenceaux au laboratoire, Formation des pépiniéristes, Mise en place de la pépinière et arrosage des plants, reboisement, </w:t>
            </w:r>
          </w:p>
        </w:tc>
      </w:tr>
      <w:tr w:rsidR="007475D1" w:rsidRPr="001557BB" w14:paraId="37917187" w14:textId="77777777" w:rsidTr="00C13127">
        <w:trPr>
          <w:jc w:val="center"/>
        </w:trPr>
        <w:tc>
          <w:tcPr>
            <w:tcW w:w="1555" w:type="dxa"/>
            <w:vMerge/>
            <w:shd w:val="clear" w:color="auto" w:fill="5F497A"/>
            <w:vAlign w:val="center"/>
          </w:tcPr>
          <w:p w14:paraId="639116D3" w14:textId="77777777" w:rsidR="007475D1" w:rsidRPr="00210FB4" w:rsidRDefault="007475D1" w:rsidP="00752D3B">
            <w:pPr>
              <w:spacing w:after="0" w:line="240" w:lineRule="auto"/>
              <w:rPr>
                <w:rFonts w:ascii="Times New Roman" w:hAnsi="Times New Roman" w:cs="Times New Roman"/>
                <w:sz w:val="20"/>
                <w:szCs w:val="20"/>
              </w:rPr>
            </w:pPr>
          </w:p>
        </w:tc>
        <w:tc>
          <w:tcPr>
            <w:tcW w:w="1417" w:type="dxa"/>
            <w:vMerge/>
            <w:shd w:val="clear" w:color="auto" w:fill="B2A1C7"/>
            <w:vAlign w:val="center"/>
          </w:tcPr>
          <w:p w14:paraId="50258CD2" w14:textId="77777777" w:rsidR="007475D1" w:rsidRPr="00210FB4" w:rsidRDefault="007475D1" w:rsidP="00752D3B">
            <w:pPr>
              <w:spacing w:after="0" w:line="240" w:lineRule="auto"/>
              <w:rPr>
                <w:rFonts w:ascii="Times New Roman" w:hAnsi="Times New Roman" w:cs="Times New Roman"/>
                <w:sz w:val="20"/>
                <w:szCs w:val="20"/>
              </w:rPr>
            </w:pPr>
          </w:p>
        </w:tc>
        <w:tc>
          <w:tcPr>
            <w:tcW w:w="2429" w:type="dxa"/>
            <w:vMerge/>
            <w:shd w:val="clear" w:color="auto" w:fill="E5DFEC"/>
            <w:vAlign w:val="center"/>
          </w:tcPr>
          <w:p w14:paraId="4B982AE8" w14:textId="77777777" w:rsidR="007475D1" w:rsidRPr="00210FB4" w:rsidRDefault="007475D1" w:rsidP="00752D3B">
            <w:pPr>
              <w:spacing w:after="0" w:line="240" w:lineRule="auto"/>
              <w:rPr>
                <w:rFonts w:ascii="Times New Roman" w:hAnsi="Times New Roman" w:cs="Times New Roman"/>
                <w:sz w:val="20"/>
                <w:szCs w:val="20"/>
              </w:rPr>
            </w:pPr>
          </w:p>
        </w:tc>
        <w:tc>
          <w:tcPr>
            <w:tcW w:w="2287" w:type="dxa"/>
            <w:shd w:val="clear" w:color="auto" w:fill="E5DFEC"/>
            <w:vAlign w:val="center"/>
          </w:tcPr>
          <w:p w14:paraId="27B2DF39" w14:textId="77777777" w:rsidR="007475D1" w:rsidRPr="00210FB4" w:rsidRDefault="007475D1" w:rsidP="00752D3B">
            <w:pPr>
              <w:spacing w:after="0" w:line="240" w:lineRule="auto"/>
              <w:rPr>
                <w:rFonts w:ascii="Times New Roman" w:hAnsi="Times New Roman" w:cs="Times New Roman"/>
                <w:sz w:val="20"/>
                <w:szCs w:val="20"/>
              </w:rPr>
            </w:pPr>
            <w:r w:rsidRPr="00210FB4">
              <w:rPr>
                <w:rFonts w:ascii="Times New Roman" w:hAnsi="Times New Roman" w:cs="Times New Roman"/>
                <w:sz w:val="20"/>
                <w:szCs w:val="20"/>
              </w:rPr>
              <w:t>Acteurs impliqués dans la mise en œuvre et leur rôle</w:t>
            </w:r>
          </w:p>
        </w:tc>
        <w:tc>
          <w:tcPr>
            <w:tcW w:w="7333" w:type="dxa"/>
            <w:shd w:val="clear" w:color="auto" w:fill="E5DFEC"/>
            <w:vAlign w:val="center"/>
          </w:tcPr>
          <w:p w14:paraId="142A587D" w14:textId="77777777" w:rsidR="007475D1" w:rsidRPr="00210FB4" w:rsidRDefault="007475D1" w:rsidP="00752D3B">
            <w:pPr>
              <w:widowControl w:val="0"/>
              <w:spacing w:after="0" w:line="240" w:lineRule="auto"/>
              <w:ind w:left="33" w:hanging="33"/>
              <w:rPr>
                <w:rFonts w:ascii="Times New Roman" w:hAnsi="Times New Roman" w:cs="Times New Roman"/>
                <w:sz w:val="20"/>
                <w:szCs w:val="20"/>
              </w:rPr>
            </w:pPr>
            <w:r w:rsidRPr="00210FB4">
              <w:rPr>
                <w:rFonts w:ascii="Times New Roman" w:hAnsi="Times New Roman" w:cs="Times New Roman"/>
                <w:sz w:val="20"/>
                <w:szCs w:val="20"/>
              </w:rPr>
              <w:t>ATOLAP (Association Togolaise de Lutte contre l’Analphabétisme et la Pauvreté), Université de Lomé, Faculté des Sciences, Département de Botanique et de Physiologie Végétale, Population locale.</w:t>
            </w:r>
          </w:p>
        </w:tc>
      </w:tr>
    </w:tbl>
    <w:p w14:paraId="61BD11C5" w14:textId="77777777" w:rsidR="007475D1" w:rsidRPr="001557BB" w:rsidRDefault="007475D1" w:rsidP="007475D1">
      <w:pPr>
        <w:pStyle w:val="DFSStandard"/>
        <w:spacing w:line="240" w:lineRule="auto"/>
        <w:rPr>
          <w:rFonts w:ascii="Times New Roman" w:hAnsi="Times New Roman"/>
        </w:rPr>
      </w:pPr>
    </w:p>
    <w:p w14:paraId="2D5FA894" w14:textId="77777777" w:rsidR="00C13127" w:rsidRDefault="00C13127">
      <w:pPr>
        <w:sectPr w:rsidR="00C13127" w:rsidSect="00C13127">
          <w:pgSz w:w="16838" w:h="11906" w:orient="landscape"/>
          <w:pgMar w:top="1418" w:right="1418" w:bottom="1418" w:left="1418" w:header="709" w:footer="709" w:gutter="0"/>
          <w:cols w:space="708"/>
          <w:docGrid w:linePitch="360"/>
        </w:sectPr>
      </w:pPr>
    </w:p>
    <w:p w14:paraId="49D312D4" w14:textId="77777777" w:rsidR="007475D1" w:rsidRPr="002B6797" w:rsidRDefault="00C13127" w:rsidP="007475D1">
      <w:pPr>
        <w:spacing w:after="0" w:line="240" w:lineRule="auto"/>
        <w:rPr>
          <w:rFonts w:ascii="Times New Roman" w:hAnsi="Times New Roman" w:cs="Times New Roman"/>
          <w:b/>
        </w:rPr>
      </w:pPr>
      <w:bookmarkStart w:id="128" w:name="_Toc425697237"/>
      <w:r>
        <w:rPr>
          <w:rFonts w:ascii="Times New Roman" w:hAnsi="Times New Roman" w:cs="Times New Roman"/>
          <w:b/>
        </w:rPr>
        <w:t>Annexe 2</w:t>
      </w:r>
      <w:r w:rsidR="007475D1" w:rsidRPr="002B6797">
        <w:rPr>
          <w:rFonts w:ascii="Times New Roman" w:hAnsi="Times New Roman" w:cs="Times New Roman"/>
          <w:b/>
        </w:rPr>
        <w:t>: Liste des espèces végétales menacées</w:t>
      </w:r>
      <w:bookmarkEnd w:id="128"/>
    </w:p>
    <w:p w14:paraId="4186196B" w14:textId="77777777" w:rsidR="00C13127" w:rsidRDefault="00C13127" w:rsidP="007475D1">
      <w:pPr>
        <w:pStyle w:val="Pa14"/>
        <w:spacing w:after="0" w:line="240" w:lineRule="auto"/>
        <w:jc w:val="both"/>
        <w:rPr>
          <w:rFonts w:ascii="Times New Roman" w:hAnsi="Times New Roman"/>
          <w:color w:val="000000"/>
          <w:sz w:val="20"/>
          <w:szCs w:val="20"/>
          <w:lang w:val="fr-FR"/>
        </w:rPr>
      </w:pPr>
    </w:p>
    <w:p w14:paraId="508A05DF" w14:textId="77777777" w:rsidR="007475D1" w:rsidRPr="002B6797" w:rsidRDefault="007475D1" w:rsidP="007475D1">
      <w:pPr>
        <w:pStyle w:val="Pa14"/>
        <w:spacing w:after="0" w:line="240" w:lineRule="auto"/>
        <w:jc w:val="both"/>
        <w:rPr>
          <w:rFonts w:ascii="Times New Roman" w:hAnsi="Times New Roman"/>
          <w:lang w:val="fr-FR"/>
        </w:rPr>
      </w:pPr>
      <w:r w:rsidRPr="002B6797">
        <w:rPr>
          <w:rFonts w:ascii="Times New Roman" w:hAnsi="Times New Roman"/>
          <w:color w:val="000000"/>
          <w:sz w:val="20"/>
          <w:szCs w:val="20"/>
          <w:lang w:val="fr-FR"/>
        </w:rPr>
        <w:t>Nomenclature UICN : EX : Eteint ; EW : Eteint à l’état sauvage ; RE : Régionalement Éteint ; CR ; Gravement menacé ; EN : Menacé ; VU : Vulnérable ; NT: Presque menacé ; R : Extrêmement rare </w:t>
      </w:r>
      <w:r w:rsidRPr="002B6797">
        <w:rPr>
          <w:rFonts w:ascii="Times New Roman" w:hAnsi="Times New Roman"/>
          <w:sz w:val="20"/>
          <w:szCs w:val="20"/>
          <w:lang w:val="fr-FR"/>
        </w:rPr>
        <w:t xml:space="preserve">; </w:t>
      </w:r>
      <w:r w:rsidRPr="002B6797">
        <w:rPr>
          <w:rFonts w:ascii="Times New Roman" w:hAnsi="Times New Roman"/>
          <w:color w:val="000000"/>
          <w:sz w:val="20"/>
          <w:szCs w:val="20"/>
          <w:lang w:val="fr-FR"/>
        </w:rPr>
        <w:t xml:space="preserve">LC : Moins concerné ; DD : Données Déficientes ; NE : Non évalué ; </w:t>
      </w:r>
      <w:r w:rsidRPr="002B6797">
        <w:rPr>
          <w:rFonts w:ascii="Times New Roman" w:hAnsi="Times New Roman"/>
          <w:sz w:val="20"/>
          <w:szCs w:val="20"/>
          <w:lang w:val="fr-FR"/>
        </w:rPr>
        <w:t>*: Espèces figurant déjà sur la liste UICN</w:t>
      </w:r>
    </w:p>
    <w:p w14:paraId="5A101A58" w14:textId="77777777" w:rsidR="007475D1" w:rsidRDefault="007475D1" w:rsidP="007475D1">
      <w:pPr>
        <w:pStyle w:val="Annexe1lgendeannexe"/>
        <w:rPr>
          <w:rFonts w:ascii="Trebuchet MS" w:hAnsi="Trebuchet MS"/>
        </w:rPr>
      </w:pPr>
    </w:p>
    <w:tbl>
      <w:tblPr>
        <w:tblW w:w="8911" w:type="dxa"/>
        <w:tblInd w:w="55" w:type="dxa"/>
        <w:tblCellMar>
          <w:left w:w="70" w:type="dxa"/>
          <w:right w:w="70" w:type="dxa"/>
        </w:tblCellMar>
        <w:tblLook w:val="04A0" w:firstRow="1" w:lastRow="0" w:firstColumn="1" w:lastColumn="0" w:noHBand="0" w:noVBand="1"/>
      </w:tblPr>
      <w:tblGrid>
        <w:gridCol w:w="724"/>
        <w:gridCol w:w="5245"/>
        <w:gridCol w:w="1701"/>
        <w:gridCol w:w="1241"/>
      </w:tblGrid>
      <w:tr w:rsidR="007475D1" w:rsidRPr="00064B59" w14:paraId="3A6FF636" w14:textId="77777777" w:rsidTr="00752D3B">
        <w:trPr>
          <w:trHeight w:val="300"/>
          <w:tblHeader/>
        </w:trPr>
        <w:tc>
          <w:tcPr>
            <w:tcW w:w="724" w:type="dxa"/>
            <w:tcBorders>
              <w:top w:val="single" w:sz="4" w:space="0" w:color="auto"/>
              <w:left w:val="nil"/>
              <w:bottom w:val="nil"/>
              <w:right w:val="nil"/>
            </w:tcBorders>
            <w:shd w:val="clear" w:color="auto" w:fill="auto"/>
            <w:noWrap/>
            <w:vAlign w:val="bottom"/>
            <w:hideMark/>
          </w:tcPr>
          <w:p w14:paraId="36CF961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N°</w:t>
            </w:r>
          </w:p>
        </w:tc>
        <w:tc>
          <w:tcPr>
            <w:tcW w:w="5245" w:type="dxa"/>
            <w:tcBorders>
              <w:top w:val="single" w:sz="4" w:space="0" w:color="auto"/>
              <w:left w:val="nil"/>
              <w:bottom w:val="nil"/>
              <w:right w:val="nil"/>
            </w:tcBorders>
            <w:shd w:val="clear" w:color="auto" w:fill="auto"/>
            <w:vAlign w:val="bottom"/>
            <w:hideMark/>
          </w:tcPr>
          <w:p w14:paraId="54BE787A"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Cs/>
                <w:color w:val="000000"/>
                <w:sz w:val="20"/>
                <w:szCs w:val="20"/>
                <w:lang w:eastAsia="fr-FR"/>
              </w:rPr>
              <w:t>Espèce</w:t>
            </w:r>
          </w:p>
        </w:tc>
        <w:tc>
          <w:tcPr>
            <w:tcW w:w="1701" w:type="dxa"/>
            <w:tcBorders>
              <w:top w:val="single" w:sz="4" w:space="0" w:color="auto"/>
              <w:left w:val="nil"/>
              <w:bottom w:val="nil"/>
              <w:right w:val="nil"/>
            </w:tcBorders>
            <w:shd w:val="clear" w:color="auto" w:fill="auto"/>
            <w:vAlign w:val="bottom"/>
            <w:hideMark/>
          </w:tcPr>
          <w:p w14:paraId="2A20C50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Familles</w:t>
            </w:r>
          </w:p>
        </w:tc>
        <w:tc>
          <w:tcPr>
            <w:tcW w:w="1241" w:type="dxa"/>
            <w:tcBorders>
              <w:top w:val="single" w:sz="4" w:space="0" w:color="auto"/>
              <w:left w:val="nil"/>
              <w:bottom w:val="nil"/>
              <w:right w:val="nil"/>
            </w:tcBorders>
            <w:shd w:val="clear" w:color="auto" w:fill="auto"/>
            <w:vAlign w:val="bottom"/>
            <w:hideMark/>
          </w:tcPr>
          <w:p w14:paraId="463355D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Statut IUCN</w:t>
            </w:r>
          </w:p>
        </w:tc>
      </w:tr>
      <w:tr w:rsidR="007475D1" w:rsidRPr="00064B59" w14:paraId="11730B9F" w14:textId="77777777" w:rsidTr="00752D3B">
        <w:trPr>
          <w:trHeight w:val="300"/>
        </w:trPr>
        <w:tc>
          <w:tcPr>
            <w:tcW w:w="724" w:type="dxa"/>
            <w:tcBorders>
              <w:top w:val="single" w:sz="4" w:space="0" w:color="auto"/>
              <w:left w:val="nil"/>
              <w:bottom w:val="nil"/>
              <w:right w:val="nil"/>
            </w:tcBorders>
            <w:shd w:val="clear" w:color="auto" w:fill="auto"/>
            <w:noWrap/>
            <w:vAlign w:val="bottom"/>
            <w:hideMark/>
          </w:tcPr>
          <w:p w14:paraId="744553C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w:t>
            </w:r>
          </w:p>
        </w:tc>
        <w:tc>
          <w:tcPr>
            <w:tcW w:w="5245" w:type="dxa"/>
            <w:tcBorders>
              <w:top w:val="single" w:sz="4" w:space="0" w:color="auto"/>
              <w:left w:val="nil"/>
              <w:bottom w:val="nil"/>
              <w:right w:val="nil"/>
            </w:tcBorders>
            <w:shd w:val="clear" w:color="auto" w:fill="auto"/>
            <w:vAlign w:val="bottom"/>
            <w:hideMark/>
          </w:tcPr>
          <w:p w14:paraId="22ACC5AD"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Adansonia digitata </w:t>
            </w:r>
            <w:r w:rsidRPr="00064B59">
              <w:rPr>
                <w:rFonts w:ascii="Times New Roman" w:eastAsia="Times New Roman" w:hAnsi="Times New Roman" w:cs="Times New Roman"/>
                <w:iCs/>
                <w:color w:val="000000"/>
                <w:sz w:val="20"/>
                <w:szCs w:val="20"/>
                <w:lang w:eastAsia="fr-FR"/>
              </w:rPr>
              <w:t>L.</w:t>
            </w:r>
          </w:p>
        </w:tc>
        <w:tc>
          <w:tcPr>
            <w:tcW w:w="1701" w:type="dxa"/>
            <w:tcBorders>
              <w:top w:val="single" w:sz="4" w:space="0" w:color="auto"/>
              <w:left w:val="nil"/>
              <w:bottom w:val="nil"/>
              <w:right w:val="nil"/>
            </w:tcBorders>
            <w:shd w:val="clear" w:color="auto" w:fill="auto"/>
            <w:vAlign w:val="bottom"/>
            <w:hideMark/>
          </w:tcPr>
          <w:p w14:paraId="59284E6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Bombacaceae</w:t>
            </w:r>
          </w:p>
        </w:tc>
        <w:tc>
          <w:tcPr>
            <w:tcW w:w="1241" w:type="dxa"/>
            <w:tcBorders>
              <w:top w:val="single" w:sz="4" w:space="0" w:color="auto"/>
              <w:left w:val="nil"/>
              <w:bottom w:val="nil"/>
              <w:right w:val="nil"/>
            </w:tcBorders>
            <w:shd w:val="clear" w:color="auto" w:fill="auto"/>
            <w:vAlign w:val="bottom"/>
            <w:hideMark/>
          </w:tcPr>
          <w:p w14:paraId="7A545CA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NA</w:t>
            </w:r>
          </w:p>
        </w:tc>
      </w:tr>
      <w:tr w:rsidR="007475D1" w:rsidRPr="00064B59" w14:paraId="5057C3BF" w14:textId="77777777" w:rsidTr="00752D3B">
        <w:trPr>
          <w:trHeight w:val="300"/>
        </w:trPr>
        <w:tc>
          <w:tcPr>
            <w:tcW w:w="724" w:type="dxa"/>
            <w:tcBorders>
              <w:top w:val="nil"/>
              <w:left w:val="nil"/>
              <w:bottom w:val="nil"/>
              <w:right w:val="nil"/>
            </w:tcBorders>
            <w:shd w:val="clear" w:color="auto" w:fill="auto"/>
            <w:noWrap/>
            <w:vAlign w:val="bottom"/>
            <w:hideMark/>
          </w:tcPr>
          <w:p w14:paraId="059198F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w:t>
            </w:r>
          </w:p>
        </w:tc>
        <w:tc>
          <w:tcPr>
            <w:tcW w:w="5245" w:type="dxa"/>
            <w:tcBorders>
              <w:top w:val="nil"/>
              <w:left w:val="nil"/>
              <w:bottom w:val="nil"/>
              <w:right w:val="nil"/>
            </w:tcBorders>
            <w:shd w:val="clear" w:color="auto" w:fill="auto"/>
            <w:noWrap/>
            <w:vAlign w:val="bottom"/>
            <w:hideMark/>
          </w:tcPr>
          <w:p w14:paraId="3DA64380"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Afrosersalisia afzelii </w:t>
            </w:r>
            <w:r w:rsidRPr="00064B59">
              <w:rPr>
                <w:rFonts w:ascii="Times New Roman" w:eastAsia="Times New Roman" w:hAnsi="Times New Roman" w:cs="Times New Roman"/>
                <w:iCs/>
                <w:color w:val="000000"/>
                <w:sz w:val="20"/>
                <w:szCs w:val="20"/>
                <w:lang w:eastAsia="fr-FR"/>
              </w:rPr>
              <w:t>(Engl.) A.Chev.</w:t>
            </w:r>
          </w:p>
        </w:tc>
        <w:tc>
          <w:tcPr>
            <w:tcW w:w="1701" w:type="dxa"/>
            <w:tcBorders>
              <w:top w:val="nil"/>
              <w:left w:val="nil"/>
              <w:bottom w:val="nil"/>
              <w:right w:val="nil"/>
            </w:tcBorders>
            <w:shd w:val="clear" w:color="auto" w:fill="auto"/>
            <w:noWrap/>
            <w:vAlign w:val="bottom"/>
            <w:hideMark/>
          </w:tcPr>
          <w:p w14:paraId="2E78646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Sapotaceae</w:t>
            </w:r>
          </w:p>
        </w:tc>
        <w:tc>
          <w:tcPr>
            <w:tcW w:w="1241" w:type="dxa"/>
            <w:tcBorders>
              <w:top w:val="nil"/>
              <w:left w:val="nil"/>
              <w:bottom w:val="nil"/>
              <w:right w:val="nil"/>
            </w:tcBorders>
            <w:shd w:val="clear" w:color="auto" w:fill="auto"/>
            <w:noWrap/>
            <w:vAlign w:val="bottom"/>
            <w:hideMark/>
          </w:tcPr>
          <w:p w14:paraId="5BB1D57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59E5D4F3" w14:textId="77777777" w:rsidTr="00752D3B">
        <w:trPr>
          <w:trHeight w:val="300"/>
        </w:trPr>
        <w:tc>
          <w:tcPr>
            <w:tcW w:w="724" w:type="dxa"/>
            <w:tcBorders>
              <w:top w:val="nil"/>
              <w:left w:val="nil"/>
              <w:bottom w:val="nil"/>
              <w:right w:val="nil"/>
            </w:tcBorders>
            <w:shd w:val="clear" w:color="auto" w:fill="auto"/>
            <w:noWrap/>
            <w:vAlign w:val="bottom"/>
            <w:hideMark/>
          </w:tcPr>
          <w:p w14:paraId="51FD5E1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w:t>
            </w:r>
          </w:p>
        </w:tc>
        <w:tc>
          <w:tcPr>
            <w:tcW w:w="5245" w:type="dxa"/>
            <w:tcBorders>
              <w:top w:val="nil"/>
              <w:left w:val="nil"/>
              <w:bottom w:val="nil"/>
              <w:right w:val="nil"/>
            </w:tcBorders>
            <w:shd w:val="clear" w:color="auto" w:fill="auto"/>
            <w:vAlign w:val="bottom"/>
            <w:hideMark/>
          </w:tcPr>
          <w:p w14:paraId="000F5AD2"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Afzelia africana </w:t>
            </w:r>
            <w:r w:rsidRPr="00064B59">
              <w:rPr>
                <w:rFonts w:ascii="Times New Roman" w:eastAsia="Times New Roman" w:hAnsi="Times New Roman" w:cs="Times New Roman"/>
                <w:iCs/>
                <w:color w:val="000000"/>
                <w:sz w:val="20"/>
                <w:szCs w:val="20"/>
                <w:lang w:eastAsia="fr-FR"/>
              </w:rPr>
              <w:t>Sm.</w:t>
            </w:r>
          </w:p>
        </w:tc>
        <w:tc>
          <w:tcPr>
            <w:tcW w:w="1701" w:type="dxa"/>
            <w:tcBorders>
              <w:top w:val="nil"/>
              <w:left w:val="nil"/>
              <w:bottom w:val="nil"/>
              <w:right w:val="nil"/>
            </w:tcBorders>
            <w:shd w:val="clear" w:color="auto" w:fill="auto"/>
            <w:vAlign w:val="bottom"/>
            <w:hideMark/>
          </w:tcPr>
          <w:p w14:paraId="681BE22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vAlign w:val="bottom"/>
            <w:hideMark/>
          </w:tcPr>
          <w:p w14:paraId="10C1124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8F945EC" w14:textId="77777777" w:rsidTr="00752D3B">
        <w:trPr>
          <w:trHeight w:val="300"/>
        </w:trPr>
        <w:tc>
          <w:tcPr>
            <w:tcW w:w="724" w:type="dxa"/>
            <w:tcBorders>
              <w:top w:val="nil"/>
              <w:left w:val="nil"/>
              <w:bottom w:val="nil"/>
              <w:right w:val="nil"/>
            </w:tcBorders>
            <w:shd w:val="clear" w:color="auto" w:fill="auto"/>
            <w:noWrap/>
            <w:vAlign w:val="bottom"/>
            <w:hideMark/>
          </w:tcPr>
          <w:p w14:paraId="612754D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p>
        </w:tc>
        <w:tc>
          <w:tcPr>
            <w:tcW w:w="5245" w:type="dxa"/>
            <w:tcBorders>
              <w:top w:val="nil"/>
              <w:left w:val="nil"/>
              <w:bottom w:val="nil"/>
              <w:right w:val="nil"/>
            </w:tcBorders>
            <w:shd w:val="clear" w:color="auto" w:fill="auto"/>
            <w:noWrap/>
            <w:vAlign w:val="bottom"/>
            <w:hideMark/>
          </w:tcPr>
          <w:p w14:paraId="3CEF2296"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val="en-GB" w:eastAsia="fr-FR"/>
              </w:rPr>
              <w:t xml:space="preserve">Afzelia bella </w:t>
            </w:r>
            <w:r w:rsidRPr="00064B59">
              <w:rPr>
                <w:rFonts w:ascii="Times New Roman" w:eastAsia="Times New Roman" w:hAnsi="Times New Roman" w:cs="Times New Roman"/>
                <w:iCs/>
                <w:color w:val="000000"/>
                <w:sz w:val="20"/>
                <w:szCs w:val="20"/>
                <w:lang w:val="en-GB" w:eastAsia="fr-FR"/>
              </w:rPr>
              <w:t>Harms</w:t>
            </w:r>
          </w:p>
        </w:tc>
        <w:tc>
          <w:tcPr>
            <w:tcW w:w="1701" w:type="dxa"/>
            <w:tcBorders>
              <w:top w:val="nil"/>
              <w:left w:val="nil"/>
              <w:bottom w:val="nil"/>
              <w:right w:val="nil"/>
            </w:tcBorders>
            <w:shd w:val="clear" w:color="auto" w:fill="auto"/>
            <w:noWrap/>
            <w:vAlign w:val="bottom"/>
            <w:hideMark/>
          </w:tcPr>
          <w:p w14:paraId="3D0EA3D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75B056A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57EFB84" w14:textId="77777777" w:rsidTr="00752D3B">
        <w:trPr>
          <w:trHeight w:val="300"/>
        </w:trPr>
        <w:tc>
          <w:tcPr>
            <w:tcW w:w="724" w:type="dxa"/>
            <w:tcBorders>
              <w:top w:val="nil"/>
              <w:left w:val="nil"/>
              <w:bottom w:val="nil"/>
              <w:right w:val="nil"/>
            </w:tcBorders>
            <w:shd w:val="clear" w:color="auto" w:fill="auto"/>
            <w:noWrap/>
            <w:vAlign w:val="bottom"/>
            <w:hideMark/>
          </w:tcPr>
          <w:p w14:paraId="5DFC2EF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5</w:t>
            </w:r>
          </w:p>
        </w:tc>
        <w:tc>
          <w:tcPr>
            <w:tcW w:w="5245" w:type="dxa"/>
            <w:tcBorders>
              <w:top w:val="nil"/>
              <w:left w:val="nil"/>
              <w:bottom w:val="nil"/>
              <w:right w:val="nil"/>
            </w:tcBorders>
            <w:shd w:val="clear" w:color="auto" w:fill="auto"/>
            <w:vAlign w:val="bottom"/>
            <w:hideMark/>
          </w:tcPr>
          <w:p w14:paraId="2EA1ED4E"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Albizia adianthifolia </w:t>
            </w:r>
            <w:r w:rsidRPr="00064B59">
              <w:rPr>
                <w:rFonts w:ascii="Times New Roman" w:eastAsia="Times New Roman" w:hAnsi="Times New Roman" w:cs="Times New Roman"/>
                <w:iCs/>
                <w:color w:val="000000"/>
                <w:sz w:val="20"/>
                <w:szCs w:val="20"/>
                <w:lang w:val="en-US" w:eastAsia="fr-FR"/>
              </w:rPr>
              <w:t>(Schum.) W.F.Wight</w:t>
            </w:r>
          </w:p>
        </w:tc>
        <w:tc>
          <w:tcPr>
            <w:tcW w:w="1701" w:type="dxa"/>
            <w:tcBorders>
              <w:top w:val="nil"/>
              <w:left w:val="nil"/>
              <w:bottom w:val="nil"/>
              <w:right w:val="nil"/>
            </w:tcBorders>
            <w:shd w:val="clear" w:color="auto" w:fill="auto"/>
            <w:vAlign w:val="bottom"/>
            <w:hideMark/>
          </w:tcPr>
          <w:p w14:paraId="151998B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val="en-US" w:eastAsia="fr-FR"/>
              </w:rPr>
              <w:t>Fabaceae</w:t>
            </w:r>
          </w:p>
        </w:tc>
        <w:tc>
          <w:tcPr>
            <w:tcW w:w="1241" w:type="dxa"/>
            <w:tcBorders>
              <w:top w:val="nil"/>
              <w:left w:val="nil"/>
              <w:bottom w:val="nil"/>
              <w:right w:val="nil"/>
            </w:tcBorders>
            <w:shd w:val="clear" w:color="auto" w:fill="auto"/>
            <w:vAlign w:val="bottom"/>
            <w:hideMark/>
          </w:tcPr>
          <w:p w14:paraId="1203592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val="en-US" w:eastAsia="fr-FR"/>
              </w:rPr>
              <w:t>NA</w:t>
            </w:r>
          </w:p>
        </w:tc>
      </w:tr>
      <w:tr w:rsidR="007475D1" w:rsidRPr="00064B59" w14:paraId="3D52E1F0" w14:textId="77777777" w:rsidTr="00752D3B">
        <w:trPr>
          <w:trHeight w:val="300"/>
        </w:trPr>
        <w:tc>
          <w:tcPr>
            <w:tcW w:w="724" w:type="dxa"/>
            <w:tcBorders>
              <w:top w:val="nil"/>
              <w:left w:val="nil"/>
              <w:bottom w:val="nil"/>
              <w:right w:val="nil"/>
            </w:tcBorders>
            <w:shd w:val="clear" w:color="auto" w:fill="auto"/>
            <w:noWrap/>
            <w:vAlign w:val="bottom"/>
            <w:hideMark/>
          </w:tcPr>
          <w:p w14:paraId="1383B71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6</w:t>
            </w:r>
          </w:p>
        </w:tc>
        <w:tc>
          <w:tcPr>
            <w:tcW w:w="5245" w:type="dxa"/>
            <w:tcBorders>
              <w:top w:val="nil"/>
              <w:left w:val="nil"/>
              <w:bottom w:val="nil"/>
              <w:right w:val="nil"/>
            </w:tcBorders>
            <w:shd w:val="clear" w:color="auto" w:fill="auto"/>
            <w:noWrap/>
            <w:vAlign w:val="bottom"/>
            <w:hideMark/>
          </w:tcPr>
          <w:p w14:paraId="3F13D9C7"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Albizia ferruginea </w:t>
            </w:r>
            <w:r w:rsidRPr="00064B59">
              <w:rPr>
                <w:rFonts w:ascii="Times New Roman" w:eastAsia="Times New Roman" w:hAnsi="Times New Roman" w:cs="Times New Roman"/>
                <w:iCs/>
                <w:color w:val="000000"/>
                <w:sz w:val="20"/>
                <w:szCs w:val="20"/>
                <w:lang w:val="en-US" w:eastAsia="fr-FR"/>
              </w:rPr>
              <w:t>(Guill. &amp; Perr.) Benth</w:t>
            </w:r>
            <w:r w:rsidRPr="00064B59">
              <w:rPr>
                <w:rFonts w:ascii="Times New Roman" w:eastAsia="Times New Roman" w:hAnsi="Times New Roman" w:cs="Times New Roman"/>
                <w:i/>
                <w:iCs/>
                <w:color w:val="000000"/>
                <w:sz w:val="20"/>
                <w:szCs w:val="20"/>
                <w:lang w:val="en-US" w:eastAsia="fr-FR"/>
              </w:rPr>
              <w:t>.</w:t>
            </w:r>
          </w:p>
        </w:tc>
        <w:tc>
          <w:tcPr>
            <w:tcW w:w="1701" w:type="dxa"/>
            <w:tcBorders>
              <w:top w:val="nil"/>
              <w:left w:val="nil"/>
              <w:bottom w:val="nil"/>
              <w:right w:val="nil"/>
            </w:tcBorders>
            <w:shd w:val="clear" w:color="auto" w:fill="auto"/>
            <w:vAlign w:val="bottom"/>
            <w:hideMark/>
          </w:tcPr>
          <w:p w14:paraId="77967AC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62F0720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7A59DB73" w14:textId="77777777" w:rsidTr="00752D3B">
        <w:trPr>
          <w:trHeight w:val="300"/>
        </w:trPr>
        <w:tc>
          <w:tcPr>
            <w:tcW w:w="724" w:type="dxa"/>
            <w:tcBorders>
              <w:top w:val="nil"/>
              <w:left w:val="nil"/>
              <w:bottom w:val="nil"/>
              <w:right w:val="nil"/>
            </w:tcBorders>
            <w:shd w:val="clear" w:color="auto" w:fill="auto"/>
            <w:noWrap/>
            <w:vAlign w:val="bottom"/>
            <w:hideMark/>
          </w:tcPr>
          <w:p w14:paraId="2FB28FE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7</w:t>
            </w:r>
          </w:p>
        </w:tc>
        <w:tc>
          <w:tcPr>
            <w:tcW w:w="5245" w:type="dxa"/>
            <w:tcBorders>
              <w:top w:val="nil"/>
              <w:left w:val="nil"/>
              <w:bottom w:val="nil"/>
              <w:right w:val="nil"/>
            </w:tcBorders>
            <w:shd w:val="clear" w:color="auto" w:fill="auto"/>
            <w:noWrap/>
            <w:vAlign w:val="bottom"/>
            <w:hideMark/>
          </w:tcPr>
          <w:p w14:paraId="704750FB"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Alchornea floribunda </w:t>
            </w:r>
            <w:r w:rsidRPr="00064B59">
              <w:rPr>
                <w:rFonts w:ascii="Times New Roman" w:eastAsia="Times New Roman" w:hAnsi="Times New Roman" w:cs="Times New Roman"/>
                <w:iCs/>
                <w:color w:val="000000"/>
                <w:sz w:val="20"/>
                <w:szCs w:val="20"/>
                <w:lang w:eastAsia="fr-FR"/>
              </w:rPr>
              <w:t>Müll.Arg.</w:t>
            </w:r>
          </w:p>
        </w:tc>
        <w:tc>
          <w:tcPr>
            <w:tcW w:w="1701" w:type="dxa"/>
            <w:tcBorders>
              <w:top w:val="nil"/>
              <w:left w:val="nil"/>
              <w:bottom w:val="nil"/>
              <w:right w:val="nil"/>
            </w:tcBorders>
            <w:shd w:val="clear" w:color="auto" w:fill="auto"/>
            <w:noWrap/>
            <w:vAlign w:val="bottom"/>
            <w:hideMark/>
          </w:tcPr>
          <w:p w14:paraId="7AFA92A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Euphorbiaceae</w:t>
            </w:r>
          </w:p>
        </w:tc>
        <w:tc>
          <w:tcPr>
            <w:tcW w:w="1241" w:type="dxa"/>
            <w:tcBorders>
              <w:top w:val="nil"/>
              <w:left w:val="nil"/>
              <w:bottom w:val="nil"/>
              <w:right w:val="nil"/>
            </w:tcBorders>
            <w:shd w:val="clear" w:color="auto" w:fill="auto"/>
            <w:noWrap/>
            <w:vAlign w:val="bottom"/>
            <w:hideMark/>
          </w:tcPr>
          <w:p w14:paraId="79D84EF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7422B8C3" w14:textId="77777777" w:rsidTr="00752D3B">
        <w:trPr>
          <w:trHeight w:val="300"/>
        </w:trPr>
        <w:tc>
          <w:tcPr>
            <w:tcW w:w="724" w:type="dxa"/>
            <w:tcBorders>
              <w:top w:val="nil"/>
              <w:left w:val="nil"/>
              <w:bottom w:val="nil"/>
              <w:right w:val="nil"/>
            </w:tcBorders>
            <w:shd w:val="clear" w:color="auto" w:fill="auto"/>
            <w:noWrap/>
            <w:vAlign w:val="bottom"/>
            <w:hideMark/>
          </w:tcPr>
          <w:p w14:paraId="6444D1D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8</w:t>
            </w:r>
          </w:p>
        </w:tc>
        <w:tc>
          <w:tcPr>
            <w:tcW w:w="5245" w:type="dxa"/>
            <w:tcBorders>
              <w:top w:val="nil"/>
              <w:left w:val="nil"/>
              <w:bottom w:val="nil"/>
              <w:right w:val="nil"/>
            </w:tcBorders>
            <w:shd w:val="clear" w:color="auto" w:fill="auto"/>
            <w:noWrap/>
            <w:vAlign w:val="bottom"/>
            <w:hideMark/>
          </w:tcPr>
          <w:p w14:paraId="3F344508"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val="en-US" w:eastAsia="fr-FR"/>
              </w:rPr>
            </w:pPr>
            <w:r w:rsidRPr="00064B59">
              <w:rPr>
                <w:rFonts w:ascii="Times New Roman" w:eastAsia="Times New Roman" w:hAnsi="Times New Roman" w:cs="Times New Roman"/>
                <w:i/>
                <w:iCs/>
                <w:color w:val="000000"/>
                <w:sz w:val="20"/>
                <w:szCs w:val="20"/>
                <w:lang w:val="de-DE" w:eastAsia="fr-FR"/>
              </w:rPr>
              <w:t>Ancistrophyllum secundiflorum (</w:t>
            </w:r>
            <w:r w:rsidRPr="00064B59">
              <w:rPr>
                <w:rFonts w:ascii="Times New Roman" w:eastAsia="Times New Roman" w:hAnsi="Times New Roman" w:cs="Times New Roman"/>
                <w:iCs/>
                <w:color w:val="000000"/>
                <w:sz w:val="20"/>
                <w:szCs w:val="20"/>
                <w:lang w:val="de-DE" w:eastAsia="fr-FR"/>
              </w:rPr>
              <w:t>P. Beauv.) Wendl.</w:t>
            </w:r>
          </w:p>
        </w:tc>
        <w:tc>
          <w:tcPr>
            <w:tcW w:w="1701" w:type="dxa"/>
            <w:tcBorders>
              <w:top w:val="nil"/>
              <w:left w:val="nil"/>
              <w:bottom w:val="nil"/>
              <w:right w:val="nil"/>
            </w:tcBorders>
            <w:shd w:val="clear" w:color="auto" w:fill="auto"/>
            <w:noWrap/>
            <w:vAlign w:val="bottom"/>
            <w:hideMark/>
          </w:tcPr>
          <w:p w14:paraId="534928C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Arecaceae</w:t>
            </w:r>
          </w:p>
        </w:tc>
        <w:tc>
          <w:tcPr>
            <w:tcW w:w="1241" w:type="dxa"/>
            <w:tcBorders>
              <w:top w:val="nil"/>
              <w:left w:val="nil"/>
              <w:bottom w:val="nil"/>
              <w:right w:val="nil"/>
            </w:tcBorders>
            <w:shd w:val="clear" w:color="auto" w:fill="auto"/>
            <w:noWrap/>
            <w:vAlign w:val="bottom"/>
            <w:hideMark/>
          </w:tcPr>
          <w:p w14:paraId="38AD870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41309503" w14:textId="77777777" w:rsidTr="00752D3B">
        <w:trPr>
          <w:trHeight w:val="300"/>
        </w:trPr>
        <w:tc>
          <w:tcPr>
            <w:tcW w:w="724" w:type="dxa"/>
            <w:tcBorders>
              <w:top w:val="nil"/>
              <w:left w:val="nil"/>
              <w:bottom w:val="nil"/>
              <w:right w:val="nil"/>
            </w:tcBorders>
            <w:shd w:val="clear" w:color="auto" w:fill="auto"/>
            <w:noWrap/>
            <w:vAlign w:val="bottom"/>
            <w:hideMark/>
          </w:tcPr>
          <w:p w14:paraId="7317162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9</w:t>
            </w:r>
          </w:p>
        </w:tc>
        <w:tc>
          <w:tcPr>
            <w:tcW w:w="5245" w:type="dxa"/>
            <w:tcBorders>
              <w:top w:val="nil"/>
              <w:left w:val="nil"/>
              <w:bottom w:val="nil"/>
              <w:right w:val="nil"/>
            </w:tcBorders>
            <w:shd w:val="clear" w:color="auto" w:fill="auto"/>
            <w:noWrap/>
            <w:vAlign w:val="bottom"/>
            <w:hideMark/>
          </w:tcPr>
          <w:p w14:paraId="57B91BF3"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Anthocleista nobilis </w:t>
            </w:r>
            <w:r w:rsidRPr="00064B59">
              <w:rPr>
                <w:rFonts w:ascii="Times New Roman" w:eastAsia="Times New Roman" w:hAnsi="Times New Roman" w:cs="Times New Roman"/>
                <w:iCs/>
                <w:color w:val="000000"/>
                <w:sz w:val="20"/>
                <w:szCs w:val="20"/>
                <w:lang w:eastAsia="fr-FR"/>
              </w:rPr>
              <w:t>G. Don</w:t>
            </w:r>
          </w:p>
        </w:tc>
        <w:tc>
          <w:tcPr>
            <w:tcW w:w="1701" w:type="dxa"/>
            <w:tcBorders>
              <w:top w:val="nil"/>
              <w:left w:val="nil"/>
              <w:bottom w:val="nil"/>
              <w:right w:val="nil"/>
            </w:tcBorders>
            <w:shd w:val="clear" w:color="auto" w:fill="auto"/>
            <w:noWrap/>
            <w:vAlign w:val="bottom"/>
            <w:hideMark/>
          </w:tcPr>
          <w:p w14:paraId="73720E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Loganiaceae</w:t>
            </w:r>
          </w:p>
        </w:tc>
        <w:tc>
          <w:tcPr>
            <w:tcW w:w="1241" w:type="dxa"/>
            <w:tcBorders>
              <w:top w:val="nil"/>
              <w:left w:val="nil"/>
              <w:bottom w:val="nil"/>
              <w:right w:val="nil"/>
            </w:tcBorders>
            <w:shd w:val="clear" w:color="auto" w:fill="auto"/>
            <w:noWrap/>
            <w:vAlign w:val="bottom"/>
            <w:hideMark/>
          </w:tcPr>
          <w:p w14:paraId="7990C05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6702430F" w14:textId="77777777" w:rsidTr="00752D3B">
        <w:trPr>
          <w:trHeight w:val="300"/>
        </w:trPr>
        <w:tc>
          <w:tcPr>
            <w:tcW w:w="724" w:type="dxa"/>
            <w:tcBorders>
              <w:top w:val="nil"/>
              <w:left w:val="nil"/>
              <w:bottom w:val="nil"/>
              <w:right w:val="nil"/>
            </w:tcBorders>
            <w:shd w:val="clear" w:color="auto" w:fill="auto"/>
            <w:noWrap/>
            <w:vAlign w:val="bottom"/>
            <w:hideMark/>
          </w:tcPr>
          <w:p w14:paraId="7FD17D3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10</w:t>
            </w:r>
          </w:p>
        </w:tc>
        <w:tc>
          <w:tcPr>
            <w:tcW w:w="5245" w:type="dxa"/>
            <w:tcBorders>
              <w:top w:val="nil"/>
              <w:left w:val="nil"/>
              <w:bottom w:val="nil"/>
              <w:right w:val="nil"/>
            </w:tcBorders>
            <w:shd w:val="clear" w:color="auto" w:fill="auto"/>
            <w:noWrap/>
            <w:vAlign w:val="bottom"/>
            <w:hideMark/>
          </w:tcPr>
          <w:p w14:paraId="22BD7AC1"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Anthocleista vogelii </w:t>
            </w:r>
            <w:r w:rsidRPr="00064B59">
              <w:rPr>
                <w:rFonts w:ascii="Times New Roman" w:eastAsia="Times New Roman" w:hAnsi="Times New Roman" w:cs="Times New Roman"/>
                <w:iCs/>
                <w:color w:val="000000"/>
                <w:sz w:val="20"/>
                <w:szCs w:val="20"/>
                <w:lang w:eastAsia="fr-FR"/>
              </w:rPr>
              <w:t>Planch.</w:t>
            </w:r>
          </w:p>
        </w:tc>
        <w:tc>
          <w:tcPr>
            <w:tcW w:w="1701" w:type="dxa"/>
            <w:tcBorders>
              <w:top w:val="nil"/>
              <w:left w:val="nil"/>
              <w:bottom w:val="nil"/>
              <w:right w:val="nil"/>
            </w:tcBorders>
            <w:shd w:val="clear" w:color="auto" w:fill="auto"/>
            <w:noWrap/>
            <w:vAlign w:val="bottom"/>
            <w:hideMark/>
          </w:tcPr>
          <w:p w14:paraId="5A1AF49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Loganiaceae</w:t>
            </w:r>
          </w:p>
        </w:tc>
        <w:tc>
          <w:tcPr>
            <w:tcW w:w="1241" w:type="dxa"/>
            <w:tcBorders>
              <w:top w:val="nil"/>
              <w:left w:val="nil"/>
              <w:bottom w:val="nil"/>
              <w:right w:val="nil"/>
            </w:tcBorders>
            <w:shd w:val="clear" w:color="auto" w:fill="auto"/>
            <w:noWrap/>
            <w:vAlign w:val="bottom"/>
            <w:hideMark/>
          </w:tcPr>
          <w:p w14:paraId="5725FA5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43A69CCB" w14:textId="77777777" w:rsidTr="00752D3B">
        <w:trPr>
          <w:trHeight w:val="300"/>
        </w:trPr>
        <w:tc>
          <w:tcPr>
            <w:tcW w:w="724" w:type="dxa"/>
            <w:tcBorders>
              <w:top w:val="nil"/>
              <w:left w:val="nil"/>
              <w:bottom w:val="nil"/>
              <w:right w:val="nil"/>
            </w:tcBorders>
            <w:shd w:val="clear" w:color="auto" w:fill="auto"/>
            <w:noWrap/>
            <w:vAlign w:val="bottom"/>
            <w:hideMark/>
          </w:tcPr>
          <w:p w14:paraId="5CD373A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11</w:t>
            </w:r>
          </w:p>
        </w:tc>
        <w:tc>
          <w:tcPr>
            <w:tcW w:w="5245" w:type="dxa"/>
            <w:tcBorders>
              <w:top w:val="nil"/>
              <w:left w:val="nil"/>
              <w:bottom w:val="nil"/>
              <w:right w:val="nil"/>
            </w:tcBorders>
            <w:shd w:val="clear" w:color="auto" w:fill="auto"/>
            <w:noWrap/>
            <w:vAlign w:val="bottom"/>
            <w:hideMark/>
          </w:tcPr>
          <w:p w14:paraId="3708F2BC"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Anubias hastifolia </w:t>
            </w:r>
            <w:r w:rsidRPr="00064B59">
              <w:rPr>
                <w:rFonts w:ascii="Times New Roman" w:eastAsia="Times New Roman" w:hAnsi="Times New Roman" w:cs="Times New Roman"/>
                <w:iCs/>
                <w:color w:val="000000"/>
                <w:sz w:val="20"/>
                <w:szCs w:val="20"/>
                <w:lang w:eastAsia="fr-FR"/>
              </w:rPr>
              <w:t>Engl.</w:t>
            </w:r>
          </w:p>
        </w:tc>
        <w:tc>
          <w:tcPr>
            <w:tcW w:w="1701" w:type="dxa"/>
            <w:tcBorders>
              <w:top w:val="nil"/>
              <w:left w:val="nil"/>
              <w:bottom w:val="nil"/>
              <w:right w:val="nil"/>
            </w:tcBorders>
            <w:shd w:val="clear" w:color="auto" w:fill="auto"/>
            <w:noWrap/>
            <w:vAlign w:val="bottom"/>
            <w:hideMark/>
          </w:tcPr>
          <w:p w14:paraId="6D54F60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Araceae</w:t>
            </w:r>
          </w:p>
        </w:tc>
        <w:tc>
          <w:tcPr>
            <w:tcW w:w="1241" w:type="dxa"/>
            <w:tcBorders>
              <w:top w:val="nil"/>
              <w:left w:val="nil"/>
              <w:bottom w:val="nil"/>
              <w:right w:val="nil"/>
            </w:tcBorders>
            <w:shd w:val="clear" w:color="auto" w:fill="auto"/>
            <w:noWrap/>
            <w:vAlign w:val="bottom"/>
            <w:hideMark/>
          </w:tcPr>
          <w:p w14:paraId="6F70562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2D60247B" w14:textId="77777777" w:rsidTr="00752D3B">
        <w:trPr>
          <w:trHeight w:val="300"/>
        </w:trPr>
        <w:tc>
          <w:tcPr>
            <w:tcW w:w="724" w:type="dxa"/>
            <w:tcBorders>
              <w:top w:val="nil"/>
              <w:left w:val="nil"/>
              <w:bottom w:val="nil"/>
              <w:right w:val="nil"/>
            </w:tcBorders>
            <w:shd w:val="clear" w:color="auto" w:fill="auto"/>
            <w:noWrap/>
            <w:vAlign w:val="bottom"/>
            <w:hideMark/>
          </w:tcPr>
          <w:p w14:paraId="69D9E43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12</w:t>
            </w:r>
          </w:p>
        </w:tc>
        <w:tc>
          <w:tcPr>
            <w:tcW w:w="5245" w:type="dxa"/>
            <w:tcBorders>
              <w:top w:val="nil"/>
              <w:left w:val="nil"/>
              <w:bottom w:val="nil"/>
              <w:right w:val="nil"/>
            </w:tcBorders>
            <w:shd w:val="clear" w:color="auto" w:fill="auto"/>
            <w:noWrap/>
            <w:vAlign w:val="bottom"/>
            <w:hideMark/>
          </w:tcPr>
          <w:p w14:paraId="6716302F"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Berlinia tomentella </w:t>
            </w:r>
            <w:r w:rsidRPr="00064B59">
              <w:rPr>
                <w:rFonts w:ascii="Times New Roman" w:eastAsia="Times New Roman" w:hAnsi="Times New Roman" w:cs="Times New Roman"/>
                <w:iCs/>
                <w:color w:val="000000"/>
                <w:sz w:val="20"/>
                <w:szCs w:val="20"/>
                <w:lang w:eastAsia="fr-FR"/>
              </w:rPr>
              <w:t>Keay</w:t>
            </w:r>
          </w:p>
        </w:tc>
        <w:tc>
          <w:tcPr>
            <w:tcW w:w="1701" w:type="dxa"/>
            <w:tcBorders>
              <w:top w:val="nil"/>
              <w:left w:val="nil"/>
              <w:bottom w:val="nil"/>
              <w:right w:val="nil"/>
            </w:tcBorders>
            <w:shd w:val="clear" w:color="auto" w:fill="auto"/>
            <w:noWrap/>
            <w:vAlign w:val="bottom"/>
            <w:hideMark/>
          </w:tcPr>
          <w:p w14:paraId="5943591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07BE5F7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4E182E4B" w14:textId="77777777" w:rsidTr="00752D3B">
        <w:trPr>
          <w:trHeight w:val="300"/>
        </w:trPr>
        <w:tc>
          <w:tcPr>
            <w:tcW w:w="724" w:type="dxa"/>
            <w:tcBorders>
              <w:top w:val="nil"/>
              <w:left w:val="nil"/>
              <w:bottom w:val="nil"/>
              <w:right w:val="nil"/>
            </w:tcBorders>
            <w:shd w:val="clear" w:color="auto" w:fill="auto"/>
            <w:noWrap/>
            <w:vAlign w:val="bottom"/>
            <w:hideMark/>
          </w:tcPr>
          <w:p w14:paraId="5C643F8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13</w:t>
            </w:r>
          </w:p>
        </w:tc>
        <w:tc>
          <w:tcPr>
            <w:tcW w:w="5245" w:type="dxa"/>
            <w:tcBorders>
              <w:top w:val="nil"/>
              <w:left w:val="nil"/>
              <w:bottom w:val="nil"/>
              <w:right w:val="nil"/>
            </w:tcBorders>
            <w:shd w:val="clear" w:color="auto" w:fill="auto"/>
            <w:noWrap/>
            <w:vAlign w:val="bottom"/>
            <w:hideMark/>
          </w:tcPr>
          <w:p w14:paraId="0CE5E467"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Bertiera brachypetala </w:t>
            </w:r>
          </w:p>
        </w:tc>
        <w:tc>
          <w:tcPr>
            <w:tcW w:w="1701" w:type="dxa"/>
            <w:tcBorders>
              <w:top w:val="nil"/>
              <w:left w:val="nil"/>
              <w:bottom w:val="nil"/>
              <w:right w:val="nil"/>
            </w:tcBorders>
            <w:shd w:val="clear" w:color="auto" w:fill="auto"/>
            <w:noWrap/>
            <w:vAlign w:val="bottom"/>
            <w:hideMark/>
          </w:tcPr>
          <w:p w14:paraId="6A780C6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1A807BC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610AF61F" w14:textId="77777777" w:rsidTr="00752D3B">
        <w:trPr>
          <w:trHeight w:val="300"/>
        </w:trPr>
        <w:tc>
          <w:tcPr>
            <w:tcW w:w="724" w:type="dxa"/>
            <w:tcBorders>
              <w:top w:val="nil"/>
              <w:left w:val="nil"/>
              <w:bottom w:val="nil"/>
              <w:right w:val="nil"/>
            </w:tcBorders>
            <w:shd w:val="clear" w:color="auto" w:fill="auto"/>
            <w:noWrap/>
            <w:vAlign w:val="bottom"/>
            <w:hideMark/>
          </w:tcPr>
          <w:p w14:paraId="10B4E04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14</w:t>
            </w:r>
          </w:p>
        </w:tc>
        <w:tc>
          <w:tcPr>
            <w:tcW w:w="5245" w:type="dxa"/>
            <w:tcBorders>
              <w:top w:val="nil"/>
              <w:left w:val="nil"/>
              <w:bottom w:val="nil"/>
              <w:right w:val="nil"/>
            </w:tcBorders>
            <w:shd w:val="clear" w:color="auto" w:fill="auto"/>
            <w:noWrap/>
            <w:vAlign w:val="bottom"/>
            <w:hideMark/>
          </w:tcPr>
          <w:p w14:paraId="060C758F"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Blighia welwitschii </w:t>
            </w:r>
            <w:r w:rsidRPr="00064B59">
              <w:rPr>
                <w:rFonts w:ascii="Times New Roman" w:eastAsia="Times New Roman" w:hAnsi="Times New Roman" w:cs="Times New Roman"/>
                <w:iCs/>
                <w:color w:val="000000"/>
                <w:sz w:val="20"/>
                <w:szCs w:val="20"/>
                <w:lang w:eastAsia="fr-FR"/>
              </w:rPr>
              <w:t>(Hiern) Radkl</w:t>
            </w:r>
          </w:p>
        </w:tc>
        <w:tc>
          <w:tcPr>
            <w:tcW w:w="1701" w:type="dxa"/>
            <w:tcBorders>
              <w:top w:val="nil"/>
              <w:left w:val="nil"/>
              <w:bottom w:val="nil"/>
              <w:right w:val="nil"/>
            </w:tcBorders>
            <w:shd w:val="clear" w:color="auto" w:fill="auto"/>
            <w:noWrap/>
            <w:vAlign w:val="bottom"/>
            <w:hideMark/>
          </w:tcPr>
          <w:p w14:paraId="2706B52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Sapindaceae</w:t>
            </w:r>
          </w:p>
        </w:tc>
        <w:tc>
          <w:tcPr>
            <w:tcW w:w="1241" w:type="dxa"/>
            <w:tcBorders>
              <w:top w:val="nil"/>
              <w:left w:val="nil"/>
              <w:bottom w:val="nil"/>
              <w:right w:val="nil"/>
            </w:tcBorders>
            <w:shd w:val="clear" w:color="auto" w:fill="auto"/>
            <w:noWrap/>
            <w:vAlign w:val="bottom"/>
            <w:hideMark/>
          </w:tcPr>
          <w:p w14:paraId="4760A0F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0B06C05" w14:textId="77777777" w:rsidTr="00752D3B">
        <w:trPr>
          <w:trHeight w:val="300"/>
        </w:trPr>
        <w:tc>
          <w:tcPr>
            <w:tcW w:w="724" w:type="dxa"/>
            <w:tcBorders>
              <w:top w:val="nil"/>
              <w:left w:val="nil"/>
              <w:bottom w:val="nil"/>
              <w:right w:val="nil"/>
            </w:tcBorders>
            <w:shd w:val="clear" w:color="auto" w:fill="auto"/>
            <w:noWrap/>
            <w:vAlign w:val="bottom"/>
            <w:hideMark/>
          </w:tcPr>
          <w:p w14:paraId="7C90E26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15</w:t>
            </w:r>
          </w:p>
        </w:tc>
        <w:tc>
          <w:tcPr>
            <w:tcW w:w="5245" w:type="dxa"/>
            <w:tcBorders>
              <w:top w:val="nil"/>
              <w:left w:val="nil"/>
              <w:bottom w:val="nil"/>
              <w:right w:val="nil"/>
            </w:tcBorders>
            <w:shd w:val="clear" w:color="auto" w:fill="auto"/>
            <w:vAlign w:val="bottom"/>
            <w:hideMark/>
          </w:tcPr>
          <w:p w14:paraId="5D4B16EF" w14:textId="77777777" w:rsidR="007475D1" w:rsidRPr="00064B59" w:rsidRDefault="007475D1" w:rsidP="00752D3B">
            <w:pPr>
              <w:spacing w:after="0" w:line="240" w:lineRule="auto"/>
              <w:jc w:val="both"/>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Borassus aethiopum </w:t>
            </w:r>
            <w:r w:rsidRPr="00064B59">
              <w:rPr>
                <w:rFonts w:ascii="Times New Roman" w:eastAsia="Times New Roman" w:hAnsi="Times New Roman" w:cs="Times New Roman"/>
                <w:iCs/>
                <w:color w:val="000000"/>
                <w:sz w:val="20"/>
                <w:szCs w:val="20"/>
                <w:lang w:eastAsia="fr-FR"/>
              </w:rPr>
              <w:t>Mart.</w:t>
            </w:r>
          </w:p>
        </w:tc>
        <w:tc>
          <w:tcPr>
            <w:tcW w:w="1701" w:type="dxa"/>
            <w:tcBorders>
              <w:top w:val="nil"/>
              <w:left w:val="nil"/>
              <w:bottom w:val="nil"/>
              <w:right w:val="nil"/>
            </w:tcBorders>
            <w:shd w:val="clear" w:color="auto" w:fill="auto"/>
            <w:vAlign w:val="bottom"/>
            <w:hideMark/>
          </w:tcPr>
          <w:p w14:paraId="24BBB69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val="en-US" w:eastAsia="fr-FR"/>
              </w:rPr>
              <w:t>Arecaceae</w:t>
            </w:r>
          </w:p>
        </w:tc>
        <w:tc>
          <w:tcPr>
            <w:tcW w:w="1241" w:type="dxa"/>
            <w:tcBorders>
              <w:top w:val="nil"/>
              <w:left w:val="nil"/>
              <w:bottom w:val="nil"/>
              <w:right w:val="nil"/>
            </w:tcBorders>
            <w:shd w:val="clear" w:color="auto" w:fill="auto"/>
            <w:vAlign w:val="bottom"/>
            <w:hideMark/>
          </w:tcPr>
          <w:p w14:paraId="5058FB6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val="en-US" w:eastAsia="fr-FR"/>
              </w:rPr>
              <w:t>LR</w:t>
            </w:r>
          </w:p>
        </w:tc>
      </w:tr>
      <w:tr w:rsidR="007475D1" w:rsidRPr="00064B59" w14:paraId="7DFC2B54" w14:textId="77777777" w:rsidTr="00752D3B">
        <w:trPr>
          <w:trHeight w:val="300"/>
        </w:trPr>
        <w:tc>
          <w:tcPr>
            <w:tcW w:w="724" w:type="dxa"/>
            <w:tcBorders>
              <w:top w:val="nil"/>
              <w:left w:val="nil"/>
              <w:bottom w:val="nil"/>
              <w:right w:val="nil"/>
            </w:tcBorders>
            <w:shd w:val="clear" w:color="auto" w:fill="auto"/>
            <w:noWrap/>
            <w:vAlign w:val="bottom"/>
            <w:hideMark/>
          </w:tcPr>
          <w:p w14:paraId="0B2C9CA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16</w:t>
            </w:r>
          </w:p>
        </w:tc>
        <w:tc>
          <w:tcPr>
            <w:tcW w:w="5245" w:type="dxa"/>
            <w:tcBorders>
              <w:top w:val="nil"/>
              <w:left w:val="nil"/>
              <w:bottom w:val="nil"/>
              <w:right w:val="nil"/>
            </w:tcBorders>
            <w:shd w:val="clear" w:color="auto" w:fill="auto"/>
            <w:noWrap/>
            <w:vAlign w:val="bottom"/>
            <w:hideMark/>
          </w:tcPr>
          <w:p w14:paraId="4981E21F"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Caloncoba echinata </w:t>
            </w:r>
            <w:r w:rsidRPr="00064B59">
              <w:rPr>
                <w:rFonts w:ascii="Times New Roman" w:eastAsia="Times New Roman" w:hAnsi="Times New Roman" w:cs="Times New Roman"/>
                <w:iCs/>
                <w:color w:val="000000"/>
                <w:sz w:val="20"/>
                <w:szCs w:val="20"/>
                <w:lang w:eastAsia="fr-FR"/>
              </w:rPr>
              <w:t>(Oliv.) Gilg</w:t>
            </w:r>
          </w:p>
        </w:tc>
        <w:tc>
          <w:tcPr>
            <w:tcW w:w="1701" w:type="dxa"/>
            <w:tcBorders>
              <w:top w:val="nil"/>
              <w:left w:val="nil"/>
              <w:bottom w:val="nil"/>
              <w:right w:val="nil"/>
            </w:tcBorders>
            <w:shd w:val="clear" w:color="auto" w:fill="auto"/>
            <w:noWrap/>
            <w:vAlign w:val="bottom"/>
            <w:hideMark/>
          </w:tcPr>
          <w:p w14:paraId="16CC9A7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Flacourtiaceae</w:t>
            </w:r>
          </w:p>
        </w:tc>
        <w:tc>
          <w:tcPr>
            <w:tcW w:w="1241" w:type="dxa"/>
            <w:tcBorders>
              <w:top w:val="nil"/>
              <w:left w:val="nil"/>
              <w:bottom w:val="nil"/>
              <w:right w:val="nil"/>
            </w:tcBorders>
            <w:shd w:val="clear" w:color="auto" w:fill="auto"/>
            <w:noWrap/>
            <w:vAlign w:val="bottom"/>
            <w:hideMark/>
          </w:tcPr>
          <w:p w14:paraId="424F79B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020F618B" w14:textId="77777777" w:rsidTr="00752D3B">
        <w:trPr>
          <w:trHeight w:val="300"/>
        </w:trPr>
        <w:tc>
          <w:tcPr>
            <w:tcW w:w="724" w:type="dxa"/>
            <w:tcBorders>
              <w:top w:val="nil"/>
              <w:left w:val="nil"/>
              <w:bottom w:val="nil"/>
              <w:right w:val="nil"/>
            </w:tcBorders>
            <w:shd w:val="clear" w:color="auto" w:fill="auto"/>
            <w:noWrap/>
            <w:vAlign w:val="bottom"/>
            <w:hideMark/>
          </w:tcPr>
          <w:p w14:paraId="4E171FE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17</w:t>
            </w:r>
          </w:p>
        </w:tc>
        <w:tc>
          <w:tcPr>
            <w:tcW w:w="5245" w:type="dxa"/>
            <w:tcBorders>
              <w:top w:val="nil"/>
              <w:left w:val="nil"/>
              <w:bottom w:val="nil"/>
              <w:right w:val="nil"/>
            </w:tcBorders>
            <w:shd w:val="clear" w:color="auto" w:fill="auto"/>
            <w:noWrap/>
            <w:vAlign w:val="bottom"/>
            <w:hideMark/>
          </w:tcPr>
          <w:p w14:paraId="68302B2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Boswellia dalzielii </w:t>
            </w:r>
            <w:r w:rsidRPr="00064B59">
              <w:rPr>
                <w:rFonts w:ascii="Times New Roman" w:eastAsia="Times New Roman" w:hAnsi="Times New Roman" w:cs="Times New Roman"/>
                <w:iCs/>
                <w:color w:val="000000"/>
                <w:sz w:val="20"/>
                <w:szCs w:val="20"/>
                <w:lang w:eastAsia="fr-FR"/>
              </w:rPr>
              <w:t>Hutch.</w:t>
            </w:r>
          </w:p>
        </w:tc>
        <w:tc>
          <w:tcPr>
            <w:tcW w:w="1701" w:type="dxa"/>
            <w:tcBorders>
              <w:top w:val="nil"/>
              <w:left w:val="nil"/>
              <w:bottom w:val="nil"/>
              <w:right w:val="nil"/>
            </w:tcBorders>
            <w:shd w:val="clear" w:color="auto" w:fill="auto"/>
            <w:noWrap/>
            <w:vAlign w:val="bottom"/>
            <w:hideMark/>
          </w:tcPr>
          <w:p w14:paraId="1AF4342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Burseraceae</w:t>
            </w:r>
          </w:p>
        </w:tc>
        <w:tc>
          <w:tcPr>
            <w:tcW w:w="1241" w:type="dxa"/>
            <w:tcBorders>
              <w:top w:val="nil"/>
              <w:left w:val="nil"/>
              <w:bottom w:val="nil"/>
              <w:right w:val="nil"/>
            </w:tcBorders>
            <w:shd w:val="clear" w:color="auto" w:fill="auto"/>
            <w:noWrap/>
            <w:vAlign w:val="bottom"/>
            <w:hideMark/>
          </w:tcPr>
          <w:p w14:paraId="2581DD3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23D85DB0" w14:textId="77777777" w:rsidTr="00752D3B">
        <w:trPr>
          <w:trHeight w:val="300"/>
        </w:trPr>
        <w:tc>
          <w:tcPr>
            <w:tcW w:w="724" w:type="dxa"/>
            <w:tcBorders>
              <w:top w:val="nil"/>
              <w:left w:val="nil"/>
              <w:bottom w:val="nil"/>
              <w:right w:val="nil"/>
            </w:tcBorders>
            <w:shd w:val="clear" w:color="auto" w:fill="auto"/>
            <w:noWrap/>
            <w:vAlign w:val="bottom"/>
            <w:hideMark/>
          </w:tcPr>
          <w:p w14:paraId="231DC29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18</w:t>
            </w:r>
          </w:p>
        </w:tc>
        <w:tc>
          <w:tcPr>
            <w:tcW w:w="5245" w:type="dxa"/>
            <w:tcBorders>
              <w:top w:val="nil"/>
              <w:left w:val="nil"/>
              <w:bottom w:val="nil"/>
              <w:right w:val="nil"/>
            </w:tcBorders>
            <w:shd w:val="clear" w:color="auto" w:fill="auto"/>
            <w:noWrap/>
            <w:vAlign w:val="bottom"/>
            <w:hideMark/>
          </w:tcPr>
          <w:p w14:paraId="47BE5A4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Caloncoba welwitschii </w:t>
            </w:r>
            <w:r w:rsidRPr="00064B59">
              <w:rPr>
                <w:rFonts w:ascii="Times New Roman" w:eastAsia="Times New Roman" w:hAnsi="Times New Roman" w:cs="Times New Roman"/>
                <w:iCs/>
                <w:color w:val="000000"/>
                <w:sz w:val="20"/>
                <w:szCs w:val="20"/>
                <w:lang w:eastAsia="fr-FR"/>
              </w:rPr>
              <w:t>(Oliv.) Gilg</w:t>
            </w:r>
          </w:p>
        </w:tc>
        <w:tc>
          <w:tcPr>
            <w:tcW w:w="1701" w:type="dxa"/>
            <w:tcBorders>
              <w:top w:val="nil"/>
              <w:left w:val="nil"/>
              <w:bottom w:val="nil"/>
              <w:right w:val="nil"/>
            </w:tcBorders>
            <w:shd w:val="clear" w:color="auto" w:fill="auto"/>
            <w:noWrap/>
            <w:vAlign w:val="bottom"/>
            <w:hideMark/>
          </w:tcPr>
          <w:p w14:paraId="6C99E3E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Flacourtiaceae</w:t>
            </w:r>
          </w:p>
        </w:tc>
        <w:tc>
          <w:tcPr>
            <w:tcW w:w="1241" w:type="dxa"/>
            <w:tcBorders>
              <w:top w:val="nil"/>
              <w:left w:val="nil"/>
              <w:bottom w:val="nil"/>
              <w:right w:val="nil"/>
            </w:tcBorders>
            <w:shd w:val="clear" w:color="auto" w:fill="auto"/>
            <w:noWrap/>
            <w:vAlign w:val="bottom"/>
            <w:hideMark/>
          </w:tcPr>
          <w:p w14:paraId="66C80E4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73C76D57" w14:textId="77777777" w:rsidTr="00752D3B">
        <w:trPr>
          <w:trHeight w:val="300"/>
        </w:trPr>
        <w:tc>
          <w:tcPr>
            <w:tcW w:w="724" w:type="dxa"/>
            <w:tcBorders>
              <w:top w:val="nil"/>
              <w:left w:val="nil"/>
              <w:bottom w:val="nil"/>
              <w:right w:val="nil"/>
            </w:tcBorders>
            <w:shd w:val="clear" w:color="auto" w:fill="auto"/>
            <w:noWrap/>
            <w:vAlign w:val="bottom"/>
            <w:hideMark/>
          </w:tcPr>
          <w:p w14:paraId="3E8EDCA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19</w:t>
            </w:r>
          </w:p>
        </w:tc>
        <w:tc>
          <w:tcPr>
            <w:tcW w:w="5245" w:type="dxa"/>
            <w:tcBorders>
              <w:top w:val="nil"/>
              <w:left w:val="nil"/>
              <w:bottom w:val="nil"/>
              <w:right w:val="nil"/>
            </w:tcBorders>
            <w:shd w:val="clear" w:color="auto" w:fill="auto"/>
            <w:noWrap/>
            <w:vAlign w:val="bottom"/>
            <w:hideMark/>
          </w:tcPr>
          <w:p w14:paraId="09B33FC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Capparis erythrocarpos </w:t>
            </w:r>
            <w:r w:rsidRPr="00064B59">
              <w:rPr>
                <w:rFonts w:ascii="Times New Roman" w:eastAsia="Times New Roman" w:hAnsi="Times New Roman" w:cs="Times New Roman"/>
                <w:iCs/>
                <w:color w:val="000000"/>
                <w:sz w:val="20"/>
                <w:szCs w:val="20"/>
                <w:lang w:eastAsia="fr-FR"/>
              </w:rPr>
              <w:t>Isert</w:t>
            </w:r>
          </w:p>
        </w:tc>
        <w:tc>
          <w:tcPr>
            <w:tcW w:w="1701" w:type="dxa"/>
            <w:tcBorders>
              <w:top w:val="nil"/>
              <w:left w:val="nil"/>
              <w:bottom w:val="nil"/>
              <w:right w:val="nil"/>
            </w:tcBorders>
            <w:shd w:val="clear" w:color="auto" w:fill="auto"/>
            <w:noWrap/>
            <w:vAlign w:val="bottom"/>
            <w:hideMark/>
          </w:tcPr>
          <w:p w14:paraId="3CA31BC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Capparaceae</w:t>
            </w:r>
          </w:p>
        </w:tc>
        <w:tc>
          <w:tcPr>
            <w:tcW w:w="1241" w:type="dxa"/>
            <w:tcBorders>
              <w:top w:val="nil"/>
              <w:left w:val="nil"/>
              <w:bottom w:val="nil"/>
              <w:right w:val="nil"/>
            </w:tcBorders>
            <w:shd w:val="clear" w:color="auto" w:fill="auto"/>
            <w:noWrap/>
            <w:vAlign w:val="bottom"/>
            <w:hideMark/>
          </w:tcPr>
          <w:p w14:paraId="586D4A4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5DAC9A10" w14:textId="77777777" w:rsidTr="00752D3B">
        <w:trPr>
          <w:trHeight w:val="300"/>
        </w:trPr>
        <w:tc>
          <w:tcPr>
            <w:tcW w:w="724" w:type="dxa"/>
            <w:tcBorders>
              <w:top w:val="nil"/>
              <w:left w:val="nil"/>
              <w:bottom w:val="nil"/>
              <w:right w:val="nil"/>
            </w:tcBorders>
            <w:shd w:val="clear" w:color="auto" w:fill="auto"/>
            <w:noWrap/>
            <w:vAlign w:val="bottom"/>
            <w:hideMark/>
          </w:tcPr>
          <w:p w14:paraId="44BAA3D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20</w:t>
            </w:r>
          </w:p>
        </w:tc>
        <w:tc>
          <w:tcPr>
            <w:tcW w:w="5245" w:type="dxa"/>
            <w:tcBorders>
              <w:top w:val="nil"/>
              <w:left w:val="nil"/>
              <w:bottom w:val="nil"/>
              <w:right w:val="nil"/>
            </w:tcBorders>
            <w:shd w:val="clear" w:color="auto" w:fill="auto"/>
            <w:vAlign w:val="bottom"/>
            <w:hideMark/>
          </w:tcPr>
          <w:p w14:paraId="472CEF23"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Carissa edulis </w:t>
            </w:r>
            <w:r w:rsidRPr="00064B59">
              <w:rPr>
                <w:rFonts w:ascii="Times New Roman" w:eastAsia="Times New Roman" w:hAnsi="Times New Roman" w:cs="Times New Roman"/>
                <w:iCs/>
                <w:color w:val="000000"/>
                <w:sz w:val="20"/>
                <w:szCs w:val="20"/>
                <w:lang w:eastAsia="fr-FR"/>
              </w:rPr>
              <w:t>(Forssk.) Vahl</w:t>
            </w:r>
          </w:p>
        </w:tc>
        <w:tc>
          <w:tcPr>
            <w:tcW w:w="1701" w:type="dxa"/>
            <w:tcBorders>
              <w:top w:val="nil"/>
              <w:left w:val="nil"/>
              <w:bottom w:val="nil"/>
              <w:right w:val="nil"/>
            </w:tcBorders>
            <w:shd w:val="clear" w:color="auto" w:fill="auto"/>
            <w:vAlign w:val="bottom"/>
            <w:hideMark/>
          </w:tcPr>
          <w:p w14:paraId="21DEDEB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Apocynaceae</w:t>
            </w:r>
          </w:p>
        </w:tc>
        <w:tc>
          <w:tcPr>
            <w:tcW w:w="1241" w:type="dxa"/>
            <w:tcBorders>
              <w:top w:val="nil"/>
              <w:left w:val="nil"/>
              <w:bottom w:val="nil"/>
              <w:right w:val="nil"/>
            </w:tcBorders>
            <w:shd w:val="clear" w:color="auto" w:fill="auto"/>
            <w:vAlign w:val="bottom"/>
            <w:hideMark/>
          </w:tcPr>
          <w:p w14:paraId="7E13EE5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5AB37EF1" w14:textId="77777777" w:rsidTr="00752D3B">
        <w:trPr>
          <w:trHeight w:val="300"/>
        </w:trPr>
        <w:tc>
          <w:tcPr>
            <w:tcW w:w="724" w:type="dxa"/>
            <w:tcBorders>
              <w:top w:val="nil"/>
              <w:left w:val="nil"/>
              <w:bottom w:val="nil"/>
              <w:right w:val="nil"/>
            </w:tcBorders>
            <w:shd w:val="clear" w:color="auto" w:fill="auto"/>
            <w:noWrap/>
            <w:vAlign w:val="bottom"/>
            <w:hideMark/>
          </w:tcPr>
          <w:p w14:paraId="419F32D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21</w:t>
            </w:r>
          </w:p>
        </w:tc>
        <w:tc>
          <w:tcPr>
            <w:tcW w:w="5245" w:type="dxa"/>
            <w:tcBorders>
              <w:top w:val="nil"/>
              <w:left w:val="nil"/>
              <w:bottom w:val="nil"/>
              <w:right w:val="nil"/>
            </w:tcBorders>
            <w:shd w:val="clear" w:color="auto" w:fill="auto"/>
            <w:noWrap/>
            <w:vAlign w:val="bottom"/>
            <w:hideMark/>
          </w:tcPr>
          <w:p w14:paraId="136EA34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Cassia podocarpa </w:t>
            </w:r>
            <w:r w:rsidRPr="00064B59">
              <w:rPr>
                <w:rFonts w:ascii="Times New Roman" w:eastAsia="Times New Roman" w:hAnsi="Times New Roman" w:cs="Times New Roman"/>
                <w:iCs/>
                <w:color w:val="000000"/>
                <w:sz w:val="20"/>
                <w:szCs w:val="20"/>
                <w:lang w:eastAsia="fr-FR"/>
              </w:rPr>
              <w:t>Guill. &amp; Perr.</w:t>
            </w:r>
          </w:p>
        </w:tc>
        <w:tc>
          <w:tcPr>
            <w:tcW w:w="1701" w:type="dxa"/>
            <w:tcBorders>
              <w:top w:val="nil"/>
              <w:left w:val="nil"/>
              <w:bottom w:val="nil"/>
              <w:right w:val="nil"/>
            </w:tcBorders>
            <w:shd w:val="clear" w:color="auto" w:fill="auto"/>
            <w:noWrap/>
            <w:vAlign w:val="bottom"/>
            <w:hideMark/>
          </w:tcPr>
          <w:p w14:paraId="167A724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727DAF1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11223A11" w14:textId="77777777" w:rsidTr="00752D3B">
        <w:trPr>
          <w:trHeight w:val="300"/>
        </w:trPr>
        <w:tc>
          <w:tcPr>
            <w:tcW w:w="724" w:type="dxa"/>
            <w:tcBorders>
              <w:top w:val="nil"/>
              <w:left w:val="nil"/>
              <w:bottom w:val="nil"/>
              <w:right w:val="nil"/>
            </w:tcBorders>
            <w:shd w:val="clear" w:color="auto" w:fill="auto"/>
            <w:noWrap/>
            <w:vAlign w:val="bottom"/>
            <w:hideMark/>
          </w:tcPr>
          <w:p w14:paraId="3319BF3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22</w:t>
            </w:r>
          </w:p>
        </w:tc>
        <w:tc>
          <w:tcPr>
            <w:tcW w:w="5245" w:type="dxa"/>
            <w:tcBorders>
              <w:top w:val="nil"/>
              <w:left w:val="nil"/>
              <w:bottom w:val="nil"/>
              <w:right w:val="nil"/>
            </w:tcBorders>
            <w:shd w:val="clear" w:color="auto" w:fill="auto"/>
            <w:vAlign w:val="bottom"/>
            <w:hideMark/>
          </w:tcPr>
          <w:p w14:paraId="7DC873E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Ceiba pentandra (</w:t>
            </w:r>
            <w:r w:rsidRPr="00064B59">
              <w:rPr>
                <w:rFonts w:ascii="Times New Roman" w:eastAsia="Times New Roman" w:hAnsi="Times New Roman" w:cs="Times New Roman"/>
                <w:iCs/>
                <w:color w:val="000000"/>
                <w:sz w:val="20"/>
                <w:szCs w:val="20"/>
                <w:lang w:eastAsia="fr-FR"/>
              </w:rPr>
              <w:t>L.) Gaertn.</w:t>
            </w:r>
          </w:p>
        </w:tc>
        <w:tc>
          <w:tcPr>
            <w:tcW w:w="1701" w:type="dxa"/>
            <w:tcBorders>
              <w:top w:val="nil"/>
              <w:left w:val="nil"/>
              <w:bottom w:val="nil"/>
              <w:right w:val="nil"/>
            </w:tcBorders>
            <w:shd w:val="clear" w:color="auto" w:fill="auto"/>
            <w:vAlign w:val="bottom"/>
            <w:hideMark/>
          </w:tcPr>
          <w:p w14:paraId="0E1301C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Bombacaceae</w:t>
            </w:r>
          </w:p>
        </w:tc>
        <w:tc>
          <w:tcPr>
            <w:tcW w:w="1241" w:type="dxa"/>
            <w:tcBorders>
              <w:top w:val="nil"/>
              <w:left w:val="nil"/>
              <w:bottom w:val="nil"/>
              <w:right w:val="nil"/>
            </w:tcBorders>
            <w:shd w:val="clear" w:color="auto" w:fill="auto"/>
            <w:vAlign w:val="bottom"/>
            <w:hideMark/>
          </w:tcPr>
          <w:p w14:paraId="0A37938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NA</w:t>
            </w:r>
          </w:p>
        </w:tc>
      </w:tr>
      <w:tr w:rsidR="007475D1" w:rsidRPr="00064B59" w14:paraId="341F1A12" w14:textId="77777777" w:rsidTr="00752D3B">
        <w:trPr>
          <w:trHeight w:val="300"/>
        </w:trPr>
        <w:tc>
          <w:tcPr>
            <w:tcW w:w="724" w:type="dxa"/>
            <w:tcBorders>
              <w:top w:val="nil"/>
              <w:left w:val="nil"/>
              <w:bottom w:val="nil"/>
              <w:right w:val="nil"/>
            </w:tcBorders>
            <w:shd w:val="clear" w:color="auto" w:fill="auto"/>
            <w:noWrap/>
            <w:vAlign w:val="bottom"/>
            <w:hideMark/>
          </w:tcPr>
          <w:p w14:paraId="691A6A3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23</w:t>
            </w:r>
          </w:p>
        </w:tc>
        <w:tc>
          <w:tcPr>
            <w:tcW w:w="5245" w:type="dxa"/>
            <w:tcBorders>
              <w:top w:val="nil"/>
              <w:left w:val="nil"/>
              <w:bottom w:val="nil"/>
              <w:right w:val="nil"/>
            </w:tcBorders>
            <w:shd w:val="clear" w:color="auto" w:fill="auto"/>
            <w:noWrap/>
            <w:vAlign w:val="bottom"/>
            <w:hideMark/>
          </w:tcPr>
          <w:p w14:paraId="356A1AEC"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Celtis adolfi-friderici </w:t>
            </w:r>
            <w:r w:rsidRPr="00064B59">
              <w:rPr>
                <w:rFonts w:ascii="Times New Roman" w:eastAsia="Times New Roman" w:hAnsi="Times New Roman" w:cs="Times New Roman"/>
                <w:iCs/>
                <w:color w:val="000000"/>
                <w:sz w:val="20"/>
                <w:szCs w:val="20"/>
                <w:lang w:eastAsia="fr-FR"/>
              </w:rPr>
              <w:t>Engl</w:t>
            </w:r>
          </w:p>
        </w:tc>
        <w:tc>
          <w:tcPr>
            <w:tcW w:w="1701" w:type="dxa"/>
            <w:tcBorders>
              <w:top w:val="nil"/>
              <w:left w:val="nil"/>
              <w:bottom w:val="nil"/>
              <w:right w:val="nil"/>
            </w:tcBorders>
            <w:shd w:val="clear" w:color="auto" w:fill="auto"/>
            <w:noWrap/>
            <w:vAlign w:val="bottom"/>
            <w:hideMark/>
          </w:tcPr>
          <w:p w14:paraId="4297A02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Ulmaceae</w:t>
            </w:r>
          </w:p>
        </w:tc>
        <w:tc>
          <w:tcPr>
            <w:tcW w:w="1241" w:type="dxa"/>
            <w:tcBorders>
              <w:top w:val="nil"/>
              <w:left w:val="nil"/>
              <w:bottom w:val="nil"/>
              <w:right w:val="nil"/>
            </w:tcBorders>
            <w:shd w:val="clear" w:color="auto" w:fill="auto"/>
            <w:noWrap/>
            <w:vAlign w:val="bottom"/>
            <w:hideMark/>
          </w:tcPr>
          <w:p w14:paraId="4DE70E5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007E5728" w14:textId="77777777" w:rsidTr="00752D3B">
        <w:trPr>
          <w:trHeight w:val="300"/>
        </w:trPr>
        <w:tc>
          <w:tcPr>
            <w:tcW w:w="724" w:type="dxa"/>
            <w:tcBorders>
              <w:top w:val="nil"/>
              <w:left w:val="nil"/>
              <w:bottom w:val="nil"/>
              <w:right w:val="nil"/>
            </w:tcBorders>
            <w:shd w:val="clear" w:color="auto" w:fill="auto"/>
            <w:noWrap/>
            <w:vAlign w:val="bottom"/>
            <w:hideMark/>
          </w:tcPr>
          <w:p w14:paraId="2837E9E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24</w:t>
            </w:r>
          </w:p>
        </w:tc>
        <w:tc>
          <w:tcPr>
            <w:tcW w:w="5245" w:type="dxa"/>
            <w:tcBorders>
              <w:top w:val="nil"/>
              <w:left w:val="nil"/>
              <w:bottom w:val="nil"/>
              <w:right w:val="nil"/>
            </w:tcBorders>
            <w:shd w:val="clear" w:color="auto" w:fill="auto"/>
            <w:noWrap/>
            <w:vAlign w:val="bottom"/>
            <w:hideMark/>
          </w:tcPr>
          <w:p w14:paraId="0415E438"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Chaetacme aristata </w:t>
            </w:r>
            <w:r w:rsidRPr="00064B59">
              <w:rPr>
                <w:rFonts w:ascii="Times New Roman" w:eastAsia="Times New Roman" w:hAnsi="Times New Roman" w:cs="Times New Roman"/>
                <w:iCs/>
                <w:color w:val="000000"/>
                <w:sz w:val="20"/>
                <w:szCs w:val="20"/>
                <w:lang w:eastAsia="fr-FR"/>
              </w:rPr>
              <w:t>Planch.</w:t>
            </w:r>
          </w:p>
        </w:tc>
        <w:tc>
          <w:tcPr>
            <w:tcW w:w="1701" w:type="dxa"/>
            <w:tcBorders>
              <w:top w:val="nil"/>
              <w:left w:val="nil"/>
              <w:bottom w:val="nil"/>
              <w:right w:val="nil"/>
            </w:tcBorders>
            <w:shd w:val="clear" w:color="auto" w:fill="auto"/>
            <w:noWrap/>
            <w:vAlign w:val="bottom"/>
            <w:hideMark/>
          </w:tcPr>
          <w:p w14:paraId="56E0F7E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Ulmaceae</w:t>
            </w:r>
          </w:p>
        </w:tc>
        <w:tc>
          <w:tcPr>
            <w:tcW w:w="1241" w:type="dxa"/>
            <w:tcBorders>
              <w:top w:val="nil"/>
              <w:left w:val="nil"/>
              <w:bottom w:val="nil"/>
              <w:right w:val="nil"/>
            </w:tcBorders>
            <w:shd w:val="clear" w:color="auto" w:fill="auto"/>
            <w:noWrap/>
            <w:vAlign w:val="bottom"/>
            <w:hideMark/>
          </w:tcPr>
          <w:p w14:paraId="0F92742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423F0268" w14:textId="77777777" w:rsidTr="00752D3B">
        <w:trPr>
          <w:trHeight w:val="300"/>
        </w:trPr>
        <w:tc>
          <w:tcPr>
            <w:tcW w:w="724" w:type="dxa"/>
            <w:tcBorders>
              <w:top w:val="nil"/>
              <w:left w:val="nil"/>
              <w:bottom w:val="nil"/>
              <w:right w:val="nil"/>
            </w:tcBorders>
            <w:shd w:val="clear" w:color="auto" w:fill="auto"/>
            <w:noWrap/>
            <w:vAlign w:val="bottom"/>
            <w:hideMark/>
          </w:tcPr>
          <w:p w14:paraId="09E2575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25</w:t>
            </w:r>
          </w:p>
        </w:tc>
        <w:tc>
          <w:tcPr>
            <w:tcW w:w="5245" w:type="dxa"/>
            <w:tcBorders>
              <w:top w:val="nil"/>
              <w:left w:val="nil"/>
              <w:bottom w:val="nil"/>
              <w:right w:val="nil"/>
            </w:tcBorders>
            <w:shd w:val="clear" w:color="auto" w:fill="auto"/>
            <w:noWrap/>
            <w:vAlign w:val="bottom"/>
            <w:hideMark/>
          </w:tcPr>
          <w:p w14:paraId="4B3DC58D"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Chrysophyllum africanum  </w:t>
            </w:r>
            <w:r w:rsidRPr="00064B59">
              <w:rPr>
                <w:rFonts w:ascii="Times New Roman" w:eastAsia="Times New Roman" w:hAnsi="Times New Roman" w:cs="Times New Roman"/>
                <w:iCs/>
                <w:color w:val="000000"/>
                <w:sz w:val="20"/>
                <w:szCs w:val="20"/>
                <w:lang w:eastAsia="fr-FR"/>
              </w:rPr>
              <w:t>A. DC. var. aubrevillei Pellegr.</w:t>
            </w:r>
          </w:p>
        </w:tc>
        <w:tc>
          <w:tcPr>
            <w:tcW w:w="1701" w:type="dxa"/>
            <w:tcBorders>
              <w:top w:val="nil"/>
              <w:left w:val="nil"/>
              <w:bottom w:val="nil"/>
              <w:right w:val="nil"/>
            </w:tcBorders>
            <w:shd w:val="clear" w:color="auto" w:fill="auto"/>
            <w:noWrap/>
            <w:vAlign w:val="bottom"/>
            <w:hideMark/>
          </w:tcPr>
          <w:p w14:paraId="1BD09DD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Sapotaceae</w:t>
            </w:r>
          </w:p>
        </w:tc>
        <w:tc>
          <w:tcPr>
            <w:tcW w:w="1241" w:type="dxa"/>
            <w:tcBorders>
              <w:top w:val="nil"/>
              <w:left w:val="nil"/>
              <w:bottom w:val="nil"/>
              <w:right w:val="nil"/>
            </w:tcBorders>
            <w:shd w:val="clear" w:color="auto" w:fill="auto"/>
            <w:noWrap/>
            <w:vAlign w:val="bottom"/>
            <w:hideMark/>
          </w:tcPr>
          <w:p w14:paraId="2D44C4C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5D9E809" w14:textId="77777777" w:rsidTr="00752D3B">
        <w:trPr>
          <w:trHeight w:val="300"/>
        </w:trPr>
        <w:tc>
          <w:tcPr>
            <w:tcW w:w="724" w:type="dxa"/>
            <w:tcBorders>
              <w:top w:val="nil"/>
              <w:left w:val="nil"/>
              <w:bottom w:val="nil"/>
              <w:right w:val="nil"/>
            </w:tcBorders>
            <w:shd w:val="clear" w:color="auto" w:fill="auto"/>
            <w:noWrap/>
            <w:vAlign w:val="bottom"/>
            <w:hideMark/>
          </w:tcPr>
          <w:p w14:paraId="064C15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26</w:t>
            </w:r>
          </w:p>
        </w:tc>
        <w:tc>
          <w:tcPr>
            <w:tcW w:w="5245" w:type="dxa"/>
            <w:tcBorders>
              <w:top w:val="nil"/>
              <w:left w:val="nil"/>
              <w:bottom w:val="nil"/>
              <w:right w:val="nil"/>
            </w:tcBorders>
            <w:shd w:val="clear" w:color="auto" w:fill="auto"/>
            <w:noWrap/>
            <w:vAlign w:val="bottom"/>
            <w:hideMark/>
          </w:tcPr>
          <w:p w14:paraId="2FCF0E0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Clerodendrum sassandrense </w:t>
            </w:r>
            <w:r w:rsidRPr="00064B59">
              <w:rPr>
                <w:rFonts w:ascii="Times New Roman" w:eastAsia="Times New Roman" w:hAnsi="Times New Roman" w:cs="Times New Roman"/>
                <w:iCs/>
                <w:color w:val="000000"/>
                <w:sz w:val="20"/>
                <w:szCs w:val="20"/>
                <w:lang w:eastAsia="fr-FR"/>
              </w:rPr>
              <w:t>Jongkind</w:t>
            </w:r>
          </w:p>
        </w:tc>
        <w:tc>
          <w:tcPr>
            <w:tcW w:w="1701" w:type="dxa"/>
            <w:tcBorders>
              <w:top w:val="nil"/>
              <w:left w:val="nil"/>
              <w:bottom w:val="nil"/>
              <w:right w:val="nil"/>
            </w:tcBorders>
            <w:shd w:val="clear" w:color="auto" w:fill="auto"/>
            <w:noWrap/>
            <w:vAlign w:val="bottom"/>
            <w:hideMark/>
          </w:tcPr>
          <w:p w14:paraId="3558DDC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Verbenaceae</w:t>
            </w:r>
          </w:p>
        </w:tc>
        <w:tc>
          <w:tcPr>
            <w:tcW w:w="1241" w:type="dxa"/>
            <w:tcBorders>
              <w:top w:val="nil"/>
              <w:left w:val="nil"/>
              <w:bottom w:val="nil"/>
              <w:right w:val="nil"/>
            </w:tcBorders>
            <w:shd w:val="clear" w:color="auto" w:fill="auto"/>
            <w:noWrap/>
            <w:vAlign w:val="bottom"/>
            <w:hideMark/>
          </w:tcPr>
          <w:p w14:paraId="2D411BF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5CFD6893" w14:textId="77777777" w:rsidTr="00752D3B">
        <w:trPr>
          <w:trHeight w:val="300"/>
        </w:trPr>
        <w:tc>
          <w:tcPr>
            <w:tcW w:w="724" w:type="dxa"/>
            <w:tcBorders>
              <w:top w:val="nil"/>
              <w:left w:val="nil"/>
              <w:bottom w:val="nil"/>
              <w:right w:val="nil"/>
            </w:tcBorders>
            <w:shd w:val="clear" w:color="auto" w:fill="auto"/>
            <w:noWrap/>
            <w:vAlign w:val="bottom"/>
            <w:hideMark/>
          </w:tcPr>
          <w:p w14:paraId="03A761F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27</w:t>
            </w:r>
          </w:p>
        </w:tc>
        <w:tc>
          <w:tcPr>
            <w:tcW w:w="5245" w:type="dxa"/>
            <w:tcBorders>
              <w:top w:val="nil"/>
              <w:left w:val="nil"/>
              <w:bottom w:val="nil"/>
              <w:right w:val="nil"/>
            </w:tcBorders>
            <w:shd w:val="clear" w:color="auto" w:fill="auto"/>
            <w:noWrap/>
            <w:vAlign w:val="bottom"/>
            <w:hideMark/>
          </w:tcPr>
          <w:p w14:paraId="4764DE4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Coffea ebracteolata </w:t>
            </w:r>
            <w:r w:rsidRPr="00064B59">
              <w:rPr>
                <w:rFonts w:ascii="Times New Roman" w:eastAsia="Times New Roman" w:hAnsi="Times New Roman" w:cs="Times New Roman"/>
                <w:iCs/>
                <w:color w:val="000000"/>
                <w:sz w:val="20"/>
                <w:szCs w:val="20"/>
                <w:lang w:val="en-US" w:eastAsia="fr-FR"/>
              </w:rPr>
              <w:t>sensu Hepper &amp; Keay p.p.</w:t>
            </w:r>
          </w:p>
        </w:tc>
        <w:tc>
          <w:tcPr>
            <w:tcW w:w="1701" w:type="dxa"/>
            <w:tcBorders>
              <w:top w:val="nil"/>
              <w:left w:val="nil"/>
              <w:bottom w:val="nil"/>
              <w:right w:val="nil"/>
            </w:tcBorders>
            <w:shd w:val="clear" w:color="auto" w:fill="auto"/>
            <w:noWrap/>
            <w:vAlign w:val="bottom"/>
            <w:hideMark/>
          </w:tcPr>
          <w:p w14:paraId="03B0E69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348B3F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46D7DD3" w14:textId="77777777" w:rsidTr="00752D3B">
        <w:trPr>
          <w:trHeight w:val="300"/>
        </w:trPr>
        <w:tc>
          <w:tcPr>
            <w:tcW w:w="724" w:type="dxa"/>
            <w:tcBorders>
              <w:top w:val="nil"/>
              <w:left w:val="nil"/>
              <w:bottom w:val="nil"/>
              <w:right w:val="nil"/>
            </w:tcBorders>
            <w:shd w:val="clear" w:color="auto" w:fill="auto"/>
            <w:noWrap/>
            <w:vAlign w:val="bottom"/>
            <w:hideMark/>
          </w:tcPr>
          <w:p w14:paraId="00A1AD5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28</w:t>
            </w:r>
          </w:p>
        </w:tc>
        <w:tc>
          <w:tcPr>
            <w:tcW w:w="5245" w:type="dxa"/>
            <w:tcBorders>
              <w:top w:val="nil"/>
              <w:left w:val="nil"/>
              <w:bottom w:val="nil"/>
              <w:right w:val="nil"/>
            </w:tcBorders>
            <w:shd w:val="clear" w:color="auto" w:fill="auto"/>
            <w:noWrap/>
            <w:vAlign w:val="bottom"/>
            <w:hideMark/>
          </w:tcPr>
          <w:p w14:paraId="55849A1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Coffea togoensis </w:t>
            </w:r>
            <w:r w:rsidRPr="00064B59">
              <w:rPr>
                <w:rFonts w:ascii="Times New Roman" w:eastAsia="Times New Roman" w:hAnsi="Times New Roman" w:cs="Times New Roman"/>
                <w:iCs/>
                <w:color w:val="000000"/>
                <w:sz w:val="20"/>
                <w:szCs w:val="20"/>
                <w:lang w:eastAsia="fr-FR"/>
              </w:rPr>
              <w:t>A. Chev.</w:t>
            </w:r>
          </w:p>
        </w:tc>
        <w:tc>
          <w:tcPr>
            <w:tcW w:w="1701" w:type="dxa"/>
            <w:tcBorders>
              <w:top w:val="nil"/>
              <w:left w:val="nil"/>
              <w:bottom w:val="nil"/>
              <w:right w:val="nil"/>
            </w:tcBorders>
            <w:shd w:val="clear" w:color="auto" w:fill="auto"/>
            <w:noWrap/>
            <w:vAlign w:val="bottom"/>
            <w:hideMark/>
          </w:tcPr>
          <w:p w14:paraId="5B17F48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410D406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3F548DCE" w14:textId="77777777" w:rsidTr="00752D3B">
        <w:trPr>
          <w:trHeight w:val="300"/>
        </w:trPr>
        <w:tc>
          <w:tcPr>
            <w:tcW w:w="724" w:type="dxa"/>
            <w:tcBorders>
              <w:top w:val="nil"/>
              <w:left w:val="nil"/>
              <w:bottom w:val="nil"/>
              <w:right w:val="nil"/>
            </w:tcBorders>
            <w:shd w:val="clear" w:color="auto" w:fill="auto"/>
            <w:noWrap/>
            <w:vAlign w:val="bottom"/>
            <w:hideMark/>
          </w:tcPr>
          <w:p w14:paraId="6780D48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29</w:t>
            </w:r>
          </w:p>
        </w:tc>
        <w:tc>
          <w:tcPr>
            <w:tcW w:w="5245" w:type="dxa"/>
            <w:tcBorders>
              <w:top w:val="nil"/>
              <w:left w:val="nil"/>
              <w:bottom w:val="nil"/>
              <w:right w:val="nil"/>
            </w:tcBorders>
            <w:shd w:val="clear" w:color="auto" w:fill="auto"/>
            <w:noWrap/>
            <w:vAlign w:val="bottom"/>
            <w:hideMark/>
          </w:tcPr>
          <w:p w14:paraId="546626D1"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Cola caricaefolia (</w:t>
            </w:r>
            <w:r w:rsidRPr="00064B59">
              <w:rPr>
                <w:rFonts w:ascii="Times New Roman" w:eastAsia="Times New Roman" w:hAnsi="Times New Roman" w:cs="Times New Roman"/>
                <w:iCs/>
                <w:color w:val="000000"/>
                <w:sz w:val="20"/>
                <w:szCs w:val="20"/>
                <w:lang w:eastAsia="fr-FR"/>
              </w:rPr>
              <w:t>G. Don) K ; Schum</w:t>
            </w:r>
          </w:p>
        </w:tc>
        <w:tc>
          <w:tcPr>
            <w:tcW w:w="1701" w:type="dxa"/>
            <w:tcBorders>
              <w:top w:val="nil"/>
              <w:left w:val="nil"/>
              <w:bottom w:val="nil"/>
              <w:right w:val="nil"/>
            </w:tcBorders>
            <w:shd w:val="clear" w:color="auto" w:fill="auto"/>
            <w:noWrap/>
            <w:vAlign w:val="bottom"/>
            <w:hideMark/>
          </w:tcPr>
          <w:p w14:paraId="6DEC0FB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1423DFF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7B653DD" w14:textId="77777777" w:rsidTr="00752D3B">
        <w:trPr>
          <w:trHeight w:val="300"/>
        </w:trPr>
        <w:tc>
          <w:tcPr>
            <w:tcW w:w="724" w:type="dxa"/>
            <w:tcBorders>
              <w:top w:val="nil"/>
              <w:left w:val="nil"/>
              <w:bottom w:val="nil"/>
              <w:right w:val="nil"/>
            </w:tcBorders>
            <w:shd w:val="clear" w:color="auto" w:fill="auto"/>
            <w:noWrap/>
            <w:vAlign w:val="bottom"/>
            <w:hideMark/>
          </w:tcPr>
          <w:p w14:paraId="29D0E7B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30</w:t>
            </w:r>
          </w:p>
        </w:tc>
        <w:tc>
          <w:tcPr>
            <w:tcW w:w="5245" w:type="dxa"/>
            <w:tcBorders>
              <w:top w:val="nil"/>
              <w:left w:val="nil"/>
              <w:bottom w:val="nil"/>
              <w:right w:val="nil"/>
            </w:tcBorders>
            <w:shd w:val="clear" w:color="auto" w:fill="auto"/>
            <w:noWrap/>
            <w:vAlign w:val="bottom"/>
            <w:hideMark/>
          </w:tcPr>
          <w:p w14:paraId="4E55FCB8"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Cola heterophylla </w:t>
            </w:r>
            <w:r w:rsidRPr="00064B59">
              <w:rPr>
                <w:rFonts w:ascii="Times New Roman" w:eastAsia="Times New Roman" w:hAnsi="Times New Roman" w:cs="Times New Roman"/>
                <w:iCs/>
                <w:color w:val="000000"/>
                <w:sz w:val="20"/>
                <w:szCs w:val="20"/>
                <w:lang w:eastAsia="fr-FR"/>
              </w:rPr>
              <w:t>(P. Beauv.) Schott &amp; Endl</w:t>
            </w:r>
          </w:p>
        </w:tc>
        <w:tc>
          <w:tcPr>
            <w:tcW w:w="1701" w:type="dxa"/>
            <w:tcBorders>
              <w:top w:val="nil"/>
              <w:left w:val="nil"/>
              <w:bottom w:val="nil"/>
              <w:right w:val="nil"/>
            </w:tcBorders>
            <w:shd w:val="clear" w:color="auto" w:fill="auto"/>
            <w:noWrap/>
            <w:vAlign w:val="bottom"/>
            <w:hideMark/>
          </w:tcPr>
          <w:p w14:paraId="53CD033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7B02710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DE56187" w14:textId="77777777" w:rsidTr="00752D3B">
        <w:trPr>
          <w:trHeight w:val="300"/>
        </w:trPr>
        <w:tc>
          <w:tcPr>
            <w:tcW w:w="724" w:type="dxa"/>
            <w:tcBorders>
              <w:top w:val="nil"/>
              <w:left w:val="nil"/>
              <w:bottom w:val="nil"/>
              <w:right w:val="nil"/>
            </w:tcBorders>
            <w:shd w:val="clear" w:color="auto" w:fill="auto"/>
            <w:noWrap/>
            <w:vAlign w:val="bottom"/>
            <w:hideMark/>
          </w:tcPr>
          <w:p w14:paraId="18BBFBC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31</w:t>
            </w:r>
          </w:p>
        </w:tc>
        <w:tc>
          <w:tcPr>
            <w:tcW w:w="5245" w:type="dxa"/>
            <w:tcBorders>
              <w:top w:val="nil"/>
              <w:left w:val="nil"/>
              <w:bottom w:val="nil"/>
              <w:right w:val="nil"/>
            </w:tcBorders>
            <w:shd w:val="clear" w:color="auto" w:fill="auto"/>
            <w:noWrap/>
            <w:vAlign w:val="bottom"/>
            <w:hideMark/>
          </w:tcPr>
          <w:p w14:paraId="7EB61D5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Cordia platythyrsa </w:t>
            </w:r>
            <w:r w:rsidRPr="00064B59">
              <w:rPr>
                <w:rFonts w:ascii="Times New Roman" w:eastAsia="Times New Roman" w:hAnsi="Times New Roman" w:cs="Times New Roman"/>
                <w:iCs/>
                <w:color w:val="000000"/>
                <w:sz w:val="20"/>
                <w:szCs w:val="20"/>
                <w:lang w:eastAsia="fr-FR"/>
              </w:rPr>
              <w:t>Baker</w:t>
            </w:r>
          </w:p>
        </w:tc>
        <w:tc>
          <w:tcPr>
            <w:tcW w:w="1701" w:type="dxa"/>
            <w:tcBorders>
              <w:top w:val="nil"/>
              <w:left w:val="nil"/>
              <w:bottom w:val="nil"/>
              <w:right w:val="nil"/>
            </w:tcBorders>
            <w:shd w:val="clear" w:color="auto" w:fill="auto"/>
            <w:noWrap/>
            <w:vAlign w:val="bottom"/>
            <w:hideMark/>
          </w:tcPr>
          <w:p w14:paraId="2B90609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Boraginaceae</w:t>
            </w:r>
          </w:p>
        </w:tc>
        <w:tc>
          <w:tcPr>
            <w:tcW w:w="1241" w:type="dxa"/>
            <w:tcBorders>
              <w:top w:val="nil"/>
              <w:left w:val="nil"/>
              <w:bottom w:val="nil"/>
              <w:right w:val="nil"/>
            </w:tcBorders>
            <w:shd w:val="clear" w:color="auto" w:fill="auto"/>
            <w:noWrap/>
            <w:vAlign w:val="bottom"/>
            <w:hideMark/>
          </w:tcPr>
          <w:p w14:paraId="5CD6F79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0A84710" w14:textId="77777777" w:rsidTr="00752D3B">
        <w:trPr>
          <w:trHeight w:val="300"/>
        </w:trPr>
        <w:tc>
          <w:tcPr>
            <w:tcW w:w="724" w:type="dxa"/>
            <w:tcBorders>
              <w:top w:val="nil"/>
              <w:left w:val="nil"/>
              <w:bottom w:val="nil"/>
              <w:right w:val="nil"/>
            </w:tcBorders>
            <w:shd w:val="clear" w:color="auto" w:fill="auto"/>
            <w:noWrap/>
            <w:vAlign w:val="bottom"/>
            <w:hideMark/>
          </w:tcPr>
          <w:p w14:paraId="23DB53A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32</w:t>
            </w:r>
          </w:p>
        </w:tc>
        <w:tc>
          <w:tcPr>
            <w:tcW w:w="5245" w:type="dxa"/>
            <w:tcBorders>
              <w:top w:val="nil"/>
              <w:left w:val="nil"/>
              <w:bottom w:val="nil"/>
              <w:right w:val="nil"/>
            </w:tcBorders>
            <w:shd w:val="clear" w:color="auto" w:fill="auto"/>
            <w:noWrap/>
            <w:vAlign w:val="bottom"/>
            <w:hideMark/>
          </w:tcPr>
          <w:p w14:paraId="302619A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Croton penduliflorus </w:t>
            </w:r>
            <w:r w:rsidRPr="00064B59">
              <w:rPr>
                <w:rFonts w:ascii="Times New Roman" w:eastAsia="Times New Roman" w:hAnsi="Times New Roman" w:cs="Times New Roman"/>
                <w:iCs/>
                <w:color w:val="000000"/>
                <w:sz w:val="20"/>
                <w:szCs w:val="20"/>
                <w:lang w:eastAsia="fr-FR"/>
              </w:rPr>
              <w:t>Hutch.</w:t>
            </w:r>
          </w:p>
        </w:tc>
        <w:tc>
          <w:tcPr>
            <w:tcW w:w="1701" w:type="dxa"/>
            <w:tcBorders>
              <w:top w:val="nil"/>
              <w:left w:val="nil"/>
              <w:bottom w:val="nil"/>
              <w:right w:val="nil"/>
            </w:tcBorders>
            <w:shd w:val="clear" w:color="auto" w:fill="auto"/>
            <w:noWrap/>
            <w:vAlign w:val="bottom"/>
            <w:hideMark/>
          </w:tcPr>
          <w:p w14:paraId="40B39EB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Euphorbiaceae</w:t>
            </w:r>
          </w:p>
        </w:tc>
        <w:tc>
          <w:tcPr>
            <w:tcW w:w="1241" w:type="dxa"/>
            <w:tcBorders>
              <w:top w:val="nil"/>
              <w:left w:val="nil"/>
              <w:bottom w:val="nil"/>
              <w:right w:val="nil"/>
            </w:tcBorders>
            <w:shd w:val="clear" w:color="auto" w:fill="auto"/>
            <w:noWrap/>
            <w:vAlign w:val="bottom"/>
            <w:hideMark/>
          </w:tcPr>
          <w:p w14:paraId="45DBE9E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73EB1553" w14:textId="77777777" w:rsidTr="00752D3B">
        <w:trPr>
          <w:trHeight w:val="300"/>
        </w:trPr>
        <w:tc>
          <w:tcPr>
            <w:tcW w:w="724" w:type="dxa"/>
            <w:tcBorders>
              <w:top w:val="nil"/>
              <w:left w:val="nil"/>
              <w:bottom w:val="nil"/>
              <w:right w:val="nil"/>
            </w:tcBorders>
            <w:shd w:val="clear" w:color="auto" w:fill="auto"/>
            <w:noWrap/>
            <w:vAlign w:val="bottom"/>
            <w:hideMark/>
          </w:tcPr>
          <w:p w14:paraId="72BB00F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33</w:t>
            </w:r>
          </w:p>
        </w:tc>
        <w:tc>
          <w:tcPr>
            <w:tcW w:w="5245" w:type="dxa"/>
            <w:tcBorders>
              <w:top w:val="nil"/>
              <w:left w:val="nil"/>
              <w:bottom w:val="nil"/>
              <w:right w:val="nil"/>
            </w:tcBorders>
            <w:shd w:val="clear" w:color="auto" w:fill="auto"/>
            <w:noWrap/>
            <w:vAlign w:val="bottom"/>
            <w:hideMark/>
          </w:tcPr>
          <w:p w14:paraId="0B21AB07"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Crotonogyne chevalieri </w:t>
            </w:r>
            <w:r w:rsidRPr="00064B59">
              <w:rPr>
                <w:rFonts w:ascii="Times New Roman" w:eastAsia="Times New Roman" w:hAnsi="Times New Roman" w:cs="Times New Roman"/>
                <w:iCs/>
                <w:color w:val="000000"/>
                <w:sz w:val="20"/>
                <w:szCs w:val="20"/>
                <w:lang w:eastAsia="fr-FR"/>
              </w:rPr>
              <w:t>(Beille) Keay</w:t>
            </w:r>
          </w:p>
        </w:tc>
        <w:tc>
          <w:tcPr>
            <w:tcW w:w="1701" w:type="dxa"/>
            <w:tcBorders>
              <w:top w:val="nil"/>
              <w:left w:val="nil"/>
              <w:bottom w:val="nil"/>
              <w:right w:val="nil"/>
            </w:tcBorders>
            <w:shd w:val="clear" w:color="auto" w:fill="auto"/>
            <w:noWrap/>
            <w:vAlign w:val="bottom"/>
            <w:hideMark/>
          </w:tcPr>
          <w:p w14:paraId="25AAD92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Euphorbiaceae</w:t>
            </w:r>
          </w:p>
        </w:tc>
        <w:tc>
          <w:tcPr>
            <w:tcW w:w="1241" w:type="dxa"/>
            <w:tcBorders>
              <w:top w:val="nil"/>
              <w:left w:val="nil"/>
              <w:bottom w:val="nil"/>
              <w:right w:val="nil"/>
            </w:tcBorders>
            <w:shd w:val="clear" w:color="auto" w:fill="auto"/>
            <w:noWrap/>
            <w:vAlign w:val="bottom"/>
            <w:hideMark/>
          </w:tcPr>
          <w:p w14:paraId="265A5E9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231EB3F7" w14:textId="77777777" w:rsidTr="00752D3B">
        <w:trPr>
          <w:trHeight w:val="300"/>
        </w:trPr>
        <w:tc>
          <w:tcPr>
            <w:tcW w:w="724" w:type="dxa"/>
            <w:tcBorders>
              <w:top w:val="nil"/>
              <w:left w:val="nil"/>
              <w:bottom w:val="nil"/>
              <w:right w:val="nil"/>
            </w:tcBorders>
            <w:shd w:val="clear" w:color="auto" w:fill="auto"/>
            <w:noWrap/>
            <w:vAlign w:val="bottom"/>
            <w:hideMark/>
          </w:tcPr>
          <w:p w14:paraId="1C9E0EE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34</w:t>
            </w:r>
          </w:p>
        </w:tc>
        <w:tc>
          <w:tcPr>
            <w:tcW w:w="5245" w:type="dxa"/>
            <w:tcBorders>
              <w:top w:val="nil"/>
              <w:left w:val="nil"/>
              <w:bottom w:val="nil"/>
              <w:right w:val="nil"/>
            </w:tcBorders>
            <w:shd w:val="clear" w:color="auto" w:fill="auto"/>
            <w:noWrap/>
            <w:vAlign w:val="bottom"/>
            <w:hideMark/>
          </w:tcPr>
          <w:p w14:paraId="76ADC625"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Cyathea camerooniana </w:t>
            </w:r>
            <w:r w:rsidRPr="00064B59">
              <w:rPr>
                <w:rFonts w:ascii="Times New Roman" w:eastAsia="Times New Roman" w:hAnsi="Times New Roman" w:cs="Times New Roman"/>
                <w:iCs/>
                <w:color w:val="000000"/>
                <w:sz w:val="20"/>
                <w:szCs w:val="20"/>
                <w:lang w:eastAsia="fr-FR"/>
              </w:rPr>
              <w:t>Hook.</w:t>
            </w:r>
          </w:p>
        </w:tc>
        <w:tc>
          <w:tcPr>
            <w:tcW w:w="1701" w:type="dxa"/>
            <w:tcBorders>
              <w:top w:val="nil"/>
              <w:left w:val="nil"/>
              <w:bottom w:val="nil"/>
              <w:right w:val="nil"/>
            </w:tcBorders>
            <w:shd w:val="clear" w:color="auto" w:fill="auto"/>
            <w:noWrap/>
            <w:vAlign w:val="bottom"/>
            <w:hideMark/>
          </w:tcPr>
          <w:p w14:paraId="039775A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Cyatheaceae</w:t>
            </w:r>
          </w:p>
        </w:tc>
        <w:tc>
          <w:tcPr>
            <w:tcW w:w="1241" w:type="dxa"/>
            <w:tcBorders>
              <w:top w:val="nil"/>
              <w:left w:val="nil"/>
              <w:bottom w:val="nil"/>
              <w:right w:val="nil"/>
            </w:tcBorders>
            <w:shd w:val="clear" w:color="auto" w:fill="auto"/>
            <w:noWrap/>
            <w:vAlign w:val="bottom"/>
            <w:hideMark/>
          </w:tcPr>
          <w:p w14:paraId="648A279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F51C654" w14:textId="77777777" w:rsidTr="00752D3B">
        <w:trPr>
          <w:trHeight w:val="300"/>
        </w:trPr>
        <w:tc>
          <w:tcPr>
            <w:tcW w:w="724" w:type="dxa"/>
            <w:tcBorders>
              <w:top w:val="nil"/>
              <w:left w:val="nil"/>
              <w:bottom w:val="nil"/>
              <w:right w:val="nil"/>
            </w:tcBorders>
            <w:shd w:val="clear" w:color="auto" w:fill="auto"/>
            <w:noWrap/>
            <w:vAlign w:val="bottom"/>
            <w:hideMark/>
          </w:tcPr>
          <w:p w14:paraId="6BEABCD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35</w:t>
            </w:r>
          </w:p>
        </w:tc>
        <w:tc>
          <w:tcPr>
            <w:tcW w:w="5245" w:type="dxa"/>
            <w:tcBorders>
              <w:top w:val="nil"/>
              <w:left w:val="nil"/>
              <w:bottom w:val="nil"/>
              <w:right w:val="nil"/>
            </w:tcBorders>
            <w:shd w:val="clear" w:color="auto" w:fill="auto"/>
            <w:noWrap/>
            <w:vAlign w:val="bottom"/>
            <w:hideMark/>
          </w:tcPr>
          <w:p w14:paraId="275C0B41"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Dalbergia adami </w:t>
            </w:r>
            <w:r w:rsidRPr="00064B59">
              <w:rPr>
                <w:rFonts w:ascii="Times New Roman" w:eastAsia="Times New Roman" w:hAnsi="Times New Roman" w:cs="Times New Roman"/>
                <w:iCs/>
                <w:color w:val="000000"/>
                <w:sz w:val="20"/>
                <w:szCs w:val="20"/>
                <w:lang w:eastAsia="fr-FR"/>
              </w:rPr>
              <w:t>Berhaut</w:t>
            </w:r>
          </w:p>
        </w:tc>
        <w:tc>
          <w:tcPr>
            <w:tcW w:w="1701" w:type="dxa"/>
            <w:tcBorders>
              <w:top w:val="nil"/>
              <w:left w:val="nil"/>
              <w:bottom w:val="nil"/>
              <w:right w:val="nil"/>
            </w:tcBorders>
            <w:shd w:val="clear" w:color="auto" w:fill="auto"/>
            <w:noWrap/>
            <w:vAlign w:val="bottom"/>
            <w:hideMark/>
          </w:tcPr>
          <w:p w14:paraId="1128937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5CADB6F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5C3F4C12" w14:textId="77777777" w:rsidTr="00752D3B">
        <w:trPr>
          <w:trHeight w:val="300"/>
        </w:trPr>
        <w:tc>
          <w:tcPr>
            <w:tcW w:w="724" w:type="dxa"/>
            <w:tcBorders>
              <w:top w:val="nil"/>
              <w:left w:val="nil"/>
              <w:bottom w:val="nil"/>
              <w:right w:val="nil"/>
            </w:tcBorders>
            <w:shd w:val="clear" w:color="auto" w:fill="auto"/>
            <w:noWrap/>
            <w:vAlign w:val="bottom"/>
            <w:hideMark/>
          </w:tcPr>
          <w:p w14:paraId="4F3243C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36</w:t>
            </w:r>
          </w:p>
        </w:tc>
        <w:tc>
          <w:tcPr>
            <w:tcW w:w="5245" w:type="dxa"/>
            <w:tcBorders>
              <w:top w:val="nil"/>
              <w:left w:val="nil"/>
              <w:bottom w:val="nil"/>
              <w:right w:val="nil"/>
            </w:tcBorders>
            <w:shd w:val="clear" w:color="auto" w:fill="auto"/>
            <w:noWrap/>
            <w:vAlign w:val="bottom"/>
            <w:hideMark/>
          </w:tcPr>
          <w:p w14:paraId="565E28A4"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Daniellia thurifera </w:t>
            </w:r>
            <w:r w:rsidRPr="00064B59">
              <w:rPr>
                <w:rFonts w:ascii="Times New Roman" w:eastAsia="Times New Roman" w:hAnsi="Times New Roman" w:cs="Times New Roman"/>
                <w:iCs/>
                <w:color w:val="000000"/>
                <w:sz w:val="20"/>
                <w:szCs w:val="20"/>
                <w:lang w:eastAsia="fr-FR"/>
              </w:rPr>
              <w:t>Benn.</w:t>
            </w:r>
          </w:p>
        </w:tc>
        <w:tc>
          <w:tcPr>
            <w:tcW w:w="1701" w:type="dxa"/>
            <w:tcBorders>
              <w:top w:val="nil"/>
              <w:left w:val="nil"/>
              <w:bottom w:val="nil"/>
              <w:right w:val="nil"/>
            </w:tcBorders>
            <w:shd w:val="clear" w:color="auto" w:fill="auto"/>
            <w:noWrap/>
            <w:vAlign w:val="bottom"/>
            <w:hideMark/>
          </w:tcPr>
          <w:p w14:paraId="7549FA2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320DF36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57F253E" w14:textId="77777777" w:rsidTr="00752D3B">
        <w:trPr>
          <w:trHeight w:val="300"/>
        </w:trPr>
        <w:tc>
          <w:tcPr>
            <w:tcW w:w="724" w:type="dxa"/>
            <w:tcBorders>
              <w:top w:val="nil"/>
              <w:left w:val="nil"/>
              <w:bottom w:val="nil"/>
              <w:right w:val="nil"/>
            </w:tcBorders>
            <w:shd w:val="clear" w:color="auto" w:fill="auto"/>
            <w:noWrap/>
            <w:vAlign w:val="bottom"/>
            <w:hideMark/>
          </w:tcPr>
          <w:p w14:paraId="03563B5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37</w:t>
            </w:r>
          </w:p>
        </w:tc>
        <w:tc>
          <w:tcPr>
            <w:tcW w:w="5245" w:type="dxa"/>
            <w:tcBorders>
              <w:top w:val="nil"/>
              <w:left w:val="nil"/>
              <w:bottom w:val="nil"/>
              <w:right w:val="nil"/>
            </w:tcBorders>
            <w:shd w:val="clear" w:color="auto" w:fill="auto"/>
            <w:noWrap/>
            <w:vAlign w:val="bottom"/>
            <w:hideMark/>
          </w:tcPr>
          <w:p w14:paraId="1E2F2231"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Dennettia tripetala </w:t>
            </w:r>
            <w:r w:rsidRPr="00064B59">
              <w:rPr>
                <w:rFonts w:ascii="Times New Roman" w:eastAsia="Times New Roman" w:hAnsi="Times New Roman" w:cs="Times New Roman"/>
                <w:iCs/>
                <w:color w:val="000000"/>
                <w:sz w:val="20"/>
                <w:szCs w:val="20"/>
                <w:lang w:eastAsia="fr-FR"/>
              </w:rPr>
              <w:t>Baker f.</w:t>
            </w:r>
          </w:p>
        </w:tc>
        <w:tc>
          <w:tcPr>
            <w:tcW w:w="1701" w:type="dxa"/>
            <w:tcBorders>
              <w:top w:val="nil"/>
              <w:left w:val="nil"/>
              <w:bottom w:val="nil"/>
              <w:right w:val="nil"/>
            </w:tcBorders>
            <w:shd w:val="clear" w:color="auto" w:fill="auto"/>
            <w:noWrap/>
            <w:vAlign w:val="bottom"/>
            <w:hideMark/>
          </w:tcPr>
          <w:p w14:paraId="113F846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Annonaceae</w:t>
            </w:r>
          </w:p>
        </w:tc>
        <w:tc>
          <w:tcPr>
            <w:tcW w:w="1241" w:type="dxa"/>
            <w:tcBorders>
              <w:top w:val="nil"/>
              <w:left w:val="nil"/>
              <w:bottom w:val="nil"/>
              <w:right w:val="nil"/>
            </w:tcBorders>
            <w:shd w:val="clear" w:color="auto" w:fill="auto"/>
            <w:noWrap/>
            <w:vAlign w:val="bottom"/>
            <w:hideMark/>
          </w:tcPr>
          <w:p w14:paraId="4CC610C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54DB852" w14:textId="77777777" w:rsidTr="00752D3B">
        <w:trPr>
          <w:trHeight w:val="300"/>
        </w:trPr>
        <w:tc>
          <w:tcPr>
            <w:tcW w:w="724" w:type="dxa"/>
            <w:tcBorders>
              <w:top w:val="nil"/>
              <w:left w:val="nil"/>
              <w:bottom w:val="nil"/>
              <w:right w:val="nil"/>
            </w:tcBorders>
            <w:shd w:val="clear" w:color="auto" w:fill="auto"/>
            <w:noWrap/>
            <w:vAlign w:val="bottom"/>
            <w:hideMark/>
          </w:tcPr>
          <w:p w14:paraId="59C4B22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38</w:t>
            </w:r>
          </w:p>
        </w:tc>
        <w:tc>
          <w:tcPr>
            <w:tcW w:w="5245" w:type="dxa"/>
            <w:tcBorders>
              <w:top w:val="nil"/>
              <w:left w:val="nil"/>
              <w:bottom w:val="nil"/>
              <w:right w:val="nil"/>
            </w:tcBorders>
            <w:shd w:val="clear" w:color="auto" w:fill="auto"/>
            <w:noWrap/>
            <w:vAlign w:val="bottom"/>
            <w:hideMark/>
          </w:tcPr>
          <w:p w14:paraId="69F2B0CB"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val="en-US" w:eastAsia="fr-FR"/>
              </w:rPr>
              <w:t xml:space="preserve">Desplatsia dewevrei </w:t>
            </w:r>
            <w:r w:rsidRPr="00064B59">
              <w:rPr>
                <w:rFonts w:ascii="Times New Roman" w:eastAsia="Times New Roman" w:hAnsi="Times New Roman" w:cs="Times New Roman"/>
                <w:iCs/>
                <w:color w:val="000000"/>
                <w:sz w:val="20"/>
                <w:szCs w:val="20"/>
                <w:lang w:val="en-US" w:eastAsia="fr-FR"/>
              </w:rPr>
              <w:t xml:space="preserve">(De Wild. &amp; Th. Lur.) </w:t>
            </w:r>
            <w:r w:rsidRPr="00064B59">
              <w:rPr>
                <w:rFonts w:ascii="Times New Roman" w:eastAsia="Times New Roman" w:hAnsi="Times New Roman" w:cs="Times New Roman"/>
                <w:iCs/>
                <w:color w:val="000000"/>
                <w:sz w:val="20"/>
                <w:szCs w:val="20"/>
                <w:lang w:eastAsia="fr-FR"/>
              </w:rPr>
              <w:t>Burret</w:t>
            </w:r>
          </w:p>
        </w:tc>
        <w:tc>
          <w:tcPr>
            <w:tcW w:w="1701" w:type="dxa"/>
            <w:tcBorders>
              <w:top w:val="nil"/>
              <w:left w:val="nil"/>
              <w:bottom w:val="nil"/>
              <w:right w:val="nil"/>
            </w:tcBorders>
            <w:shd w:val="clear" w:color="auto" w:fill="auto"/>
            <w:noWrap/>
            <w:vAlign w:val="bottom"/>
            <w:hideMark/>
          </w:tcPr>
          <w:p w14:paraId="1E7551E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Tiliaceae</w:t>
            </w:r>
          </w:p>
        </w:tc>
        <w:tc>
          <w:tcPr>
            <w:tcW w:w="1241" w:type="dxa"/>
            <w:tcBorders>
              <w:top w:val="nil"/>
              <w:left w:val="nil"/>
              <w:bottom w:val="nil"/>
              <w:right w:val="nil"/>
            </w:tcBorders>
            <w:shd w:val="clear" w:color="auto" w:fill="auto"/>
            <w:noWrap/>
            <w:vAlign w:val="bottom"/>
            <w:hideMark/>
          </w:tcPr>
          <w:p w14:paraId="15D41C4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2B3C31A5" w14:textId="77777777" w:rsidTr="00752D3B">
        <w:trPr>
          <w:trHeight w:val="300"/>
        </w:trPr>
        <w:tc>
          <w:tcPr>
            <w:tcW w:w="724" w:type="dxa"/>
            <w:tcBorders>
              <w:top w:val="nil"/>
              <w:left w:val="nil"/>
              <w:bottom w:val="nil"/>
              <w:right w:val="nil"/>
            </w:tcBorders>
            <w:shd w:val="clear" w:color="auto" w:fill="auto"/>
            <w:noWrap/>
            <w:vAlign w:val="bottom"/>
            <w:hideMark/>
          </w:tcPr>
          <w:p w14:paraId="11A4E42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39</w:t>
            </w:r>
          </w:p>
        </w:tc>
        <w:tc>
          <w:tcPr>
            <w:tcW w:w="5245" w:type="dxa"/>
            <w:tcBorders>
              <w:top w:val="nil"/>
              <w:left w:val="nil"/>
              <w:bottom w:val="nil"/>
              <w:right w:val="nil"/>
            </w:tcBorders>
            <w:shd w:val="clear" w:color="auto" w:fill="auto"/>
            <w:noWrap/>
            <w:vAlign w:val="bottom"/>
            <w:hideMark/>
          </w:tcPr>
          <w:p w14:paraId="7DD269A3"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Detarium senegalense </w:t>
            </w:r>
            <w:r w:rsidRPr="00064B59">
              <w:rPr>
                <w:rFonts w:ascii="Times New Roman" w:eastAsia="Times New Roman" w:hAnsi="Times New Roman" w:cs="Times New Roman"/>
                <w:iCs/>
                <w:color w:val="000000"/>
                <w:sz w:val="20"/>
                <w:szCs w:val="20"/>
                <w:lang w:val="en-US" w:eastAsia="fr-FR"/>
              </w:rPr>
              <w:t>J.F. Gmel.</w:t>
            </w:r>
          </w:p>
        </w:tc>
        <w:tc>
          <w:tcPr>
            <w:tcW w:w="1701" w:type="dxa"/>
            <w:tcBorders>
              <w:top w:val="nil"/>
              <w:left w:val="nil"/>
              <w:bottom w:val="nil"/>
              <w:right w:val="nil"/>
            </w:tcBorders>
            <w:shd w:val="clear" w:color="auto" w:fill="auto"/>
            <w:noWrap/>
            <w:vAlign w:val="bottom"/>
            <w:hideMark/>
          </w:tcPr>
          <w:p w14:paraId="0C2B838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7C60DE4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58475818" w14:textId="77777777" w:rsidTr="00752D3B">
        <w:trPr>
          <w:trHeight w:val="300"/>
        </w:trPr>
        <w:tc>
          <w:tcPr>
            <w:tcW w:w="724" w:type="dxa"/>
            <w:tcBorders>
              <w:top w:val="nil"/>
              <w:left w:val="nil"/>
              <w:bottom w:val="nil"/>
              <w:right w:val="nil"/>
            </w:tcBorders>
            <w:shd w:val="clear" w:color="auto" w:fill="auto"/>
            <w:noWrap/>
            <w:vAlign w:val="bottom"/>
            <w:hideMark/>
          </w:tcPr>
          <w:p w14:paraId="3F49577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40</w:t>
            </w:r>
          </w:p>
        </w:tc>
        <w:tc>
          <w:tcPr>
            <w:tcW w:w="5245" w:type="dxa"/>
            <w:tcBorders>
              <w:top w:val="nil"/>
              <w:left w:val="nil"/>
              <w:bottom w:val="nil"/>
              <w:right w:val="nil"/>
            </w:tcBorders>
            <w:shd w:val="clear" w:color="auto" w:fill="auto"/>
            <w:noWrap/>
            <w:vAlign w:val="bottom"/>
            <w:hideMark/>
          </w:tcPr>
          <w:p w14:paraId="7BAE3A5C"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Dichapetalum crassifolium </w:t>
            </w:r>
            <w:r w:rsidRPr="00064B59">
              <w:rPr>
                <w:rFonts w:ascii="Times New Roman" w:eastAsia="Times New Roman" w:hAnsi="Times New Roman" w:cs="Times New Roman"/>
                <w:iCs/>
                <w:color w:val="000000"/>
                <w:sz w:val="20"/>
                <w:szCs w:val="20"/>
                <w:lang w:eastAsia="fr-FR"/>
              </w:rPr>
              <w:t>Chodat</w:t>
            </w:r>
          </w:p>
        </w:tc>
        <w:tc>
          <w:tcPr>
            <w:tcW w:w="1701" w:type="dxa"/>
            <w:tcBorders>
              <w:top w:val="nil"/>
              <w:left w:val="nil"/>
              <w:bottom w:val="nil"/>
              <w:right w:val="nil"/>
            </w:tcBorders>
            <w:shd w:val="clear" w:color="auto" w:fill="auto"/>
            <w:noWrap/>
            <w:vAlign w:val="bottom"/>
            <w:hideMark/>
          </w:tcPr>
          <w:p w14:paraId="6601E77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Dichapetalaceae</w:t>
            </w:r>
          </w:p>
        </w:tc>
        <w:tc>
          <w:tcPr>
            <w:tcW w:w="1241" w:type="dxa"/>
            <w:tcBorders>
              <w:top w:val="nil"/>
              <w:left w:val="nil"/>
              <w:bottom w:val="nil"/>
              <w:right w:val="nil"/>
            </w:tcBorders>
            <w:shd w:val="clear" w:color="auto" w:fill="auto"/>
            <w:noWrap/>
            <w:vAlign w:val="bottom"/>
            <w:hideMark/>
          </w:tcPr>
          <w:p w14:paraId="7219867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099F0B8A" w14:textId="77777777" w:rsidTr="00752D3B">
        <w:trPr>
          <w:trHeight w:val="300"/>
        </w:trPr>
        <w:tc>
          <w:tcPr>
            <w:tcW w:w="724" w:type="dxa"/>
            <w:tcBorders>
              <w:top w:val="nil"/>
              <w:left w:val="nil"/>
              <w:bottom w:val="nil"/>
              <w:right w:val="nil"/>
            </w:tcBorders>
            <w:shd w:val="clear" w:color="auto" w:fill="auto"/>
            <w:noWrap/>
            <w:vAlign w:val="bottom"/>
            <w:hideMark/>
          </w:tcPr>
          <w:p w14:paraId="440B6FA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41</w:t>
            </w:r>
          </w:p>
        </w:tc>
        <w:tc>
          <w:tcPr>
            <w:tcW w:w="5245" w:type="dxa"/>
            <w:tcBorders>
              <w:top w:val="nil"/>
              <w:left w:val="nil"/>
              <w:bottom w:val="nil"/>
              <w:right w:val="nil"/>
            </w:tcBorders>
            <w:shd w:val="clear" w:color="auto" w:fill="auto"/>
            <w:noWrap/>
            <w:vAlign w:val="bottom"/>
            <w:hideMark/>
          </w:tcPr>
          <w:p w14:paraId="05C738D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Dioclea reflexa </w:t>
            </w:r>
            <w:r w:rsidRPr="00064B59">
              <w:rPr>
                <w:rFonts w:ascii="Times New Roman" w:eastAsia="Times New Roman" w:hAnsi="Times New Roman" w:cs="Times New Roman"/>
                <w:iCs/>
                <w:color w:val="000000"/>
                <w:sz w:val="20"/>
                <w:szCs w:val="20"/>
                <w:lang w:eastAsia="fr-FR"/>
              </w:rPr>
              <w:t>Hook.f.</w:t>
            </w:r>
          </w:p>
        </w:tc>
        <w:tc>
          <w:tcPr>
            <w:tcW w:w="1701" w:type="dxa"/>
            <w:tcBorders>
              <w:top w:val="nil"/>
              <w:left w:val="nil"/>
              <w:bottom w:val="nil"/>
              <w:right w:val="nil"/>
            </w:tcBorders>
            <w:shd w:val="clear" w:color="auto" w:fill="auto"/>
            <w:noWrap/>
            <w:vAlign w:val="bottom"/>
            <w:hideMark/>
          </w:tcPr>
          <w:p w14:paraId="46DBEAB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7DC8562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125E6C34" w14:textId="77777777" w:rsidTr="00752D3B">
        <w:trPr>
          <w:trHeight w:val="300"/>
        </w:trPr>
        <w:tc>
          <w:tcPr>
            <w:tcW w:w="724" w:type="dxa"/>
            <w:tcBorders>
              <w:top w:val="nil"/>
              <w:left w:val="nil"/>
              <w:bottom w:val="nil"/>
              <w:right w:val="nil"/>
            </w:tcBorders>
            <w:shd w:val="clear" w:color="auto" w:fill="auto"/>
            <w:noWrap/>
            <w:vAlign w:val="bottom"/>
            <w:hideMark/>
          </w:tcPr>
          <w:p w14:paraId="358A651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42</w:t>
            </w:r>
          </w:p>
        </w:tc>
        <w:tc>
          <w:tcPr>
            <w:tcW w:w="5245" w:type="dxa"/>
            <w:tcBorders>
              <w:top w:val="nil"/>
              <w:left w:val="nil"/>
              <w:bottom w:val="nil"/>
              <w:right w:val="nil"/>
            </w:tcBorders>
            <w:shd w:val="clear" w:color="auto" w:fill="auto"/>
            <w:noWrap/>
            <w:vAlign w:val="bottom"/>
            <w:hideMark/>
          </w:tcPr>
          <w:p w14:paraId="19558A9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val="en-GB" w:eastAsia="fr-FR"/>
              </w:rPr>
              <w:t xml:space="preserve">Diospyros elliotii </w:t>
            </w:r>
            <w:r w:rsidRPr="00064B59">
              <w:rPr>
                <w:rFonts w:ascii="Times New Roman" w:eastAsia="Times New Roman" w:hAnsi="Times New Roman" w:cs="Times New Roman"/>
                <w:iCs/>
                <w:color w:val="000000"/>
                <w:sz w:val="20"/>
                <w:szCs w:val="20"/>
                <w:lang w:val="en-GB" w:eastAsia="fr-FR"/>
              </w:rPr>
              <w:t>(Hiern) F.White</w:t>
            </w:r>
          </w:p>
        </w:tc>
        <w:tc>
          <w:tcPr>
            <w:tcW w:w="1701" w:type="dxa"/>
            <w:tcBorders>
              <w:top w:val="nil"/>
              <w:left w:val="nil"/>
              <w:bottom w:val="nil"/>
              <w:right w:val="nil"/>
            </w:tcBorders>
            <w:shd w:val="clear" w:color="auto" w:fill="auto"/>
            <w:noWrap/>
            <w:vAlign w:val="bottom"/>
            <w:hideMark/>
          </w:tcPr>
          <w:p w14:paraId="01B264C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Ebenaceae</w:t>
            </w:r>
          </w:p>
        </w:tc>
        <w:tc>
          <w:tcPr>
            <w:tcW w:w="1241" w:type="dxa"/>
            <w:tcBorders>
              <w:top w:val="nil"/>
              <w:left w:val="nil"/>
              <w:bottom w:val="nil"/>
              <w:right w:val="nil"/>
            </w:tcBorders>
            <w:shd w:val="clear" w:color="auto" w:fill="auto"/>
            <w:noWrap/>
            <w:vAlign w:val="bottom"/>
            <w:hideMark/>
          </w:tcPr>
          <w:p w14:paraId="33D1CAD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2E2653A8" w14:textId="77777777" w:rsidTr="00752D3B">
        <w:trPr>
          <w:trHeight w:val="300"/>
        </w:trPr>
        <w:tc>
          <w:tcPr>
            <w:tcW w:w="724" w:type="dxa"/>
            <w:tcBorders>
              <w:top w:val="nil"/>
              <w:left w:val="nil"/>
              <w:bottom w:val="nil"/>
              <w:right w:val="nil"/>
            </w:tcBorders>
            <w:shd w:val="clear" w:color="auto" w:fill="auto"/>
            <w:noWrap/>
            <w:vAlign w:val="bottom"/>
            <w:hideMark/>
          </w:tcPr>
          <w:p w14:paraId="4B69BAD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43</w:t>
            </w:r>
          </w:p>
        </w:tc>
        <w:tc>
          <w:tcPr>
            <w:tcW w:w="5245" w:type="dxa"/>
            <w:tcBorders>
              <w:top w:val="nil"/>
              <w:left w:val="nil"/>
              <w:bottom w:val="nil"/>
              <w:right w:val="nil"/>
            </w:tcBorders>
            <w:shd w:val="clear" w:color="auto" w:fill="auto"/>
            <w:vAlign w:val="bottom"/>
            <w:hideMark/>
          </w:tcPr>
          <w:p w14:paraId="3230B90C"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Pr>
                <w:rFonts w:ascii="Times New Roman" w:eastAsia="Times New Roman" w:hAnsi="Times New Roman" w:cs="Times New Roman"/>
                <w:i/>
                <w:iCs/>
                <w:color w:val="000000"/>
                <w:sz w:val="20"/>
                <w:szCs w:val="20"/>
                <w:lang w:eastAsia="fr-FR"/>
              </w:rPr>
              <w:t>Diospyrea ferrea</w:t>
            </w:r>
          </w:p>
        </w:tc>
        <w:tc>
          <w:tcPr>
            <w:tcW w:w="1701" w:type="dxa"/>
            <w:tcBorders>
              <w:top w:val="nil"/>
              <w:left w:val="nil"/>
              <w:bottom w:val="nil"/>
              <w:right w:val="nil"/>
            </w:tcBorders>
            <w:shd w:val="clear" w:color="auto" w:fill="auto"/>
            <w:vAlign w:val="bottom"/>
            <w:hideMark/>
          </w:tcPr>
          <w:p w14:paraId="1237C20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Ebenaceae</w:t>
            </w:r>
          </w:p>
        </w:tc>
        <w:tc>
          <w:tcPr>
            <w:tcW w:w="1241" w:type="dxa"/>
            <w:tcBorders>
              <w:top w:val="nil"/>
              <w:left w:val="nil"/>
              <w:bottom w:val="nil"/>
              <w:right w:val="nil"/>
            </w:tcBorders>
            <w:shd w:val="clear" w:color="auto" w:fill="auto"/>
            <w:vAlign w:val="bottom"/>
            <w:hideMark/>
          </w:tcPr>
          <w:p w14:paraId="001B30A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p>
        </w:tc>
      </w:tr>
      <w:tr w:rsidR="007475D1" w:rsidRPr="00064B59" w14:paraId="4E53165B" w14:textId="77777777" w:rsidTr="00752D3B">
        <w:trPr>
          <w:trHeight w:val="300"/>
        </w:trPr>
        <w:tc>
          <w:tcPr>
            <w:tcW w:w="724" w:type="dxa"/>
            <w:tcBorders>
              <w:top w:val="nil"/>
              <w:left w:val="nil"/>
              <w:bottom w:val="nil"/>
              <w:right w:val="nil"/>
            </w:tcBorders>
            <w:shd w:val="clear" w:color="auto" w:fill="auto"/>
            <w:noWrap/>
            <w:vAlign w:val="bottom"/>
            <w:hideMark/>
          </w:tcPr>
          <w:p w14:paraId="0F64177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r>
              <w:rPr>
                <w:rFonts w:ascii="Times New Roman" w:eastAsia="Times New Roman" w:hAnsi="Times New Roman" w:cs="Times New Roman"/>
                <w:color w:val="000000"/>
                <w:sz w:val="20"/>
                <w:szCs w:val="20"/>
                <w:lang w:eastAsia="fr-FR"/>
              </w:rPr>
              <w:t>4</w:t>
            </w:r>
          </w:p>
        </w:tc>
        <w:tc>
          <w:tcPr>
            <w:tcW w:w="5245" w:type="dxa"/>
            <w:tcBorders>
              <w:top w:val="nil"/>
              <w:left w:val="nil"/>
              <w:bottom w:val="nil"/>
              <w:right w:val="nil"/>
            </w:tcBorders>
            <w:shd w:val="clear" w:color="auto" w:fill="auto"/>
            <w:vAlign w:val="bottom"/>
            <w:hideMark/>
          </w:tcPr>
          <w:p w14:paraId="0DE52ABE"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Diospyros mespiliformis </w:t>
            </w:r>
            <w:r w:rsidRPr="00064B59">
              <w:rPr>
                <w:rFonts w:ascii="Times New Roman" w:eastAsia="Times New Roman" w:hAnsi="Times New Roman" w:cs="Times New Roman"/>
                <w:iCs/>
                <w:color w:val="000000"/>
                <w:sz w:val="20"/>
                <w:szCs w:val="20"/>
                <w:lang w:eastAsia="fr-FR"/>
              </w:rPr>
              <w:t>Hochst. ex A.DC.</w:t>
            </w:r>
          </w:p>
        </w:tc>
        <w:tc>
          <w:tcPr>
            <w:tcW w:w="1701" w:type="dxa"/>
            <w:tcBorders>
              <w:top w:val="nil"/>
              <w:left w:val="nil"/>
              <w:bottom w:val="nil"/>
              <w:right w:val="nil"/>
            </w:tcBorders>
            <w:shd w:val="clear" w:color="auto" w:fill="auto"/>
            <w:vAlign w:val="bottom"/>
            <w:hideMark/>
          </w:tcPr>
          <w:p w14:paraId="2BA56DD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Ebenaceae</w:t>
            </w:r>
          </w:p>
        </w:tc>
        <w:tc>
          <w:tcPr>
            <w:tcW w:w="1241" w:type="dxa"/>
            <w:tcBorders>
              <w:top w:val="nil"/>
              <w:left w:val="nil"/>
              <w:bottom w:val="nil"/>
              <w:right w:val="nil"/>
            </w:tcBorders>
            <w:shd w:val="clear" w:color="auto" w:fill="auto"/>
            <w:vAlign w:val="bottom"/>
            <w:hideMark/>
          </w:tcPr>
          <w:p w14:paraId="0473175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NA</w:t>
            </w:r>
          </w:p>
        </w:tc>
      </w:tr>
      <w:tr w:rsidR="007475D1" w:rsidRPr="00064B59" w14:paraId="180EA99A" w14:textId="77777777" w:rsidTr="00752D3B">
        <w:trPr>
          <w:trHeight w:val="300"/>
        </w:trPr>
        <w:tc>
          <w:tcPr>
            <w:tcW w:w="724" w:type="dxa"/>
            <w:tcBorders>
              <w:top w:val="nil"/>
              <w:left w:val="nil"/>
              <w:bottom w:val="nil"/>
              <w:right w:val="nil"/>
            </w:tcBorders>
            <w:shd w:val="clear" w:color="auto" w:fill="auto"/>
            <w:noWrap/>
            <w:vAlign w:val="bottom"/>
            <w:hideMark/>
          </w:tcPr>
          <w:p w14:paraId="648D924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r>
              <w:rPr>
                <w:rFonts w:ascii="Times New Roman" w:eastAsia="Times New Roman" w:hAnsi="Times New Roman" w:cs="Times New Roman"/>
                <w:color w:val="000000"/>
                <w:sz w:val="20"/>
                <w:szCs w:val="20"/>
                <w:lang w:eastAsia="fr-FR"/>
              </w:rPr>
              <w:t>5</w:t>
            </w:r>
          </w:p>
        </w:tc>
        <w:tc>
          <w:tcPr>
            <w:tcW w:w="5245" w:type="dxa"/>
            <w:tcBorders>
              <w:top w:val="nil"/>
              <w:left w:val="nil"/>
              <w:bottom w:val="nil"/>
              <w:right w:val="nil"/>
            </w:tcBorders>
            <w:shd w:val="clear" w:color="auto" w:fill="auto"/>
            <w:noWrap/>
            <w:vAlign w:val="bottom"/>
            <w:hideMark/>
          </w:tcPr>
          <w:p w14:paraId="263172E1"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Dracaena congoensis </w:t>
            </w:r>
            <w:r w:rsidRPr="00064B59">
              <w:rPr>
                <w:rFonts w:ascii="Times New Roman" w:eastAsia="Times New Roman" w:hAnsi="Times New Roman" w:cs="Times New Roman"/>
                <w:iCs/>
                <w:color w:val="000000"/>
                <w:sz w:val="20"/>
                <w:szCs w:val="20"/>
                <w:lang w:eastAsia="fr-FR"/>
              </w:rPr>
              <w:t>Hua</w:t>
            </w:r>
          </w:p>
        </w:tc>
        <w:tc>
          <w:tcPr>
            <w:tcW w:w="1701" w:type="dxa"/>
            <w:tcBorders>
              <w:top w:val="nil"/>
              <w:left w:val="nil"/>
              <w:bottom w:val="nil"/>
              <w:right w:val="nil"/>
            </w:tcBorders>
            <w:shd w:val="clear" w:color="auto" w:fill="auto"/>
            <w:noWrap/>
            <w:vAlign w:val="bottom"/>
            <w:hideMark/>
          </w:tcPr>
          <w:p w14:paraId="5210E75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Agavaceae</w:t>
            </w:r>
          </w:p>
        </w:tc>
        <w:tc>
          <w:tcPr>
            <w:tcW w:w="1241" w:type="dxa"/>
            <w:tcBorders>
              <w:top w:val="nil"/>
              <w:left w:val="nil"/>
              <w:bottom w:val="nil"/>
              <w:right w:val="nil"/>
            </w:tcBorders>
            <w:shd w:val="clear" w:color="auto" w:fill="auto"/>
            <w:noWrap/>
            <w:vAlign w:val="bottom"/>
            <w:hideMark/>
          </w:tcPr>
          <w:p w14:paraId="6D88115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2D0FF2AE" w14:textId="77777777" w:rsidTr="00752D3B">
        <w:trPr>
          <w:trHeight w:val="300"/>
        </w:trPr>
        <w:tc>
          <w:tcPr>
            <w:tcW w:w="724" w:type="dxa"/>
            <w:tcBorders>
              <w:top w:val="nil"/>
              <w:left w:val="nil"/>
              <w:bottom w:val="nil"/>
              <w:right w:val="nil"/>
            </w:tcBorders>
            <w:shd w:val="clear" w:color="auto" w:fill="auto"/>
            <w:noWrap/>
            <w:vAlign w:val="bottom"/>
            <w:hideMark/>
          </w:tcPr>
          <w:p w14:paraId="058D2ED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r>
              <w:rPr>
                <w:rFonts w:ascii="Times New Roman" w:eastAsia="Times New Roman" w:hAnsi="Times New Roman" w:cs="Times New Roman"/>
                <w:color w:val="000000"/>
                <w:sz w:val="20"/>
                <w:szCs w:val="20"/>
                <w:lang w:eastAsia="fr-FR"/>
              </w:rPr>
              <w:t>6</w:t>
            </w:r>
          </w:p>
        </w:tc>
        <w:tc>
          <w:tcPr>
            <w:tcW w:w="5245" w:type="dxa"/>
            <w:tcBorders>
              <w:top w:val="nil"/>
              <w:left w:val="nil"/>
              <w:bottom w:val="nil"/>
              <w:right w:val="nil"/>
            </w:tcBorders>
            <w:shd w:val="clear" w:color="auto" w:fill="auto"/>
            <w:noWrap/>
            <w:vAlign w:val="bottom"/>
            <w:hideMark/>
          </w:tcPr>
          <w:p w14:paraId="1449F8C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Dracaena mannii </w:t>
            </w:r>
            <w:r w:rsidRPr="00064B59">
              <w:rPr>
                <w:rFonts w:ascii="Times New Roman" w:eastAsia="Times New Roman" w:hAnsi="Times New Roman" w:cs="Times New Roman"/>
                <w:iCs/>
                <w:color w:val="000000"/>
                <w:sz w:val="20"/>
                <w:szCs w:val="20"/>
                <w:lang w:eastAsia="fr-FR"/>
              </w:rPr>
              <w:t>Bak. f.</w:t>
            </w:r>
          </w:p>
        </w:tc>
        <w:tc>
          <w:tcPr>
            <w:tcW w:w="1701" w:type="dxa"/>
            <w:tcBorders>
              <w:top w:val="nil"/>
              <w:left w:val="nil"/>
              <w:bottom w:val="nil"/>
              <w:right w:val="nil"/>
            </w:tcBorders>
            <w:shd w:val="clear" w:color="auto" w:fill="auto"/>
            <w:noWrap/>
            <w:vAlign w:val="bottom"/>
            <w:hideMark/>
          </w:tcPr>
          <w:p w14:paraId="74D9662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Agavaceae</w:t>
            </w:r>
          </w:p>
        </w:tc>
        <w:tc>
          <w:tcPr>
            <w:tcW w:w="1241" w:type="dxa"/>
            <w:tcBorders>
              <w:top w:val="nil"/>
              <w:left w:val="nil"/>
              <w:bottom w:val="nil"/>
              <w:right w:val="nil"/>
            </w:tcBorders>
            <w:shd w:val="clear" w:color="auto" w:fill="auto"/>
            <w:noWrap/>
            <w:vAlign w:val="bottom"/>
            <w:hideMark/>
          </w:tcPr>
          <w:p w14:paraId="5331803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778AB49F" w14:textId="77777777" w:rsidTr="00752D3B">
        <w:trPr>
          <w:trHeight w:val="300"/>
        </w:trPr>
        <w:tc>
          <w:tcPr>
            <w:tcW w:w="724" w:type="dxa"/>
            <w:tcBorders>
              <w:top w:val="nil"/>
              <w:left w:val="nil"/>
              <w:bottom w:val="nil"/>
              <w:right w:val="nil"/>
            </w:tcBorders>
            <w:shd w:val="clear" w:color="auto" w:fill="auto"/>
            <w:noWrap/>
            <w:vAlign w:val="bottom"/>
            <w:hideMark/>
          </w:tcPr>
          <w:p w14:paraId="57DDC1F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r>
              <w:rPr>
                <w:rFonts w:ascii="Times New Roman" w:eastAsia="Times New Roman" w:hAnsi="Times New Roman" w:cs="Times New Roman"/>
                <w:color w:val="000000"/>
                <w:sz w:val="20"/>
                <w:szCs w:val="20"/>
                <w:lang w:eastAsia="fr-FR"/>
              </w:rPr>
              <w:t>7</w:t>
            </w:r>
          </w:p>
        </w:tc>
        <w:tc>
          <w:tcPr>
            <w:tcW w:w="5245" w:type="dxa"/>
            <w:tcBorders>
              <w:top w:val="nil"/>
              <w:left w:val="nil"/>
              <w:bottom w:val="nil"/>
              <w:right w:val="nil"/>
            </w:tcBorders>
            <w:shd w:val="clear" w:color="auto" w:fill="auto"/>
            <w:noWrap/>
            <w:vAlign w:val="bottom"/>
            <w:hideMark/>
          </w:tcPr>
          <w:p w14:paraId="716823BB"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Dracaena ovata </w:t>
            </w:r>
            <w:r w:rsidRPr="00064B59">
              <w:rPr>
                <w:rFonts w:ascii="Times New Roman" w:eastAsia="Times New Roman" w:hAnsi="Times New Roman" w:cs="Times New Roman"/>
                <w:iCs/>
                <w:color w:val="000000"/>
                <w:sz w:val="20"/>
                <w:szCs w:val="20"/>
                <w:lang w:eastAsia="fr-FR"/>
              </w:rPr>
              <w:t>Ker Gawl.</w:t>
            </w:r>
          </w:p>
        </w:tc>
        <w:tc>
          <w:tcPr>
            <w:tcW w:w="1701" w:type="dxa"/>
            <w:tcBorders>
              <w:top w:val="nil"/>
              <w:left w:val="nil"/>
              <w:bottom w:val="nil"/>
              <w:right w:val="nil"/>
            </w:tcBorders>
            <w:shd w:val="clear" w:color="auto" w:fill="auto"/>
            <w:noWrap/>
            <w:vAlign w:val="bottom"/>
            <w:hideMark/>
          </w:tcPr>
          <w:p w14:paraId="432FC3C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Agavaceae</w:t>
            </w:r>
          </w:p>
        </w:tc>
        <w:tc>
          <w:tcPr>
            <w:tcW w:w="1241" w:type="dxa"/>
            <w:tcBorders>
              <w:top w:val="nil"/>
              <w:left w:val="nil"/>
              <w:bottom w:val="nil"/>
              <w:right w:val="nil"/>
            </w:tcBorders>
            <w:shd w:val="clear" w:color="auto" w:fill="auto"/>
            <w:noWrap/>
            <w:vAlign w:val="bottom"/>
            <w:hideMark/>
          </w:tcPr>
          <w:p w14:paraId="1A778DE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6077ECA2" w14:textId="77777777" w:rsidTr="00752D3B">
        <w:trPr>
          <w:trHeight w:val="300"/>
        </w:trPr>
        <w:tc>
          <w:tcPr>
            <w:tcW w:w="724" w:type="dxa"/>
            <w:tcBorders>
              <w:top w:val="nil"/>
              <w:left w:val="nil"/>
              <w:bottom w:val="nil"/>
              <w:right w:val="nil"/>
            </w:tcBorders>
            <w:shd w:val="clear" w:color="auto" w:fill="auto"/>
            <w:noWrap/>
            <w:vAlign w:val="bottom"/>
            <w:hideMark/>
          </w:tcPr>
          <w:p w14:paraId="1F40275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r>
              <w:rPr>
                <w:rFonts w:ascii="Times New Roman" w:eastAsia="Times New Roman" w:hAnsi="Times New Roman" w:cs="Times New Roman"/>
                <w:color w:val="000000"/>
                <w:sz w:val="20"/>
                <w:szCs w:val="20"/>
                <w:lang w:eastAsia="fr-FR"/>
              </w:rPr>
              <w:t>8</w:t>
            </w:r>
          </w:p>
        </w:tc>
        <w:tc>
          <w:tcPr>
            <w:tcW w:w="5245" w:type="dxa"/>
            <w:tcBorders>
              <w:top w:val="nil"/>
              <w:left w:val="nil"/>
              <w:bottom w:val="nil"/>
              <w:right w:val="nil"/>
            </w:tcBorders>
            <w:shd w:val="clear" w:color="auto" w:fill="auto"/>
            <w:noWrap/>
            <w:vAlign w:val="bottom"/>
            <w:hideMark/>
          </w:tcPr>
          <w:p w14:paraId="7B31AD2F"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Entandrophragma angolense </w:t>
            </w:r>
            <w:r w:rsidRPr="00064B59">
              <w:rPr>
                <w:rFonts w:ascii="Times New Roman" w:eastAsia="Times New Roman" w:hAnsi="Times New Roman" w:cs="Times New Roman"/>
                <w:iCs/>
                <w:color w:val="000000"/>
                <w:sz w:val="20"/>
                <w:szCs w:val="20"/>
                <w:lang w:eastAsia="fr-FR"/>
              </w:rPr>
              <w:t>(Welw.) C.DC.</w:t>
            </w:r>
          </w:p>
        </w:tc>
        <w:tc>
          <w:tcPr>
            <w:tcW w:w="1701" w:type="dxa"/>
            <w:tcBorders>
              <w:top w:val="nil"/>
              <w:left w:val="nil"/>
              <w:bottom w:val="nil"/>
              <w:right w:val="nil"/>
            </w:tcBorders>
            <w:shd w:val="clear" w:color="auto" w:fill="auto"/>
            <w:noWrap/>
            <w:vAlign w:val="bottom"/>
            <w:hideMark/>
          </w:tcPr>
          <w:p w14:paraId="3BCDE4F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64D5284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7152E489" w14:textId="77777777" w:rsidTr="00752D3B">
        <w:trPr>
          <w:trHeight w:val="300"/>
        </w:trPr>
        <w:tc>
          <w:tcPr>
            <w:tcW w:w="724" w:type="dxa"/>
            <w:tcBorders>
              <w:top w:val="nil"/>
              <w:left w:val="nil"/>
              <w:bottom w:val="nil"/>
              <w:right w:val="nil"/>
            </w:tcBorders>
            <w:shd w:val="clear" w:color="auto" w:fill="auto"/>
            <w:noWrap/>
            <w:vAlign w:val="bottom"/>
            <w:hideMark/>
          </w:tcPr>
          <w:p w14:paraId="73BDFAC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4</w:t>
            </w:r>
            <w:r>
              <w:rPr>
                <w:rFonts w:ascii="Times New Roman" w:eastAsia="Times New Roman" w:hAnsi="Times New Roman" w:cs="Times New Roman"/>
                <w:color w:val="000000"/>
                <w:sz w:val="20"/>
                <w:szCs w:val="20"/>
                <w:lang w:eastAsia="fr-FR"/>
              </w:rPr>
              <w:t>9</w:t>
            </w:r>
          </w:p>
        </w:tc>
        <w:tc>
          <w:tcPr>
            <w:tcW w:w="5245" w:type="dxa"/>
            <w:tcBorders>
              <w:top w:val="nil"/>
              <w:left w:val="nil"/>
              <w:bottom w:val="nil"/>
              <w:right w:val="nil"/>
            </w:tcBorders>
            <w:shd w:val="clear" w:color="auto" w:fill="auto"/>
            <w:noWrap/>
            <w:vAlign w:val="bottom"/>
            <w:hideMark/>
          </w:tcPr>
          <w:p w14:paraId="5A4BCFFB"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Erythrina mildbraedii </w:t>
            </w:r>
            <w:r w:rsidRPr="00064B59">
              <w:rPr>
                <w:rFonts w:ascii="Times New Roman" w:eastAsia="Times New Roman" w:hAnsi="Times New Roman" w:cs="Times New Roman"/>
                <w:iCs/>
                <w:color w:val="000000"/>
                <w:sz w:val="20"/>
                <w:szCs w:val="20"/>
                <w:lang w:eastAsia="fr-FR"/>
              </w:rPr>
              <w:t>Harms</w:t>
            </w:r>
          </w:p>
        </w:tc>
        <w:tc>
          <w:tcPr>
            <w:tcW w:w="1701" w:type="dxa"/>
            <w:tcBorders>
              <w:top w:val="nil"/>
              <w:left w:val="nil"/>
              <w:bottom w:val="nil"/>
              <w:right w:val="nil"/>
            </w:tcBorders>
            <w:shd w:val="clear" w:color="auto" w:fill="auto"/>
            <w:noWrap/>
            <w:vAlign w:val="bottom"/>
            <w:hideMark/>
          </w:tcPr>
          <w:p w14:paraId="2976C8E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4D05C49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55E464B" w14:textId="77777777" w:rsidTr="00752D3B">
        <w:trPr>
          <w:trHeight w:val="300"/>
        </w:trPr>
        <w:tc>
          <w:tcPr>
            <w:tcW w:w="724" w:type="dxa"/>
            <w:tcBorders>
              <w:top w:val="nil"/>
              <w:left w:val="nil"/>
              <w:bottom w:val="nil"/>
              <w:right w:val="nil"/>
            </w:tcBorders>
            <w:shd w:val="clear" w:color="auto" w:fill="auto"/>
            <w:noWrap/>
            <w:vAlign w:val="bottom"/>
            <w:hideMark/>
          </w:tcPr>
          <w:p w14:paraId="1416514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50</w:t>
            </w:r>
          </w:p>
        </w:tc>
        <w:tc>
          <w:tcPr>
            <w:tcW w:w="5245" w:type="dxa"/>
            <w:tcBorders>
              <w:top w:val="nil"/>
              <w:left w:val="nil"/>
              <w:bottom w:val="nil"/>
              <w:right w:val="nil"/>
            </w:tcBorders>
            <w:shd w:val="clear" w:color="auto" w:fill="auto"/>
            <w:noWrap/>
            <w:vAlign w:val="bottom"/>
            <w:hideMark/>
          </w:tcPr>
          <w:p w14:paraId="373823A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Erythrina vogelii </w:t>
            </w:r>
            <w:r w:rsidRPr="00064B59">
              <w:rPr>
                <w:rFonts w:ascii="Times New Roman" w:eastAsia="Times New Roman" w:hAnsi="Times New Roman" w:cs="Times New Roman"/>
                <w:iCs/>
                <w:color w:val="000000"/>
                <w:sz w:val="20"/>
                <w:szCs w:val="20"/>
                <w:lang w:eastAsia="fr-FR"/>
              </w:rPr>
              <w:t>Hook.f.</w:t>
            </w:r>
          </w:p>
        </w:tc>
        <w:tc>
          <w:tcPr>
            <w:tcW w:w="1701" w:type="dxa"/>
            <w:tcBorders>
              <w:top w:val="nil"/>
              <w:left w:val="nil"/>
              <w:bottom w:val="nil"/>
              <w:right w:val="nil"/>
            </w:tcBorders>
            <w:shd w:val="clear" w:color="auto" w:fill="auto"/>
            <w:noWrap/>
            <w:vAlign w:val="bottom"/>
            <w:hideMark/>
          </w:tcPr>
          <w:p w14:paraId="7FBB720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5511C27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63B7202E" w14:textId="77777777" w:rsidTr="00752D3B">
        <w:trPr>
          <w:trHeight w:val="300"/>
        </w:trPr>
        <w:tc>
          <w:tcPr>
            <w:tcW w:w="724" w:type="dxa"/>
            <w:tcBorders>
              <w:top w:val="nil"/>
              <w:left w:val="nil"/>
              <w:bottom w:val="nil"/>
              <w:right w:val="nil"/>
            </w:tcBorders>
            <w:shd w:val="clear" w:color="auto" w:fill="auto"/>
            <w:noWrap/>
            <w:vAlign w:val="bottom"/>
            <w:hideMark/>
          </w:tcPr>
          <w:p w14:paraId="2CBB76C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51</w:t>
            </w:r>
          </w:p>
        </w:tc>
        <w:tc>
          <w:tcPr>
            <w:tcW w:w="5245" w:type="dxa"/>
            <w:tcBorders>
              <w:top w:val="nil"/>
              <w:left w:val="nil"/>
              <w:bottom w:val="nil"/>
              <w:right w:val="nil"/>
            </w:tcBorders>
            <w:shd w:val="clear" w:color="auto" w:fill="auto"/>
            <w:noWrap/>
            <w:vAlign w:val="bottom"/>
            <w:hideMark/>
          </w:tcPr>
          <w:p w14:paraId="2EC8675E"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Erythroxylum mannii </w:t>
            </w:r>
            <w:r w:rsidRPr="00064B59">
              <w:rPr>
                <w:rFonts w:ascii="Times New Roman" w:eastAsia="Times New Roman" w:hAnsi="Times New Roman" w:cs="Times New Roman"/>
                <w:iCs/>
                <w:color w:val="000000"/>
                <w:sz w:val="20"/>
                <w:szCs w:val="20"/>
                <w:lang w:eastAsia="fr-FR"/>
              </w:rPr>
              <w:t>Oliv</w:t>
            </w:r>
          </w:p>
        </w:tc>
        <w:tc>
          <w:tcPr>
            <w:tcW w:w="1701" w:type="dxa"/>
            <w:tcBorders>
              <w:top w:val="nil"/>
              <w:left w:val="nil"/>
              <w:bottom w:val="nil"/>
              <w:right w:val="nil"/>
            </w:tcBorders>
            <w:shd w:val="clear" w:color="auto" w:fill="auto"/>
            <w:noWrap/>
            <w:vAlign w:val="bottom"/>
            <w:hideMark/>
          </w:tcPr>
          <w:p w14:paraId="5932480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79022E4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0A27D19E" w14:textId="77777777" w:rsidTr="00752D3B">
        <w:trPr>
          <w:trHeight w:val="300"/>
        </w:trPr>
        <w:tc>
          <w:tcPr>
            <w:tcW w:w="724" w:type="dxa"/>
            <w:tcBorders>
              <w:top w:val="nil"/>
              <w:left w:val="nil"/>
              <w:bottom w:val="nil"/>
              <w:right w:val="nil"/>
            </w:tcBorders>
            <w:shd w:val="clear" w:color="auto" w:fill="auto"/>
            <w:noWrap/>
            <w:vAlign w:val="bottom"/>
            <w:hideMark/>
          </w:tcPr>
          <w:p w14:paraId="035A673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52</w:t>
            </w:r>
          </w:p>
        </w:tc>
        <w:tc>
          <w:tcPr>
            <w:tcW w:w="5245" w:type="dxa"/>
            <w:tcBorders>
              <w:top w:val="nil"/>
              <w:left w:val="nil"/>
              <w:bottom w:val="nil"/>
              <w:right w:val="nil"/>
            </w:tcBorders>
            <w:shd w:val="clear" w:color="auto" w:fill="auto"/>
            <w:noWrap/>
            <w:vAlign w:val="bottom"/>
            <w:hideMark/>
          </w:tcPr>
          <w:p w14:paraId="3E3789E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Fagara leprieurii </w:t>
            </w:r>
            <w:r w:rsidRPr="00064B59">
              <w:rPr>
                <w:rFonts w:ascii="Times New Roman" w:eastAsia="Times New Roman" w:hAnsi="Times New Roman" w:cs="Times New Roman"/>
                <w:iCs/>
                <w:color w:val="000000"/>
                <w:sz w:val="20"/>
                <w:szCs w:val="20"/>
                <w:lang w:eastAsia="fr-FR"/>
              </w:rPr>
              <w:t>(Guill. &amp; Perr.) Engl.</w:t>
            </w:r>
          </w:p>
        </w:tc>
        <w:tc>
          <w:tcPr>
            <w:tcW w:w="1701" w:type="dxa"/>
            <w:tcBorders>
              <w:top w:val="nil"/>
              <w:left w:val="nil"/>
              <w:bottom w:val="nil"/>
              <w:right w:val="nil"/>
            </w:tcBorders>
            <w:shd w:val="clear" w:color="auto" w:fill="auto"/>
            <w:noWrap/>
            <w:vAlign w:val="bottom"/>
            <w:hideMark/>
          </w:tcPr>
          <w:p w14:paraId="73B1DDE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Rutaceae</w:t>
            </w:r>
          </w:p>
        </w:tc>
        <w:tc>
          <w:tcPr>
            <w:tcW w:w="1241" w:type="dxa"/>
            <w:tcBorders>
              <w:top w:val="nil"/>
              <w:left w:val="nil"/>
              <w:bottom w:val="nil"/>
              <w:right w:val="nil"/>
            </w:tcBorders>
            <w:shd w:val="clear" w:color="auto" w:fill="auto"/>
            <w:noWrap/>
            <w:vAlign w:val="bottom"/>
            <w:hideMark/>
          </w:tcPr>
          <w:p w14:paraId="099A93E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17C9DEAD" w14:textId="77777777" w:rsidTr="00752D3B">
        <w:trPr>
          <w:trHeight w:val="300"/>
        </w:trPr>
        <w:tc>
          <w:tcPr>
            <w:tcW w:w="724" w:type="dxa"/>
            <w:tcBorders>
              <w:top w:val="nil"/>
              <w:left w:val="nil"/>
              <w:bottom w:val="nil"/>
              <w:right w:val="nil"/>
            </w:tcBorders>
            <w:shd w:val="clear" w:color="auto" w:fill="auto"/>
            <w:noWrap/>
            <w:vAlign w:val="bottom"/>
            <w:hideMark/>
          </w:tcPr>
          <w:p w14:paraId="34A15AB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53</w:t>
            </w:r>
          </w:p>
        </w:tc>
        <w:tc>
          <w:tcPr>
            <w:tcW w:w="5245" w:type="dxa"/>
            <w:tcBorders>
              <w:top w:val="nil"/>
              <w:left w:val="nil"/>
              <w:bottom w:val="nil"/>
              <w:right w:val="nil"/>
            </w:tcBorders>
            <w:shd w:val="clear" w:color="auto" w:fill="auto"/>
            <w:noWrap/>
            <w:vAlign w:val="bottom"/>
            <w:hideMark/>
          </w:tcPr>
          <w:p w14:paraId="2D20E5EF"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Ficus variifolia </w:t>
            </w:r>
            <w:r w:rsidRPr="00064B59">
              <w:rPr>
                <w:rFonts w:ascii="Times New Roman" w:eastAsia="Times New Roman" w:hAnsi="Times New Roman" w:cs="Times New Roman"/>
                <w:iCs/>
                <w:color w:val="000000"/>
                <w:sz w:val="20"/>
                <w:szCs w:val="20"/>
                <w:lang w:eastAsia="fr-FR"/>
              </w:rPr>
              <w:t>Delilie</w:t>
            </w:r>
          </w:p>
        </w:tc>
        <w:tc>
          <w:tcPr>
            <w:tcW w:w="1701" w:type="dxa"/>
            <w:tcBorders>
              <w:top w:val="nil"/>
              <w:left w:val="nil"/>
              <w:bottom w:val="nil"/>
              <w:right w:val="nil"/>
            </w:tcBorders>
            <w:shd w:val="clear" w:color="auto" w:fill="auto"/>
            <w:noWrap/>
            <w:vAlign w:val="bottom"/>
            <w:hideMark/>
          </w:tcPr>
          <w:p w14:paraId="6221CD0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Moraceae</w:t>
            </w:r>
          </w:p>
        </w:tc>
        <w:tc>
          <w:tcPr>
            <w:tcW w:w="1241" w:type="dxa"/>
            <w:tcBorders>
              <w:top w:val="nil"/>
              <w:left w:val="nil"/>
              <w:bottom w:val="nil"/>
              <w:right w:val="nil"/>
            </w:tcBorders>
            <w:shd w:val="clear" w:color="auto" w:fill="auto"/>
            <w:noWrap/>
            <w:vAlign w:val="bottom"/>
            <w:hideMark/>
          </w:tcPr>
          <w:p w14:paraId="45C453A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3B8FF059" w14:textId="77777777" w:rsidTr="00752D3B">
        <w:trPr>
          <w:trHeight w:val="300"/>
        </w:trPr>
        <w:tc>
          <w:tcPr>
            <w:tcW w:w="724" w:type="dxa"/>
            <w:tcBorders>
              <w:top w:val="nil"/>
              <w:left w:val="nil"/>
              <w:bottom w:val="nil"/>
              <w:right w:val="nil"/>
            </w:tcBorders>
            <w:shd w:val="clear" w:color="auto" w:fill="auto"/>
            <w:noWrap/>
            <w:vAlign w:val="bottom"/>
            <w:hideMark/>
          </w:tcPr>
          <w:p w14:paraId="36703E6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54</w:t>
            </w:r>
          </w:p>
        </w:tc>
        <w:tc>
          <w:tcPr>
            <w:tcW w:w="5245" w:type="dxa"/>
            <w:tcBorders>
              <w:top w:val="nil"/>
              <w:left w:val="nil"/>
              <w:bottom w:val="nil"/>
              <w:right w:val="nil"/>
            </w:tcBorders>
            <w:shd w:val="clear" w:color="auto" w:fill="auto"/>
            <w:noWrap/>
            <w:vAlign w:val="bottom"/>
            <w:hideMark/>
          </w:tcPr>
          <w:p w14:paraId="0B15FD89"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Garcinia kola </w:t>
            </w:r>
            <w:r w:rsidRPr="00064B59">
              <w:rPr>
                <w:rFonts w:ascii="Times New Roman" w:eastAsia="Times New Roman" w:hAnsi="Times New Roman" w:cs="Times New Roman"/>
                <w:iCs/>
                <w:color w:val="000000"/>
                <w:sz w:val="20"/>
                <w:szCs w:val="20"/>
                <w:lang w:eastAsia="fr-FR"/>
              </w:rPr>
              <w:t>Heckel</w:t>
            </w:r>
          </w:p>
        </w:tc>
        <w:tc>
          <w:tcPr>
            <w:tcW w:w="1701" w:type="dxa"/>
            <w:tcBorders>
              <w:top w:val="nil"/>
              <w:left w:val="nil"/>
              <w:bottom w:val="nil"/>
              <w:right w:val="nil"/>
            </w:tcBorders>
            <w:shd w:val="clear" w:color="auto" w:fill="auto"/>
            <w:noWrap/>
            <w:vAlign w:val="bottom"/>
            <w:hideMark/>
          </w:tcPr>
          <w:p w14:paraId="65AC32A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Guttiferae</w:t>
            </w:r>
          </w:p>
        </w:tc>
        <w:tc>
          <w:tcPr>
            <w:tcW w:w="1241" w:type="dxa"/>
            <w:tcBorders>
              <w:top w:val="nil"/>
              <w:left w:val="nil"/>
              <w:bottom w:val="nil"/>
              <w:right w:val="nil"/>
            </w:tcBorders>
            <w:shd w:val="clear" w:color="auto" w:fill="auto"/>
            <w:noWrap/>
            <w:vAlign w:val="bottom"/>
            <w:hideMark/>
          </w:tcPr>
          <w:p w14:paraId="1A1F3DB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5286088D" w14:textId="77777777" w:rsidTr="00752D3B">
        <w:trPr>
          <w:trHeight w:val="300"/>
        </w:trPr>
        <w:tc>
          <w:tcPr>
            <w:tcW w:w="724" w:type="dxa"/>
            <w:tcBorders>
              <w:top w:val="nil"/>
              <w:left w:val="nil"/>
              <w:bottom w:val="nil"/>
              <w:right w:val="nil"/>
            </w:tcBorders>
            <w:shd w:val="clear" w:color="auto" w:fill="auto"/>
            <w:noWrap/>
            <w:vAlign w:val="bottom"/>
            <w:hideMark/>
          </w:tcPr>
          <w:p w14:paraId="1C044FC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55</w:t>
            </w:r>
          </w:p>
        </w:tc>
        <w:tc>
          <w:tcPr>
            <w:tcW w:w="5245" w:type="dxa"/>
            <w:tcBorders>
              <w:top w:val="nil"/>
              <w:left w:val="nil"/>
              <w:bottom w:val="nil"/>
              <w:right w:val="nil"/>
            </w:tcBorders>
            <w:shd w:val="clear" w:color="auto" w:fill="auto"/>
            <w:noWrap/>
            <w:vAlign w:val="bottom"/>
            <w:hideMark/>
          </w:tcPr>
          <w:p w14:paraId="6C74C5FA"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Garcinia livingstonei </w:t>
            </w:r>
            <w:r w:rsidRPr="00064B59">
              <w:rPr>
                <w:rFonts w:ascii="Times New Roman" w:eastAsia="Times New Roman" w:hAnsi="Times New Roman" w:cs="Times New Roman"/>
                <w:iCs/>
                <w:color w:val="000000"/>
                <w:sz w:val="20"/>
                <w:szCs w:val="20"/>
                <w:lang w:eastAsia="fr-FR"/>
              </w:rPr>
              <w:t>T.Anderson</w:t>
            </w:r>
          </w:p>
        </w:tc>
        <w:tc>
          <w:tcPr>
            <w:tcW w:w="1701" w:type="dxa"/>
            <w:tcBorders>
              <w:top w:val="nil"/>
              <w:left w:val="nil"/>
              <w:bottom w:val="nil"/>
              <w:right w:val="nil"/>
            </w:tcBorders>
            <w:shd w:val="clear" w:color="auto" w:fill="auto"/>
            <w:noWrap/>
            <w:vAlign w:val="bottom"/>
            <w:hideMark/>
          </w:tcPr>
          <w:p w14:paraId="56DBF55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Guttiferae</w:t>
            </w:r>
          </w:p>
        </w:tc>
        <w:tc>
          <w:tcPr>
            <w:tcW w:w="1241" w:type="dxa"/>
            <w:tcBorders>
              <w:top w:val="nil"/>
              <w:left w:val="nil"/>
              <w:bottom w:val="nil"/>
              <w:right w:val="nil"/>
            </w:tcBorders>
            <w:shd w:val="clear" w:color="auto" w:fill="auto"/>
            <w:noWrap/>
            <w:vAlign w:val="bottom"/>
            <w:hideMark/>
          </w:tcPr>
          <w:p w14:paraId="4F60E03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4D60FE81" w14:textId="77777777" w:rsidTr="00752D3B">
        <w:trPr>
          <w:trHeight w:val="300"/>
        </w:trPr>
        <w:tc>
          <w:tcPr>
            <w:tcW w:w="724" w:type="dxa"/>
            <w:tcBorders>
              <w:top w:val="nil"/>
              <w:left w:val="nil"/>
              <w:bottom w:val="nil"/>
              <w:right w:val="nil"/>
            </w:tcBorders>
            <w:shd w:val="clear" w:color="auto" w:fill="auto"/>
            <w:noWrap/>
            <w:vAlign w:val="bottom"/>
            <w:hideMark/>
          </w:tcPr>
          <w:p w14:paraId="7B02E50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56</w:t>
            </w:r>
          </w:p>
        </w:tc>
        <w:tc>
          <w:tcPr>
            <w:tcW w:w="5245" w:type="dxa"/>
            <w:tcBorders>
              <w:top w:val="nil"/>
              <w:left w:val="nil"/>
              <w:bottom w:val="nil"/>
              <w:right w:val="nil"/>
            </w:tcBorders>
            <w:shd w:val="clear" w:color="auto" w:fill="auto"/>
            <w:noWrap/>
            <w:vAlign w:val="bottom"/>
            <w:hideMark/>
          </w:tcPr>
          <w:p w14:paraId="39186B1F"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Garcinia polyantha </w:t>
            </w:r>
            <w:r w:rsidRPr="00064B59">
              <w:rPr>
                <w:rFonts w:ascii="Times New Roman" w:eastAsia="Times New Roman" w:hAnsi="Times New Roman" w:cs="Times New Roman"/>
                <w:iCs/>
                <w:color w:val="000000"/>
                <w:sz w:val="20"/>
                <w:szCs w:val="20"/>
                <w:lang w:eastAsia="fr-FR"/>
              </w:rPr>
              <w:t>Oliv.</w:t>
            </w:r>
          </w:p>
        </w:tc>
        <w:tc>
          <w:tcPr>
            <w:tcW w:w="1701" w:type="dxa"/>
            <w:tcBorders>
              <w:top w:val="nil"/>
              <w:left w:val="nil"/>
              <w:bottom w:val="nil"/>
              <w:right w:val="nil"/>
            </w:tcBorders>
            <w:shd w:val="clear" w:color="auto" w:fill="auto"/>
            <w:noWrap/>
            <w:vAlign w:val="bottom"/>
            <w:hideMark/>
          </w:tcPr>
          <w:p w14:paraId="78D2659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Guttiferae</w:t>
            </w:r>
          </w:p>
        </w:tc>
        <w:tc>
          <w:tcPr>
            <w:tcW w:w="1241" w:type="dxa"/>
            <w:tcBorders>
              <w:top w:val="nil"/>
              <w:left w:val="nil"/>
              <w:bottom w:val="nil"/>
              <w:right w:val="nil"/>
            </w:tcBorders>
            <w:shd w:val="clear" w:color="auto" w:fill="auto"/>
            <w:noWrap/>
            <w:vAlign w:val="bottom"/>
            <w:hideMark/>
          </w:tcPr>
          <w:p w14:paraId="3A90502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4827FDA9" w14:textId="77777777" w:rsidTr="00752D3B">
        <w:trPr>
          <w:trHeight w:val="300"/>
        </w:trPr>
        <w:tc>
          <w:tcPr>
            <w:tcW w:w="724" w:type="dxa"/>
            <w:tcBorders>
              <w:top w:val="nil"/>
              <w:left w:val="nil"/>
              <w:bottom w:val="nil"/>
              <w:right w:val="nil"/>
            </w:tcBorders>
            <w:shd w:val="clear" w:color="auto" w:fill="auto"/>
            <w:noWrap/>
            <w:vAlign w:val="bottom"/>
            <w:hideMark/>
          </w:tcPr>
          <w:p w14:paraId="1D10762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57</w:t>
            </w:r>
          </w:p>
        </w:tc>
        <w:tc>
          <w:tcPr>
            <w:tcW w:w="5245" w:type="dxa"/>
            <w:tcBorders>
              <w:top w:val="nil"/>
              <w:left w:val="nil"/>
              <w:bottom w:val="nil"/>
              <w:right w:val="nil"/>
            </w:tcBorders>
            <w:shd w:val="clear" w:color="auto" w:fill="auto"/>
            <w:noWrap/>
            <w:vAlign w:val="bottom"/>
            <w:hideMark/>
          </w:tcPr>
          <w:p w14:paraId="1B908C9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GB" w:eastAsia="fr-FR"/>
              </w:rPr>
              <w:t xml:space="preserve">Guarea cedrata </w:t>
            </w:r>
            <w:r w:rsidRPr="00064B59">
              <w:rPr>
                <w:rFonts w:ascii="Times New Roman" w:eastAsia="Times New Roman" w:hAnsi="Times New Roman" w:cs="Times New Roman"/>
                <w:iCs/>
                <w:color w:val="000000"/>
                <w:sz w:val="20"/>
                <w:szCs w:val="20"/>
                <w:lang w:val="en-GB" w:eastAsia="fr-FR"/>
              </w:rPr>
              <w:t>(A.Chev.) Pellegr.</w:t>
            </w:r>
          </w:p>
        </w:tc>
        <w:tc>
          <w:tcPr>
            <w:tcW w:w="1701" w:type="dxa"/>
            <w:tcBorders>
              <w:top w:val="nil"/>
              <w:left w:val="nil"/>
              <w:bottom w:val="nil"/>
              <w:right w:val="nil"/>
            </w:tcBorders>
            <w:shd w:val="clear" w:color="auto" w:fill="auto"/>
            <w:noWrap/>
            <w:vAlign w:val="bottom"/>
            <w:hideMark/>
          </w:tcPr>
          <w:p w14:paraId="136EEE2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21B216F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6C7E5D99" w14:textId="77777777" w:rsidTr="00752D3B">
        <w:trPr>
          <w:trHeight w:val="300"/>
        </w:trPr>
        <w:tc>
          <w:tcPr>
            <w:tcW w:w="724" w:type="dxa"/>
            <w:tcBorders>
              <w:top w:val="nil"/>
              <w:left w:val="nil"/>
              <w:bottom w:val="nil"/>
              <w:right w:val="nil"/>
            </w:tcBorders>
            <w:shd w:val="clear" w:color="auto" w:fill="auto"/>
            <w:noWrap/>
            <w:vAlign w:val="bottom"/>
            <w:hideMark/>
          </w:tcPr>
          <w:p w14:paraId="413B26D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58</w:t>
            </w:r>
          </w:p>
        </w:tc>
        <w:tc>
          <w:tcPr>
            <w:tcW w:w="5245" w:type="dxa"/>
            <w:tcBorders>
              <w:top w:val="nil"/>
              <w:left w:val="nil"/>
              <w:bottom w:val="nil"/>
              <w:right w:val="nil"/>
            </w:tcBorders>
            <w:shd w:val="clear" w:color="auto" w:fill="auto"/>
            <w:noWrap/>
            <w:vAlign w:val="bottom"/>
            <w:hideMark/>
          </w:tcPr>
          <w:p w14:paraId="154EF0C3"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Gymnostemon zaizou </w:t>
            </w:r>
            <w:r w:rsidRPr="00064B59">
              <w:rPr>
                <w:rFonts w:ascii="Times New Roman" w:eastAsia="Times New Roman" w:hAnsi="Times New Roman" w:cs="Times New Roman"/>
                <w:iCs/>
                <w:color w:val="000000"/>
                <w:sz w:val="20"/>
                <w:szCs w:val="20"/>
                <w:lang w:eastAsia="fr-FR"/>
              </w:rPr>
              <w:t>Aubrév. &amp; Pellegr.</w:t>
            </w:r>
          </w:p>
        </w:tc>
        <w:tc>
          <w:tcPr>
            <w:tcW w:w="1701" w:type="dxa"/>
            <w:tcBorders>
              <w:top w:val="nil"/>
              <w:left w:val="nil"/>
              <w:bottom w:val="nil"/>
              <w:right w:val="nil"/>
            </w:tcBorders>
            <w:shd w:val="clear" w:color="auto" w:fill="auto"/>
            <w:noWrap/>
            <w:vAlign w:val="bottom"/>
            <w:hideMark/>
          </w:tcPr>
          <w:p w14:paraId="107721B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Simaroubaceae</w:t>
            </w:r>
          </w:p>
        </w:tc>
        <w:tc>
          <w:tcPr>
            <w:tcW w:w="1241" w:type="dxa"/>
            <w:tcBorders>
              <w:top w:val="nil"/>
              <w:left w:val="nil"/>
              <w:bottom w:val="nil"/>
              <w:right w:val="nil"/>
            </w:tcBorders>
            <w:shd w:val="clear" w:color="auto" w:fill="auto"/>
            <w:noWrap/>
            <w:vAlign w:val="bottom"/>
            <w:hideMark/>
          </w:tcPr>
          <w:p w14:paraId="455517C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35B2184" w14:textId="77777777" w:rsidTr="00752D3B">
        <w:trPr>
          <w:trHeight w:val="300"/>
        </w:trPr>
        <w:tc>
          <w:tcPr>
            <w:tcW w:w="724" w:type="dxa"/>
            <w:tcBorders>
              <w:top w:val="nil"/>
              <w:left w:val="nil"/>
              <w:bottom w:val="nil"/>
              <w:right w:val="nil"/>
            </w:tcBorders>
            <w:shd w:val="clear" w:color="auto" w:fill="auto"/>
            <w:noWrap/>
            <w:vAlign w:val="bottom"/>
            <w:hideMark/>
          </w:tcPr>
          <w:p w14:paraId="46D99FC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59</w:t>
            </w:r>
          </w:p>
        </w:tc>
        <w:tc>
          <w:tcPr>
            <w:tcW w:w="5245" w:type="dxa"/>
            <w:tcBorders>
              <w:top w:val="nil"/>
              <w:left w:val="nil"/>
              <w:bottom w:val="nil"/>
              <w:right w:val="nil"/>
            </w:tcBorders>
            <w:shd w:val="clear" w:color="auto" w:fill="auto"/>
            <w:noWrap/>
            <w:vAlign w:val="bottom"/>
            <w:hideMark/>
          </w:tcPr>
          <w:p w14:paraId="25D3966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Heisteria parvifolia </w:t>
            </w:r>
            <w:r w:rsidRPr="00064B59">
              <w:rPr>
                <w:rFonts w:ascii="Times New Roman" w:eastAsia="Times New Roman" w:hAnsi="Times New Roman" w:cs="Times New Roman"/>
                <w:iCs/>
                <w:color w:val="000000"/>
                <w:sz w:val="20"/>
                <w:szCs w:val="20"/>
                <w:lang w:eastAsia="fr-FR"/>
              </w:rPr>
              <w:t>Sm.</w:t>
            </w:r>
          </w:p>
        </w:tc>
        <w:tc>
          <w:tcPr>
            <w:tcW w:w="1701" w:type="dxa"/>
            <w:tcBorders>
              <w:top w:val="nil"/>
              <w:left w:val="nil"/>
              <w:bottom w:val="nil"/>
              <w:right w:val="nil"/>
            </w:tcBorders>
            <w:shd w:val="clear" w:color="auto" w:fill="auto"/>
            <w:noWrap/>
            <w:vAlign w:val="bottom"/>
            <w:hideMark/>
          </w:tcPr>
          <w:p w14:paraId="413D794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Olacaceae</w:t>
            </w:r>
          </w:p>
        </w:tc>
        <w:tc>
          <w:tcPr>
            <w:tcW w:w="1241" w:type="dxa"/>
            <w:tcBorders>
              <w:top w:val="nil"/>
              <w:left w:val="nil"/>
              <w:bottom w:val="nil"/>
              <w:right w:val="nil"/>
            </w:tcBorders>
            <w:shd w:val="clear" w:color="auto" w:fill="auto"/>
            <w:noWrap/>
            <w:vAlign w:val="bottom"/>
            <w:hideMark/>
          </w:tcPr>
          <w:p w14:paraId="6E61A74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CC0B6DF" w14:textId="77777777" w:rsidTr="00752D3B">
        <w:trPr>
          <w:trHeight w:val="300"/>
        </w:trPr>
        <w:tc>
          <w:tcPr>
            <w:tcW w:w="724" w:type="dxa"/>
            <w:tcBorders>
              <w:top w:val="nil"/>
              <w:left w:val="nil"/>
              <w:bottom w:val="nil"/>
              <w:right w:val="nil"/>
            </w:tcBorders>
            <w:shd w:val="clear" w:color="auto" w:fill="auto"/>
            <w:noWrap/>
            <w:vAlign w:val="bottom"/>
            <w:hideMark/>
          </w:tcPr>
          <w:p w14:paraId="4A218CC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60</w:t>
            </w:r>
          </w:p>
        </w:tc>
        <w:tc>
          <w:tcPr>
            <w:tcW w:w="5245" w:type="dxa"/>
            <w:tcBorders>
              <w:top w:val="nil"/>
              <w:left w:val="nil"/>
              <w:bottom w:val="nil"/>
              <w:right w:val="nil"/>
            </w:tcBorders>
            <w:shd w:val="clear" w:color="auto" w:fill="auto"/>
            <w:vAlign w:val="bottom"/>
            <w:hideMark/>
          </w:tcPr>
          <w:p w14:paraId="0423C27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Holarrhena floribunda </w:t>
            </w:r>
            <w:r w:rsidRPr="00064B59">
              <w:rPr>
                <w:rFonts w:ascii="Times New Roman" w:eastAsia="Times New Roman" w:hAnsi="Times New Roman" w:cs="Times New Roman"/>
                <w:iCs/>
                <w:color w:val="000000"/>
                <w:sz w:val="20"/>
                <w:szCs w:val="20"/>
                <w:lang w:eastAsia="fr-FR"/>
              </w:rPr>
              <w:t>(G. Don) T. Durand &amp; Schinz</w:t>
            </w:r>
          </w:p>
        </w:tc>
        <w:tc>
          <w:tcPr>
            <w:tcW w:w="1701" w:type="dxa"/>
            <w:tcBorders>
              <w:top w:val="nil"/>
              <w:left w:val="nil"/>
              <w:bottom w:val="nil"/>
              <w:right w:val="nil"/>
            </w:tcBorders>
            <w:shd w:val="clear" w:color="auto" w:fill="auto"/>
            <w:vAlign w:val="bottom"/>
            <w:hideMark/>
          </w:tcPr>
          <w:p w14:paraId="6AE7D38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Apocynaceae</w:t>
            </w:r>
          </w:p>
        </w:tc>
        <w:tc>
          <w:tcPr>
            <w:tcW w:w="1241" w:type="dxa"/>
            <w:tcBorders>
              <w:top w:val="nil"/>
              <w:left w:val="nil"/>
              <w:bottom w:val="nil"/>
              <w:right w:val="nil"/>
            </w:tcBorders>
            <w:shd w:val="clear" w:color="auto" w:fill="auto"/>
            <w:vAlign w:val="bottom"/>
            <w:hideMark/>
          </w:tcPr>
          <w:p w14:paraId="5AA9BCE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NA</w:t>
            </w:r>
          </w:p>
        </w:tc>
      </w:tr>
      <w:tr w:rsidR="007475D1" w:rsidRPr="00064B59" w14:paraId="56BAB3B3" w14:textId="77777777" w:rsidTr="00752D3B">
        <w:trPr>
          <w:trHeight w:val="300"/>
        </w:trPr>
        <w:tc>
          <w:tcPr>
            <w:tcW w:w="724" w:type="dxa"/>
            <w:tcBorders>
              <w:top w:val="nil"/>
              <w:left w:val="nil"/>
              <w:bottom w:val="nil"/>
              <w:right w:val="nil"/>
            </w:tcBorders>
            <w:shd w:val="clear" w:color="auto" w:fill="auto"/>
            <w:noWrap/>
            <w:vAlign w:val="bottom"/>
            <w:hideMark/>
          </w:tcPr>
          <w:p w14:paraId="4834516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61</w:t>
            </w:r>
          </w:p>
        </w:tc>
        <w:tc>
          <w:tcPr>
            <w:tcW w:w="5245" w:type="dxa"/>
            <w:tcBorders>
              <w:top w:val="nil"/>
              <w:left w:val="nil"/>
              <w:bottom w:val="nil"/>
              <w:right w:val="nil"/>
            </w:tcBorders>
            <w:shd w:val="clear" w:color="auto" w:fill="auto"/>
            <w:noWrap/>
            <w:vAlign w:val="bottom"/>
            <w:hideMark/>
          </w:tcPr>
          <w:p w14:paraId="1A235501"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Homalium aubrevillei </w:t>
            </w:r>
            <w:r w:rsidRPr="00064B59">
              <w:rPr>
                <w:rFonts w:ascii="Times New Roman" w:eastAsia="Times New Roman" w:hAnsi="Times New Roman" w:cs="Times New Roman"/>
                <w:iCs/>
                <w:color w:val="000000"/>
                <w:sz w:val="20"/>
                <w:szCs w:val="20"/>
                <w:lang w:eastAsia="fr-FR"/>
              </w:rPr>
              <w:t>Keay</w:t>
            </w:r>
          </w:p>
        </w:tc>
        <w:tc>
          <w:tcPr>
            <w:tcW w:w="1701" w:type="dxa"/>
            <w:tcBorders>
              <w:top w:val="nil"/>
              <w:left w:val="nil"/>
              <w:bottom w:val="nil"/>
              <w:right w:val="nil"/>
            </w:tcBorders>
            <w:shd w:val="clear" w:color="auto" w:fill="auto"/>
            <w:noWrap/>
            <w:vAlign w:val="bottom"/>
            <w:hideMark/>
          </w:tcPr>
          <w:p w14:paraId="5880BB8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Flacourtiaceae</w:t>
            </w:r>
          </w:p>
        </w:tc>
        <w:tc>
          <w:tcPr>
            <w:tcW w:w="1241" w:type="dxa"/>
            <w:tcBorders>
              <w:top w:val="nil"/>
              <w:left w:val="nil"/>
              <w:bottom w:val="nil"/>
              <w:right w:val="nil"/>
            </w:tcBorders>
            <w:shd w:val="clear" w:color="auto" w:fill="auto"/>
            <w:noWrap/>
            <w:vAlign w:val="bottom"/>
            <w:hideMark/>
          </w:tcPr>
          <w:p w14:paraId="5DA67A9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5434EE80" w14:textId="77777777" w:rsidTr="00752D3B">
        <w:trPr>
          <w:trHeight w:val="300"/>
        </w:trPr>
        <w:tc>
          <w:tcPr>
            <w:tcW w:w="724" w:type="dxa"/>
            <w:tcBorders>
              <w:top w:val="nil"/>
              <w:left w:val="nil"/>
              <w:bottom w:val="nil"/>
              <w:right w:val="nil"/>
            </w:tcBorders>
            <w:shd w:val="clear" w:color="auto" w:fill="auto"/>
            <w:noWrap/>
            <w:vAlign w:val="bottom"/>
            <w:hideMark/>
          </w:tcPr>
          <w:p w14:paraId="538CABA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62</w:t>
            </w:r>
          </w:p>
        </w:tc>
        <w:tc>
          <w:tcPr>
            <w:tcW w:w="5245" w:type="dxa"/>
            <w:tcBorders>
              <w:top w:val="nil"/>
              <w:left w:val="nil"/>
              <w:bottom w:val="nil"/>
              <w:right w:val="nil"/>
            </w:tcBorders>
            <w:shd w:val="clear" w:color="auto" w:fill="auto"/>
            <w:noWrap/>
            <w:vAlign w:val="bottom"/>
            <w:hideMark/>
          </w:tcPr>
          <w:p w14:paraId="56A0EB8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Hunteria ghanensis </w:t>
            </w:r>
            <w:r w:rsidRPr="00064B59">
              <w:rPr>
                <w:rFonts w:ascii="Times New Roman" w:eastAsia="Times New Roman" w:hAnsi="Times New Roman" w:cs="Times New Roman"/>
                <w:iCs/>
                <w:color w:val="000000"/>
                <w:sz w:val="20"/>
                <w:szCs w:val="20"/>
                <w:lang w:val="en-US" w:eastAsia="fr-FR"/>
              </w:rPr>
              <w:t>J.B.Hall &amp; Leeuwenberg</w:t>
            </w:r>
          </w:p>
        </w:tc>
        <w:tc>
          <w:tcPr>
            <w:tcW w:w="1701" w:type="dxa"/>
            <w:tcBorders>
              <w:top w:val="nil"/>
              <w:left w:val="nil"/>
              <w:bottom w:val="nil"/>
              <w:right w:val="nil"/>
            </w:tcBorders>
            <w:shd w:val="clear" w:color="auto" w:fill="auto"/>
            <w:noWrap/>
            <w:vAlign w:val="bottom"/>
            <w:hideMark/>
          </w:tcPr>
          <w:p w14:paraId="76792C3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Apocynaceae</w:t>
            </w:r>
          </w:p>
        </w:tc>
        <w:tc>
          <w:tcPr>
            <w:tcW w:w="1241" w:type="dxa"/>
            <w:tcBorders>
              <w:top w:val="nil"/>
              <w:left w:val="nil"/>
              <w:bottom w:val="nil"/>
              <w:right w:val="nil"/>
            </w:tcBorders>
            <w:shd w:val="clear" w:color="auto" w:fill="auto"/>
            <w:noWrap/>
            <w:vAlign w:val="bottom"/>
            <w:hideMark/>
          </w:tcPr>
          <w:p w14:paraId="21A1B8A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C02A198" w14:textId="77777777" w:rsidTr="00752D3B">
        <w:trPr>
          <w:trHeight w:val="300"/>
        </w:trPr>
        <w:tc>
          <w:tcPr>
            <w:tcW w:w="724" w:type="dxa"/>
            <w:tcBorders>
              <w:top w:val="nil"/>
              <w:left w:val="nil"/>
              <w:bottom w:val="nil"/>
              <w:right w:val="nil"/>
            </w:tcBorders>
            <w:shd w:val="clear" w:color="auto" w:fill="auto"/>
            <w:noWrap/>
            <w:vAlign w:val="bottom"/>
            <w:hideMark/>
          </w:tcPr>
          <w:p w14:paraId="0DAE819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63</w:t>
            </w:r>
          </w:p>
        </w:tc>
        <w:tc>
          <w:tcPr>
            <w:tcW w:w="5245" w:type="dxa"/>
            <w:tcBorders>
              <w:top w:val="nil"/>
              <w:left w:val="nil"/>
              <w:bottom w:val="nil"/>
              <w:right w:val="nil"/>
            </w:tcBorders>
            <w:shd w:val="clear" w:color="auto" w:fill="auto"/>
            <w:noWrap/>
            <w:vAlign w:val="bottom"/>
            <w:hideMark/>
          </w:tcPr>
          <w:p w14:paraId="7AAD3BB7"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Hymenostegia afzelii </w:t>
            </w:r>
            <w:r w:rsidRPr="00064B59">
              <w:rPr>
                <w:rFonts w:ascii="Times New Roman" w:eastAsia="Times New Roman" w:hAnsi="Times New Roman" w:cs="Times New Roman"/>
                <w:iCs/>
                <w:color w:val="000000"/>
                <w:sz w:val="20"/>
                <w:szCs w:val="20"/>
                <w:lang w:eastAsia="fr-FR"/>
              </w:rPr>
              <w:t>(Oliv.) Harms</w:t>
            </w:r>
          </w:p>
        </w:tc>
        <w:tc>
          <w:tcPr>
            <w:tcW w:w="1701" w:type="dxa"/>
            <w:tcBorders>
              <w:top w:val="nil"/>
              <w:left w:val="nil"/>
              <w:bottom w:val="nil"/>
              <w:right w:val="nil"/>
            </w:tcBorders>
            <w:shd w:val="clear" w:color="auto" w:fill="auto"/>
            <w:noWrap/>
            <w:vAlign w:val="bottom"/>
            <w:hideMark/>
          </w:tcPr>
          <w:p w14:paraId="62D8C37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30D024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0B40E579" w14:textId="77777777" w:rsidTr="00752D3B">
        <w:trPr>
          <w:trHeight w:val="300"/>
        </w:trPr>
        <w:tc>
          <w:tcPr>
            <w:tcW w:w="724" w:type="dxa"/>
            <w:tcBorders>
              <w:top w:val="nil"/>
              <w:left w:val="nil"/>
              <w:bottom w:val="nil"/>
              <w:right w:val="nil"/>
            </w:tcBorders>
            <w:shd w:val="clear" w:color="auto" w:fill="auto"/>
            <w:noWrap/>
            <w:vAlign w:val="bottom"/>
            <w:hideMark/>
          </w:tcPr>
          <w:p w14:paraId="4BFE0C8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64</w:t>
            </w:r>
          </w:p>
        </w:tc>
        <w:tc>
          <w:tcPr>
            <w:tcW w:w="5245" w:type="dxa"/>
            <w:tcBorders>
              <w:top w:val="nil"/>
              <w:left w:val="nil"/>
              <w:bottom w:val="nil"/>
              <w:right w:val="nil"/>
            </w:tcBorders>
            <w:shd w:val="clear" w:color="auto" w:fill="auto"/>
            <w:noWrap/>
            <w:vAlign w:val="bottom"/>
            <w:hideMark/>
          </w:tcPr>
          <w:p w14:paraId="6C335562"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GB" w:eastAsia="fr-FR"/>
              </w:rPr>
              <w:t>Hypselodelphys violacea</w:t>
            </w:r>
            <w:r w:rsidRPr="00064B59">
              <w:rPr>
                <w:rFonts w:ascii="Times New Roman" w:eastAsia="Times New Roman" w:hAnsi="Times New Roman" w:cs="Times New Roman"/>
                <w:iCs/>
                <w:color w:val="000000"/>
                <w:sz w:val="20"/>
                <w:szCs w:val="20"/>
                <w:lang w:val="en-GB" w:eastAsia="fr-FR"/>
              </w:rPr>
              <w:t xml:space="preserve"> (Ridl.) Milne-Redh.</w:t>
            </w:r>
          </w:p>
        </w:tc>
        <w:tc>
          <w:tcPr>
            <w:tcW w:w="1701" w:type="dxa"/>
            <w:tcBorders>
              <w:top w:val="nil"/>
              <w:left w:val="nil"/>
              <w:bottom w:val="nil"/>
              <w:right w:val="nil"/>
            </w:tcBorders>
            <w:shd w:val="clear" w:color="auto" w:fill="auto"/>
            <w:noWrap/>
            <w:vAlign w:val="bottom"/>
            <w:hideMark/>
          </w:tcPr>
          <w:p w14:paraId="085F6F3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Marantaceae</w:t>
            </w:r>
          </w:p>
        </w:tc>
        <w:tc>
          <w:tcPr>
            <w:tcW w:w="1241" w:type="dxa"/>
            <w:tcBorders>
              <w:top w:val="nil"/>
              <w:left w:val="nil"/>
              <w:bottom w:val="nil"/>
              <w:right w:val="nil"/>
            </w:tcBorders>
            <w:shd w:val="clear" w:color="auto" w:fill="auto"/>
            <w:noWrap/>
            <w:vAlign w:val="bottom"/>
            <w:hideMark/>
          </w:tcPr>
          <w:p w14:paraId="503B3A8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0C1CC2E9" w14:textId="77777777" w:rsidTr="00752D3B">
        <w:trPr>
          <w:trHeight w:val="300"/>
        </w:trPr>
        <w:tc>
          <w:tcPr>
            <w:tcW w:w="724" w:type="dxa"/>
            <w:tcBorders>
              <w:top w:val="nil"/>
              <w:left w:val="nil"/>
              <w:bottom w:val="nil"/>
              <w:right w:val="nil"/>
            </w:tcBorders>
            <w:shd w:val="clear" w:color="auto" w:fill="auto"/>
            <w:noWrap/>
            <w:vAlign w:val="bottom"/>
            <w:hideMark/>
          </w:tcPr>
          <w:p w14:paraId="53B00EA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65</w:t>
            </w:r>
          </w:p>
        </w:tc>
        <w:tc>
          <w:tcPr>
            <w:tcW w:w="5245" w:type="dxa"/>
            <w:tcBorders>
              <w:top w:val="nil"/>
              <w:left w:val="nil"/>
              <w:bottom w:val="nil"/>
              <w:right w:val="nil"/>
            </w:tcBorders>
            <w:shd w:val="clear" w:color="auto" w:fill="auto"/>
            <w:noWrap/>
            <w:vAlign w:val="bottom"/>
            <w:hideMark/>
          </w:tcPr>
          <w:p w14:paraId="242FD3C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Illigera pentaphylla </w:t>
            </w:r>
            <w:r w:rsidRPr="00064B59">
              <w:rPr>
                <w:rFonts w:ascii="Times New Roman" w:eastAsia="Times New Roman" w:hAnsi="Times New Roman" w:cs="Times New Roman"/>
                <w:iCs/>
                <w:color w:val="000000"/>
                <w:sz w:val="20"/>
                <w:szCs w:val="20"/>
                <w:lang w:eastAsia="fr-FR"/>
              </w:rPr>
              <w:t>Welw.</w:t>
            </w:r>
          </w:p>
        </w:tc>
        <w:tc>
          <w:tcPr>
            <w:tcW w:w="1701" w:type="dxa"/>
            <w:tcBorders>
              <w:top w:val="nil"/>
              <w:left w:val="nil"/>
              <w:bottom w:val="nil"/>
              <w:right w:val="nil"/>
            </w:tcBorders>
            <w:shd w:val="clear" w:color="auto" w:fill="auto"/>
            <w:noWrap/>
            <w:vAlign w:val="bottom"/>
            <w:hideMark/>
          </w:tcPr>
          <w:p w14:paraId="59DC0CF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Hernandiaceae</w:t>
            </w:r>
          </w:p>
        </w:tc>
        <w:tc>
          <w:tcPr>
            <w:tcW w:w="1241" w:type="dxa"/>
            <w:tcBorders>
              <w:top w:val="nil"/>
              <w:left w:val="nil"/>
              <w:bottom w:val="nil"/>
              <w:right w:val="nil"/>
            </w:tcBorders>
            <w:shd w:val="clear" w:color="auto" w:fill="auto"/>
            <w:noWrap/>
            <w:vAlign w:val="bottom"/>
            <w:hideMark/>
          </w:tcPr>
          <w:p w14:paraId="69EB8A1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485A3D2C" w14:textId="77777777" w:rsidTr="00752D3B">
        <w:trPr>
          <w:trHeight w:val="300"/>
        </w:trPr>
        <w:tc>
          <w:tcPr>
            <w:tcW w:w="724" w:type="dxa"/>
            <w:tcBorders>
              <w:top w:val="nil"/>
              <w:left w:val="nil"/>
              <w:bottom w:val="nil"/>
              <w:right w:val="nil"/>
            </w:tcBorders>
            <w:shd w:val="clear" w:color="auto" w:fill="auto"/>
            <w:noWrap/>
            <w:vAlign w:val="bottom"/>
            <w:hideMark/>
          </w:tcPr>
          <w:p w14:paraId="466E2D7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66</w:t>
            </w:r>
          </w:p>
        </w:tc>
        <w:tc>
          <w:tcPr>
            <w:tcW w:w="5245" w:type="dxa"/>
            <w:tcBorders>
              <w:top w:val="nil"/>
              <w:left w:val="nil"/>
              <w:bottom w:val="nil"/>
              <w:right w:val="nil"/>
            </w:tcBorders>
            <w:shd w:val="clear" w:color="auto" w:fill="auto"/>
            <w:noWrap/>
            <w:vAlign w:val="bottom"/>
            <w:hideMark/>
          </w:tcPr>
          <w:p w14:paraId="0BD36A14"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Irvingia robur </w:t>
            </w:r>
            <w:r w:rsidRPr="00064B59">
              <w:rPr>
                <w:rFonts w:ascii="Times New Roman" w:eastAsia="Times New Roman" w:hAnsi="Times New Roman" w:cs="Times New Roman"/>
                <w:iCs/>
                <w:color w:val="000000"/>
                <w:sz w:val="20"/>
                <w:szCs w:val="20"/>
                <w:lang w:eastAsia="fr-FR"/>
              </w:rPr>
              <w:t>Mildbr.</w:t>
            </w:r>
          </w:p>
        </w:tc>
        <w:tc>
          <w:tcPr>
            <w:tcW w:w="1701" w:type="dxa"/>
            <w:tcBorders>
              <w:top w:val="nil"/>
              <w:left w:val="nil"/>
              <w:bottom w:val="nil"/>
              <w:right w:val="nil"/>
            </w:tcBorders>
            <w:shd w:val="clear" w:color="auto" w:fill="auto"/>
            <w:noWrap/>
            <w:vAlign w:val="bottom"/>
            <w:hideMark/>
          </w:tcPr>
          <w:p w14:paraId="4899430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Irvingiaceae</w:t>
            </w:r>
          </w:p>
        </w:tc>
        <w:tc>
          <w:tcPr>
            <w:tcW w:w="1241" w:type="dxa"/>
            <w:tcBorders>
              <w:top w:val="nil"/>
              <w:left w:val="nil"/>
              <w:bottom w:val="nil"/>
              <w:right w:val="nil"/>
            </w:tcBorders>
            <w:shd w:val="clear" w:color="auto" w:fill="auto"/>
            <w:noWrap/>
            <w:vAlign w:val="bottom"/>
            <w:hideMark/>
          </w:tcPr>
          <w:p w14:paraId="3AAE35F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637A274D" w14:textId="77777777" w:rsidTr="00752D3B">
        <w:trPr>
          <w:trHeight w:val="300"/>
        </w:trPr>
        <w:tc>
          <w:tcPr>
            <w:tcW w:w="724" w:type="dxa"/>
            <w:tcBorders>
              <w:top w:val="nil"/>
              <w:left w:val="nil"/>
              <w:bottom w:val="nil"/>
              <w:right w:val="nil"/>
            </w:tcBorders>
            <w:shd w:val="clear" w:color="auto" w:fill="auto"/>
            <w:noWrap/>
            <w:vAlign w:val="bottom"/>
            <w:hideMark/>
          </w:tcPr>
          <w:p w14:paraId="48E98A0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67</w:t>
            </w:r>
          </w:p>
        </w:tc>
        <w:tc>
          <w:tcPr>
            <w:tcW w:w="5245" w:type="dxa"/>
            <w:tcBorders>
              <w:top w:val="nil"/>
              <w:left w:val="nil"/>
              <w:bottom w:val="nil"/>
              <w:right w:val="nil"/>
            </w:tcBorders>
            <w:shd w:val="clear" w:color="auto" w:fill="auto"/>
            <w:noWrap/>
            <w:vAlign w:val="bottom"/>
            <w:hideMark/>
          </w:tcPr>
          <w:p w14:paraId="42617F4B"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Isolona cooperi  </w:t>
            </w:r>
            <w:r w:rsidRPr="00064B59">
              <w:rPr>
                <w:rFonts w:ascii="Times New Roman" w:eastAsia="Times New Roman" w:hAnsi="Times New Roman" w:cs="Times New Roman"/>
                <w:iCs/>
                <w:color w:val="000000"/>
                <w:sz w:val="20"/>
                <w:szCs w:val="20"/>
                <w:lang w:eastAsia="fr-FR"/>
              </w:rPr>
              <w:t>Hutch. &amp; Dalziel ex Coop. &amp; Record</w:t>
            </w:r>
          </w:p>
        </w:tc>
        <w:tc>
          <w:tcPr>
            <w:tcW w:w="1701" w:type="dxa"/>
            <w:tcBorders>
              <w:top w:val="nil"/>
              <w:left w:val="nil"/>
              <w:bottom w:val="nil"/>
              <w:right w:val="nil"/>
            </w:tcBorders>
            <w:shd w:val="clear" w:color="auto" w:fill="auto"/>
            <w:noWrap/>
            <w:vAlign w:val="bottom"/>
            <w:hideMark/>
          </w:tcPr>
          <w:p w14:paraId="315D3C0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Annonaceae</w:t>
            </w:r>
          </w:p>
        </w:tc>
        <w:tc>
          <w:tcPr>
            <w:tcW w:w="1241" w:type="dxa"/>
            <w:tcBorders>
              <w:top w:val="nil"/>
              <w:left w:val="nil"/>
              <w:bottom w:val="nil"/>
              <w:right w:val="nil"/>
            </w:tcBorders>
            <w:shd w:val="clear" w:color="auto" w:fill="auto"/>
            <w:noWrap/>
            <w:vAlign w:val="bottom"/>
            <w:hideMark/>
          </w:tcPr>
          <w:p w14:paraId="60D4EC4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5C1A4B49" w14:textId="77777777" w:rsidTr="00752D3B">
        <w:trPr>
          <w:trHeight w:val="300"/>
        </w:trPr>
        <w:tc>
          <w:tcPr>
            <w:tcW w:w="724" w:type="dxa"/>
            <w:tcBorders>
              <w:top w:val="nil"/>
              <w:left w:val="nil"/>
              <w:bottom w:val="nil"/>
              <w:right w:val="nil"/>
            </w:tcBorders>
            <w:shd w:val="clear" w:color="auto" w:fill="auto"/>
            <w:noWrap/>
            <w:vAlign w:val="bottom"/>
            <w:hideMark/>
          </w:tcPr>
          <w:p w14:paraId="6042B34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68</w:t>
            </w:r>
          </w:p>
        </w:tc>
        <w:tc>
          <w:tcPr>
            <w:tcW w:w="5245" w:type="dxa"/>
            <w:tcBorders>
              <w:top w:val="nil"/>
              <w:left w:val="nil"/>
              <w:bottom w:val="nil"/>
              <w:right w:val="nil"/>
            </w:tcBorders>
            <w:shd w:val="clear" w:color="auto" w:fill="auto"/>
            <w:noWrap/>
            <w:vAlign w:val="bottom"/>
            <w:hideMark/>
          </w:tcPr>
          <w:p w14:paraId="79E5744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GB" w:eastAsia="fr-FR"/>
              </w:rPr>
              <w:t xml:space="preserve">Khaya anthotheca </w:t>
            </w:r>
            <w:r w:rsidRPr="00064B59">
              <w:rPr>
                <w:rFonts w:ascii="Times New Roman" w:eastAsia="Times New Roman" w:hAnsi="Times New Roman" w:cs="Times New Roman"/>
                <w:iCs/>
                <w:color w:val="000000"/>
                <w:sz w:val="20"/>
                <w:szCs w:val="20"/>
                <w:lang w:val="en-GB" w:eastAsia="fr-FR"/>
              </w:rPr>
              <w:t>(Welw.) C.DC.</w:t>
            </w:r>
          </w:p>
        </w:tc>
        <w:tc>
          <w:tcPr>
            <w:tcW w:w="1701" w:type="dxa"/>
            <w:tcBorders>
              <w:top w:val="nil"/>
              <w:left w:val="nil"/>
              <w:bottom w:val="nil"/>
              <w:right w:val="nil"/>
            </w:tcBorders>
            <w:shd w:val="clear" w:color="auto" w:fill="auto"/>
            <w:noWrap/>
            <w:vAlign w:val="bottom"/>
            <w:hideMark/>
          </w:tcPr>
          <w:p w14:paraId="72A9AEF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72A9186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50F79D2" w14:textId="77777777" w:rsidTr="00752D3B">
        <w:trPr>
          <w:trHeight w:val="300"/>
        </w:trPr>
        <w:tc>
          <w:tcPr>
            <w:tcW w:w="724" w:type="dxa"/>
            <w:tcBorders>
              <w:top w:val="nil"/>
              <w:left w:val="nil"/>
              <w:bottom w:val="nil"/>
              <w:right w:val="nil"/>
            </w:tcBorders>
            <w:shd w:val="clear" w:color="auto" w:fill="auto"/>
            <w:noWrap/>
            <w:vAlign w:val="bottom"/>
            <w:hideMark/>
          </w:tcPr>
          <w:p w14:paraId="77C712F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69</w:t>
            </w:r>
          </w:p>
        </w:tc>
        <w:tc>
          <w:tcPr>
            <w:tcW w:w="5245" w:type="dxa"/>
            <w:tcBorders>
              <w:top w:val="nil"/>
              <w:left w:val="nil"/>
              <w:bottom w:val="nil"/>
              <w:right w:val="nil"/>
            </w:tcBorders>
            <w:shd w:val="clear" w:color="auto" w:fill="auto"/>
            <w:noWrap/>
            <w:vAlign w:val="bottom"/>
            <w:hideMark/>
          </w:tcPr>
          <w:p w14:paraId="2B2ECF8B"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Khaya grandifoliola </w:t>
            </w:r>
            <w:r w:rsidRPr="00064B59">
              <w:rPr>
                <w:rFonts w:ascii="Times New Roman" w:eastAsia="Times New Roman" w:hAnsi="Times New Roman" w:cs="Times New Roman"/>
                <w:iCs/>
                <w:color w:val="000000"/>
                <w:sz w:val="20"/>
                <w:szCs w:val="20"/>
                <w:lang w:eastAsia="fr-FR"/>
              </w:rPr>
              <w:t>C.DC.</w:t>
            </w:r>
          </w:p>
        </w:tc>
        <w:tc>
          <w:tcPr>
            <w:tcW w:w="1701" w:type="dxa"/>
            <w:tcBorders>
              <w:top w:val="nil"/>
              <w:left w:val="nil"/>
              <w:bottom w:val="nil"/>
              <w:right w:val="nil"/>
            </w:tcBorders>
            <w:shd w:val="clear" w:color="auto" w:fill="auto"/>
            <w:noWrap/>
            <w:vAlign w:val="bottom"/>
            <w:hideMark/>
          </w:tcPr>
          <w:p w14:paraId="3DDCC44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5962241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43D61D4C" w14:textId="77777777" w:rsidTr="00752D3B">
        <w:trPr>
          <w:trHeight w:val="300"/>
        </w:trPr>
        <w:tc>
          <w:tcPr>
            <w:tcW w:w="724" w:type="dxa"/>
            <w:tcBorders>
              <w:top w:val="nil"/>
              <w:left w:val="nil"/>
              <w:bottom w:val="nil"/>
              <w:right w:val="nil"/>
            </w:tcBorders>
            <w:shd w:val="clear" w:color="auto" w:fill="auto"/>
            <w:noWrap/>
            <w:vAlign w:val="bottom"/>
            <w:hideMark/>
          </w:tcPr>
          <w:p w14:paraId="5DC1439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70</w:t>
            </w:r>
          </w:p>
        </w:tc>
        <w:tc>
          <w:tcPr>
            <w:tcW w:w="5245" w:type="dxa"/>
            <w:tcBorders>
              <w:top w:val="nil"/>
              <w:left w:val="nil"/>
              <w:bottom w:val="nil"/>
              <w:right w:val="nil"/>
            </w:tcBorders>
            <w:shd w:val="clear" w:color="auto" w:fill="auto"/>
            <w:vAlign w:val="bottom"/>
            <w:hideMark/>
          </w:tcPr>
          <w:p w14:paraId="5A4B74BD"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Khaya senegalensis </w:t>
            </w:r>
            <w:r w:rsidRPr="00064B59">
              <w:rPr>
                <w:rFonts w:ascii="Times New Roman" w:eastAsia="Times New Roman" w:hAnsi="Times New Roman" w:cs="Times New Roman"/>
                <w:iCs/>
                <w:color w:val="000000"/>
                <w:sz w:val="20"/>
                <w:szCs w:val="20"/>
                <w:lang w:eastAsia="fr-FR"/>
              </w:rPr>
              <w:t>(Desv.) A. Juss.</w:t>
            </w:r>
          </w:p>
        </w:tc>
        <w:tc>
          <w:tcPr>
            <w:tcW w:w="1701" w:type="dxa"/>
            <w:tcBorders>
              <w:top w:val="nil"/>
              <w:left w:val="nil"/>
              <w:bottom w:val="nil"/>
              <w:right w:val="nil"/>
            </w:tcBorders>
            <w:shd w:val="clear" w:color="auto" w:fill="auto"/>
            <w:vAlign w:val="bottom"/>
            <w:hideMark/>
          </w:tcPr>
          <w:p w14:paraId="1BCA51E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vAlign w:val="bottom"/>
            <w:hideMark/>
          </w:tcPr>
          <w:p w14:paraId="3BB5ADB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628A1D71" w14:textId="77777777" w:rsidTr="00752D3B">
        <w:trPr>
          <w:trHeight w:val="300"/>
        </w:trPr>
        <w:tc>
          <w:tcPr>
            <w:tcW w:w="724" w:type="dxa"/>
            <w:tcBorders>
              <w:top w:val="nil"/>
              <w:left w:val="nil"/>
              <w:bottom w:val="nil"/>
              <w:right w:val="nil"/>
            </w:tcBorders>
            <w:shd w:val="clear" w:color="auto" w:fill="auto"/>
            <w:noWrap/>
            <w:vAlign w:val="bottom"/>
            <w:hideMark/>
          </w:tcPr>
          <w:p w14:paraId="082EC1F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71</w:t>
            </w:r>
          </w:p>
        </w:tc>
        <w:tc>
          <w:tcPr>
            <w:tcW w:w="5245" w:type="dxa"/>
            <w:tcBorders>
              <w:top w:val="nil"/>
              <w:left w:val="nil"/>
              <w:bottom w:val="nil"/>
              <w:right w:val="nil"/>
            </w:tcBorders>
            <w:shd w:val="clear" w:color="auto" w:fill="auto"/>
            <w:noWrap/>
            <w:vAlign w:val="bottom"/>
            <w:hideMark/>
          </w:tcPr>
          <w:p w14:paraId="04D3833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Klainedoxa gabonensis </w:t>
            </w:r>
            <w:r w:rsidRPr="00064B59">
              <w:rPr>
                <w:rFonts w:ascii="Times New Roman" w:eastAsia="Times New Roman" w:hAnsi="Times New Roman" w:cs="Times New Roman"/>
                <w:iCs/>
                <w:color w:val="000000"/>
                <w:sz w:val="20"/>
                <w:szCs w:val="20"/>
                <w:lang w:eastAsia="fr-FR"/>
              </w:rPr>
              <w:t>Pierre ex Engl.</w:t>
            </w:r>
          </w:p>
        </w:tc>
        <w:tc>
          <w:tcPr>
            <w:tcW w:w="1701" w:type="dxa"/>
            <w:tcBorders>
              <w:top w:val="nil"/>
              <w:left w:val="nil"/>
              <w:bottom w:val="nil"/>
              <w:right w:val="nil"/>
            </w:tcBorders>
            <w:shd w:val="clear" w:color="auto" w:fill="auto"/>
            <w:noWrap/>
            <w:vAlign w:val="bottom"/>
            <w:hideMark/>
          </w:tcPr>
          <w:p w14:paraId="415D72B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Simaroubaceae</w:t>
            </w:r>
          </w:p>
        </w:tc>
        <w:tc>
          <w:tcPr>
            <w:tcW w:w="1241" w:type="dxa"/>
            <w:tcBorders>
              <w:top w:val="nil"/>
              <w:left w:val="nil"/>
              <w:bottom w:val="nil"/>
              <w:right w:val="nil"/>
            </w:tcBorders>
            <w:shd w:val="clear" w:color="auto" w:fill="auto"/>
            <w:noWrap/>
            <w:vAlign w:val="bottom"/>
            <w:hideMark/>
          </w:tcPr>
          <w:p w14:paraId="390727A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376964F" w14:textId="77777777" w:rsidTr="00752D3B">
        <w:trPr>
          <w:trHeight w:val="300"/>
        </w:trPr>
        <w:tc>
          <w:tcPr>
            <w:tcW w:w="724" w:type="dxa"/>
            <w:tcBorders>
              <w:top w:val="nil"/>
              <w:left w:val="nil"/>
              <w:bottom w:val="nil"/>
              <w:right w:val="nil"/>
            </w:tcBorders>
            <w:shd w:val="clear" w:color="auto" w:fill="auto"/>
            <w:noWrap/>
            <w:vAlign w:val="bottom"/>
            <w:hideMark/>
          </w:tcPr>
          <w:p w14:paraId="6798731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72</w:t>
            </w:r>
          </w:p>
        </w:tc>
        <w:tc>
          <w:tcPr>
            <w:tcW w:w="5245" w:type="dxa"/>
            <w:tcBorders>
              <w:top w:val="nil"/>
              <w:left w:val="nil"/>
              <w:bottom w:val="nil"/>
              <w:right w:val="nil"/>
            </w:tcBorders>
            <w:shd w:val="clear" w:color="auto" w:fill="auto"/>
            <w:noWrap/>
            <w:vAlign w:val="bottom"/>
            <w:hideMark/>
          </w:tcPr>
          <w:p w14:paraId="5E83D03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Lovoa trichilioides </w:t>
            </w:r>
            <w:r w:rsidRPr="00064B59">
              <w:rPr>
                <w:rFonts w:ascii="Times New Roman" w:eastAsia="Times New Roman" w:hAnsi="Times New Roman" w:cs="Times New Roman"/>
                <w:iCs/>
                <w:color w:val="000000"/>
                <w:sz w:val="20"/>
                <w:szCs w:val="20"/>
                <w:lang w:eastAsia="fr-FR"/>
              </w:rPr>
              <w:t>Harms</w:t>
            </w:r>
          </w:p>
        </w:tc>
        <w:tc>
          <w:tcPr>
            <w:tcW w:w="1701" w:type="dxa"/>
            <w:tcBorders>
              <w:top w:val="nil"/>
              <w:left w:val="nil"/>
              <w:bottom w:val="nil"/>
              <w:right w:val="nil"/>
            </w:tcBorders>
            <w:shd w:val="clear" w:color="auto" w:fill="auto"/>
            <w:noWrap/>
            <w:vAlign w:val="bottom"/>
            <w:hideMark/>
          </w:tcPr>
          <w:p w14:paraId="01D76A7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401BBEE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566D37EF" w14:textId="77777777" w:rsidTr="00752D3B">
        <w:trPr>
          <w:trHeight w:val="300"/>
        </w:trPr>
        <w:tc>
          <w:tcPr>
            <w:tcW w:w="724" w:type="dxa"/>
            <w:tcBorders>
              <w:top w:val="nil"/>
              <w:left w:val="nil"/>
              <w:bottom w:val="nil"/>
              <w:right w:val="nil"/>
            </w:tcBorders>
            <w:shd w:val="clear" w:color="auto" w:fill="auto"/>
            <w:noWrap/>
            <w:vAlign w:val="bottom"/>
            <w:hideMark/>
          </w:tcPr>
          <w:p w14:paraId="777113A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73</w:t>
            </w:r>
          </w:p>
        </w:tc>
        <w:tc>
          <w:tcPr>
            <w:tcW w:w="5245" w:type="dxa"/>
            <w:tcBorders>
              <w:top w:val="nil"/>
              <w:left w:val="nil"/>
              <w:bottom w:val="nil"/>
              <w:right w:val="nil"/>
            </w:tcBorders>
            <w:shd w:val="clear" w:color="auto" w:fill="auto"/>
            <w:noWrap/>
            <w:vAlign w:val="bottom"/>
            <w:hideMark/>
          </w:tcPr>
          <w:p w14:paraId="480B443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Lygodium smithianum </w:t>
            </w:r>
            <w:r w:rsidRPr="00064B59">
              <w:rPr>
                <w:rFonts w:ascii="Times New Roman" w:eastAsia="Times New Roman" w:hAnsi="Times New Roman" w:cs="Times New Roman"/>
                <w:iCs/>
                <w:color w:val="000000"/>
                <w:sz w:val="20"/>
                <w:szCs w:val="20"/>
                <w:lang w:eastAsia="fr-FR"/>
              </w:rPr>
              <w:t>C. Presl</w:t>
            </w:r>
          </w:p>
        </w:tc>
        <w:tc>
          <w:tcPr>
            <w:tcW w:w="1701" w:type="dxa"/>
            <w:tcBorders>
              <w:top w:val="nil"/>
              <w:left w:val="nil"/>
              <w:bottom w:val="nil"/>
              <w:right w:val="nil"/>
            </w:tcBorders>
            <w:shd w:val="clear" w:color="auto" w:fill="auto"/>
            <w:noWrap/>
            <w:vAlign w:val="bottom"/>
            <w:hideMark/>
          </w:tcPr>
          <w:p w14:paraId="73457A8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Schizaeaceae</w:t>
            </w:r>
          </w:p>
        </w:tc>
        <w:tc>
          <w:tcPr>
            <w:tcW w:w="1241" w:type="dxa"/>
            <w:tcBorders>
              <w:top w:val="nil"/>
              <w:left w:val="nil"/>
              <w:bottom w:val="nil"/>
              <w:right w:val="nil"/>
            </w:tcBorders>
            <w:shd w:val="clear" w:color="auto" w:fill="auto"/>
            <w:noWrap/>
            <w:vAlign w:val="bottom"/>
            <w:hideMark/>
          </w:tcPr>
          <w:p w14:paraId="4B7B5B5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68127232" w14:textId="77777777" w:rsidTr="00752D3B">
        <w:trPr>
          <w:trHeight w:val="300"/>
        </w:trPr>
        <w:tc>
          <w:tcPr>
            <w:tcW w:w="724" w:type="dxa"/>
            <w:tcBorders>
              <w:top w:val="nil"/>
              <w:left w:val="nil"/>
              <w:bottom w:val="nil"/>
              <w:right w:val="nil"/>
            </w:tcBorders>
            <w:shd w:val="clear" w:color="auto" w:fill="auto"/>
            <w:noWrap/>
            <w:vAlign w:val="bottom"/>
            <w:hideMark/>
          </w:tcPr>
          <w:p w14:paraId="37079F4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74</w:t>
            </w:r>
          </w:p>
        </w:tc>
        <w:tc>
          <w:tcPr>
            <w:tcW w:w="5245" w:type="dxa"/>
            <w:tcBorders>
              <w:top w:val="nil"/>
              <w:left w:val="nil"/>
              <w:bottom w:val="nil"/>
              <w:right w:val="nil"/>
            </w:tcBorders>
            <w:shd w:val="clear" w:color="auto" w:fill="auto"/>
            <w:noWrap/>
            <w:vAlign w:val="bottom"/>
            <w:hideMark/>
          </w:tcPr>
          <w:p w14:paraId="3A76E76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Mammea africana </w:t>
            </w:r>
            <w:r w:rsidRPr="00064B59">
              <w:rPr>
                <w:rFonts w:ascii="Times New Roman" w:eastAsia="Times New Roman" w:hAnsi="Times New Roman" w:cs="Times New Roman"/>
                <w:iCs/>
                <w:color w:val="000000"/>
                <w:sz w:val="20"/>
                <w:szCs w:val="20"/>
                <w:lang w:eastAsia="fr-FR"/>
              </w:rPr>
              <w:t>Sabine</w:t>
            </w:r>
          </w:p>
        </w:tc>
        <w:tc>
          <w:tcPr>
            <w:tcW w:w="1701" w:type="dxa"/>
            <w:tcBorders>
              <w:top w:val="nil"/>
              <w:left w:val="nil"/>
              <w:bottom w:val="nil"/>
              <w:right w:val="nil"/>
            </w:tcBorders>
            <w:shd w:val="clear" w:color="auto" w:fill="auto"/>
            <w:noWrap/>
            <w:vAlign w:val="bottom"/>
            <w:hideMark/>
          </w:tcPr>
          <w:p w14:paraId="7E98F8A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Guttiferae</w:t>
            </w:r>
          </w:p>
        </w:tc>
        <w:tc>
          <w:tcPr>
            <w:tcW w:w="1241" w:type="dxa"/>
            <w:tcBorders>
              <w:top w:val="nil"/>
              <w:left w:val="nil"/>
              <w:bottom w:val="nil"/>
              <w:right w:val="nil"/>
            </w:tcBorders>
            <w:shd w:val="clear" w:color="auto" w:fill="auto"/>
            <w:noWrap/>
            <w:vAlign w:val="bottom"/>
            <w:hideMark/>
          </w:tcPr>
          <w:p w14:paraId="4D87A6A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2F70872E" w14:textId="77777777" w:rsidTr="00752D3B">
        <w:trPr>
          <w:trHeight w:val="300"/>
        </w:trPr>
        <w:tc>
          <w:tcPr>
            <w:tcW w:w="724" w:type="dxa"/>
            <w:tcBorders>
              <w:top w:val="nil"/>
              <w:left w:val="nil"/>
              <w:bottom w:val="nil"/>
              <w:right w:val="nil"/>
            </w:tcBorders>
            <w:shd w:val="clear" w:color="auto" w:fill="auto"/>
            <w:noWrap/>
            <w:vAlign w:val="bottom"/>
            <w:hideMark/>
          </w:tcPr>
          <w:p w14:paraId="26B3D43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75</w:t>
            </w:r>
          </w:p>
        </w:tc>
        <w:tc>
          <w:tcPr>
            <w:tcW w:w="5245" w:type="dxa"/>
            <w:tcBorders>
              <w:top w:val="nil"/>
              <w:left w:val="nil"/>
              <w:bottom w:val="nil"/>
              <w:right w:val="nil"/>
            </w:tcBorders>
            <w:shd w:val="clear" w:color="auto" w:fill="auto"/>
            <w:noWrap/>
            <w:vAlign w:val="bottom"/>
            <w:hideMark/>
          </w:tcPr>
          <w:p w14:paraId="5BE0F29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Mansonia altissima </w:t>
            </w:r>
            <w:r w:rsidRPr="00064B59">
              <w:rPr>
                <w:rFonts w:ascii="Times New Roman" w:eastAsia="Times New Roman" w:hAnsi="Times New Roman" w:cs="Times New Roman"/>
                <w:iCs/>
                <w:color w:val="000000"/>
                <w:sz w:val="20"/>
                <w:szCs w:val="20"/>
                <w:lang w:eastAsia="fr-FR"/>
              </w:rPr>
              <w:t>(A. Chev.) A. Chev.</w:t>
            </w:r>
          </w:p>
        </w:tc>
        <w:tc>
          <w:tcPr>
            <w:tcW w:w="1701" w:type="dxa"/>
            <w:tcBorders>
              <w:top w:val="nil"/>
              <w:left w:val="nil"/>
              <w:bottom w:val="nil"/>
              <w:right w:val="nil"/>
            </w:tcBorders>
            <w:shd w:val="clear" w:color="auto" w:fill="auto"/>
            <w:noWrap/>
            <w:vAlign w:val="bottom"/>
            <w:hideMark/>
          </w:tcPr>
          <w:p w14:paraId="5FC8201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1B83EEE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8859E8F" w14:textId="77777777" w:rsidTr="00752D3B">
        <w:trPr>
          <w:trHeight w:val="300"/>
        </w:trPr>
        <w:tc>
          <w:tcPr>
            <w:tcW w:w="724" w:type="dxa"/>
            <w:tcBorders>
              <w:top w:val="nil"/>
              <w:left w:val="nil"/>
              <w:bottom w:val="nil"/>
              <w:right w:val="nil"/>
            </w:tcBorders>
            <w:shd w:val="clear" w:color="auto" w:fill="auto"/>
            <w:noWrap/>
            <w:vAlign w:val="bottom"/>
            <w:hideMark/>
          </w:tcPr>
          <w:p w14:paraId="0AFECE3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76</w:t>
            </w:r>
          </w:p>
        </w:tc>
        <w:tc>
          <w:tcPr>
            <w:tcW w:w="5245" w:type="dxa"/>
            <w:tcBorders>
              <w:top w:val="nil"/>
              <w:left w:val="nil"/>
              <w:bottom w:val="nil"/>
              <w:right w:val="nil"/>
            </w:tcBorders>
            <w:shd w:val="clear" w:color="auto" w:fill="auto"/>
            <w:noWrap/>
            <w:vAlign w:val="bottom"/>
            <w:hideMark/>
          </w:tcPr>
          <w:p w14:paraId="6C392FE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Marattia fraxinea </w:t>
            </w:r>
            <w:r w:rsidRPr="00064B59">
              <w:rPr>
                <w:rFonts w:ascii="Times New Roman" w:eastAsia="Times New Roman" w:hAnsi="Times New Roman" w:cs="Times New Roman"/>
                <w:iCs/>
                <w:color w:val="000000"/>
                <w:sz w:val="20"/>
                <w:szCs w:val="20"/>
                <w:lang w:eastAsia="fr-FR"/>
              </w:rPr>
              <w:t>Sm.</w:t>
            </w:r>
          </w:p>
        </w:tc>
        <w:tc>
          <w:tcPr>
            <w:tcW w:w="1701" w:type="dxa"/>
            <w:tcBorders>
              <w:top w:val="nil"/>
              <w:left w:val="nil"/>
              <w:bottom w:val="nil"/>
              <w:right w:val="nil"/>
            </w:tcBorders>
            <w:shd w:val="clear" w:color="auto" w:fill="auto"/>
            <w:noWrap/>
            <w:vAlign w:val="bottom"/>
            <w:hideMark/>
          </w:tcPr>
          <w:p w14:paraId="68EE8AC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Marattiaceae</w:t>
            </w:r>
          </w:p>
        </w:tc>
        <w:tc>
          <w:tcPr>
            <w:tcW w:w="1241" w:type="dxa"/>
            <w:tcBorders>
              <w:top w:val="nil"/>
              <w:left w:val="nil"/>
              <w:bottom w:val="nil"/>
              <w:right w:val="nil"/>
            </w:tcBorders>
            <w:shd w:val="clear" w:color="auto" w:fill="auto"/>
            <w:noWrap/>
            <w:vAlign w:val="bottom"/>
            <w:hideMark/>
          </w:tcPr>
          <w:p w14:paraId="224FC00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651BC4E" w14:textId="77777777" w:rsidTr="00752D3B">
        <w:trPr>
          <w:trHeight w:val="300"/>
        </w:trPr>
        <w:tc>
          <w:tcPr>
            <w:tcW w:w="724" w:type="dxa"/>
            <w:tcBorders>
              <w:top w:val="nil"/>
              <w:left w:val="nil"/>
              <w:bottom w:val="nil"/>
              <w:right w:val="nil"/>
            </w:tcBorders>
            <w:shd w:val="clear" w:color="auto" w:fill="auto"/>
            <w:noWrap/>
            <w:vAlign w:val="bottom"/>
            <w:hideMark/>
          </w:tcPr>
          <w:p w14:paraId="6920B6A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77</w:t>
            </w:r>
          </w:p>
        </w:tc>
        <w:tc>
          <w:tcPr>
            <w:tcW w:w="5245" w:type="dxa"/>
            <w:tcBorders>
              <w:top w:val="nil"/>
              <w:left w:val="nil"/>
              <w:bottom w:val="nil"/>
              <w:right w:val="nil"/>
            </w:tcBorders>
            <w:shd w:val="clear" w:color="auto" w:fill="auto"/>
            <w:noWrap/>
            <w:vAlign w:val="bottom"/>
            <w:hideMark/>
          </w:tcPr>
          <w:p w14:paraId="270B20CC"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Markhamia lutea </w:t>
            </w:r>
            <w:r w:rsidRPr="00064B59">
              <w:rPr>
                <w:rFonts w:ascii="Times New Roman" w:eastAsia="Times New Roman" w:hAnsi="Times New Roman" w:cs="Times New Roman"/>
                <w:iCs/>
                <w:color w:val="000000"/>
                <w:sz w:val="20"/>
                <w:szCs w:val="20"/>
                <w:lang w:val="en-US" w:eastAsia="fr-FR"/>
              </w:rPr>
              <w:t>(Benth.) K.Schum.</w:t>
            </w:r>
          </w:p>
        </w:tc>
        <w:tc>
          <w:tcPr>
            <w:tcW w:w="1701" w:type="dxa"/>
            <w:tcBorders>
              <w:top w:val="nil"/>
              <w:left w:val="nil"/>
              <w:bottom w:val="nil"/>
              <w:right w:val="nil"/>
            </w:tcBorders>
            <w:shd w:val="clear" w:color="auto" w:fill="auto"/>
            <w:noWrap/>
            <w:vAlign w:val="bottom"/>
            <w:hideMark/>
          </w:tcPr>
          <w:p w14:paraId="70F5F19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Bignoniaceae</w:t>
            </w:r>
          </w:p>
        </w:tc>
        <w:tc>
          <w:tcPr>
            <w:tcW w:w="1241" w:type="dxa"/>
            <w:tcBorders>
              <w:top w:val="nil"/>
              <w:left w:val="nil"/>
              <w:bottom w:val="nil"/>
              <w:right w:val="nil"/>
            </w:tcBorders>
            <w:shd w:val="clear" w:color="auto" w:fill="auto"/>
            <w:noWrap/>
            <w:vAlign w:val="bottom"/>
            <w:hideMark/>
          </w:tcPr>
          <w:p w14:paraId="2641687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9D4501C" w14:textId="77777777" w:rsidTr="00752D3B">
        <w:trPr>
          <w:trHeight w:val="300"/>
        </w:trPr>
        <w:tc>
          <w:tcPr>
            <w:tcW w:w="724" w:type="dxa"/>
            <w:tcBorders>
              <w:top w:val="nil"/>
              <w:left w:val="nil"/>
              <w:bottom w:val="nil"/>
              <w:right w:val="nil"/>
            </w:tcBorders>
            <w:shd w:val="clear" w:color="auto" w:fill="auto"/>
            <w:noWrap/>
            <w:vAlign w:val="bottom"/>
            <w:hideMark/>
          </w:tcPr>
          <w:p w14:paraId="78B1C7B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78</w:t>
            </w:r>
          </w:p>
        </w:tc>
        <w:tc>
          <w:tcPr>
            <w:tcW w:w="5245" w:type="dxa"/>
            <w:tcBorders>
              <w:top w:val="nil"/>
              <w:left w:val="nil"/>
              <w:bottom w:val="nil"/>
              <w:right w:val="nil"/>
            </w:tcBorders>
            <w:shd w:val="clear" w:color="auto" w:fill="auto"/>
            <w:noWrap/>
            <w:vAlign w:val="bottom"/>
            <w:hideMark/>
          </w:tcPr>
          <w:p w14:paraId="574786FA"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Massularia acuminata </w:t>
            </w:r>
            <w:r w:rsidRPr="00064B59">
              <w:rPr>
                <w:rFonts w:ascii="Times New Roman" w:eastAsia="Times New Roman" w:hAnsi="Times New Roman" w:cs="Times New Roman"/>
                <w:iCs/>
                <w:color w:val="000000"/>
                <w:sz w:val="20"/>
                <w:szCs w:val="20"/>
                <w:lang w:eastAsia="fr-FR"/>
              </w:rPr>
              <w:t>(G.Don) Bullock ex Hoyle</w:t>
            </w:r>
          </w:p>
        </w:tc>
        <w:tc>
          <w:tcPr>
            <w:tcW w:w="1701" w:type="dxa"/>
            <w:tcBorders>
              <w:top w:val="nil"/>
              <w:left w:val="nil"/>
              <w:bottom w:val="nil"/>
              <w:right w:val="nil"/>
            </w:tcBorders>
            <w:shd w:val="clear" w:color="auto" w:fill="auto"/>
            <w:noWrap/>
            <w:vAlign w:val="bottom"/>
            <w:hideMark/>
          </w:tcPr>
          <w:p w14:paraId="6E121A6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478AFB3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512825D1" w14:textId="77777777" w:rsidTr="00752D3B">
        <w:trPr>
          <w:trHeight w:val="300"/>
        </w:trPr>
        <w:tc>
          <w:tcPr>
            <w:tcW w:w="724" w:type="dxa"/>
            <w:tcBorders>
              <w:top w:val="nil"/>
              <w:left w:val="nil"/>
              <w:bottom w:val="nil"/>
              <w:right w:val="nil"/>
            </w:tcBorders>
            <w:shd w:val="clear" w:color="auto" w:fill="auto"/>
            <w:noWrap/>
            <w:vAlign w:val="bottom"/>
            <w:hideMark/>
          </w:tcPr>
          <w:p w14:paraId="211227E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79</w:t>
            </w:r>
          </w:p>
        </w:tc>
        <w:tc>
          <w:tcPr>
            <w:tcW w:w="5245" w:type="dxa"/>
            <w:tcBorders>
              <w:top w:val="nil"/>
              <w:left w:val="nil"/>
              <w:bottom w:val="nil"/>
              <w:right w:val="nil"/>
            </w:tcBorders>
            <w:shd w:val="clear" w:color="auto" w:fill="auto"/>
            <w:noWrap/>
            <w:vAlign w:val="bottom"/>
            <w:hideMark/>
          </w:tcPr>
          <w:p w14:paraId="50927C33"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Milicia excelsa </w:t>
            </w:r>
            <w:r w:rsidRPr="00064B59">
              <w:rPr>
                <w:rFonts w:ascii="Times New Roman" w:eastAsia="Times New Roman" w:hAnsi="Times New Roman" w:cs="Times New Roman"/>
                <w:iCs/>
                <w:color w:val="000000"/>
                <w:sz w:val="20"/>
                <w:szCs w:val="20"/>
                <w:lang w:val="en-US" w:eastAsia="fr-FR"/>
              </w:rPr>
              <w:t>(Welw.) C.C.Berg</w:t>
            </w:r>
          </w:p>
        </w:tc>
        <w:tc>
          <w:tcPr>
            <w:tcW w:w="1701" w:type="dxa"/>
            <w:tcBorders>
              <w:top w:val="nil"/>
              <w:left w:val="nil"/>
              <w:bottom w:val="nil"/>
              <w:right w:val="nil"/>
            </w:tcBorders>
            <w:shd w:val="clear" w:color="auto" w:fill="auto"/>
            <w:noWrap/>
            <w:vAlign w:val="bottom"/>
            <w:hideMark/>
          </w:tcPr>
          <w:p w14:paraId="1EB386D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Moraceae</w:t>
            </w:r>
          </w:p>
        </w:tc>
        <w:tc>
          <w:tcPr>
            <w:tcW w:w="1241" w:type="dxa"/>
            <w:tcBorders>
              <w:top w:val="nil"/>
              <w:left w:val="nil"/>
              <w:bottom w:val="nil"/>
              <w:right w:val="nil"/>
            </w:tcBorders>
            <w:shd w:val="clear" w:color="auto" w:fill="auto"/>
            <w:noWrap/>
            <w:vAlign w:val="bottom"/>
            <w:hideMark/>
          </w:tcPr>
          <w:p w14:paraId="6848EFE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B7CD532" w14:textId="77777777" w:rsidTr="00752D3B">
        <w:trPr>
          <w:trHeight w:val="300"/>
        </w:trPr>
        <w:tc>
          <w:tcPr>
            <w:tcW w:w="724" w:type="dxa"/>
            <w:tcBorders>
              <w:top w:val="nil"/>
              <w:left w:val="nil"/>
              <w:bottom w:val="nil"/>
              <w:right w:val="nil"/>
            </w:tcBorders>
            <w:shd w:val="clear" w:color="auto" w:fill="auto"/>
            <w:noWrap/>
            <w:vAlign w:val="bottom"/>
            <w:hideMark/>
          </w:tcPr>
          <w:p w14:paraId="0C3FA5E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80</w:t>
            </w:r>
          </w:p>
        </w:tc>
        <w:tc>
          <w:tcPr>
            <w:tcW w:w="5245" w:type="dxa"/>
            <w:tcBorders>
              <w:top w:val="nil"/>
              <w:left w:val="nil"/>
              <w:bottom w:val="nil"/>
              <w:right w:val="nil"/>
            </w:tcBorders>
            <w:shd w:val="clear" w:color="auto" w:fill="auto"/>
            <w:noWrap/>
            <w:vAlign w:val="bottom"/>
            <w:hideMark/>
          </w:tcPr>
          <w:p w14:paraId="00CC8D1A"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GB" w:eastAsia="fr-FR"/>
              </w:rPr>
              <w:t xml:space="preserve">Nauclea diderrichii </w:t>
            </w:r>
            <w:r w:rsidRPr="00064B59">
              <w:rPr>
                <w:rFonts w:ascii="Times New Roman" w:eastAsia="Times New Roman" w:hAnsi="Times New Roman" w:cs="Times New Roman"/>
                <w:iCs/>
                <w:color w:val="000000"/>
                <w:sz w:val="20"/>
                <w:szCs w:val="20"/>
                <w:lang w:val="en-GB" w:eastAsia="fr-FR"/>
              </w:rPr>
              <w:t>(De Wild. &amp; T.Durand) Merrill</w:t>
            </w:r>
          </w:p>
        </w:tc>
        <w:tc>
          <w:tcPr>
            <w:tcW w:w="1701" w:type="dxa"/>
            <w:tcBorders>
              <w:top w:val="nil"/>
              <w:left w:val="nil"/>
              <w:bottom w:val="nil"/>
              <w:right w:val="nil"/>
            </w:tcBorders>
            <w:shd w:val="clear" w:color="auto" w:fill="auto"/>
            <w:noWrap/>
            <w:vAlign w:val="bottom"/>
            <w:hideMark/>
          </w:tcPr>
          <w:p w14:paraId="424DCD6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3DCEA42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D8BAF11" w14:textId="77777777" w:rsidTr="00752D3B">
        <w:trPr>
          <w:trHeight w:val="300"/>
        </w:trPr>
        <w:tc>
          <w:tcPr>
            <w:tcW w:w="724" w:type="dxa"/>
            <w:tcBorders>
              <w:top w:val="nil"/>
              <w:left w:val="nil"/>
              <w:bottom w:val="nil"/>
              <w:right w:val="nil"/>
            </w:tcBorders>
            <w:shd w:val="clear" w:color="auto" w:fill="auto"/>
            <w:noWrap/>
            <w:vAlign w:val="bottom"/>
            <w:hideMark/>
          </w:tcPr>
          <w:p w14:paraId="3F0BB54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81</w:t>
            </w:r>
          </w:p>
        </w:tc>
        <w:tc>
          <w:tcPr>
            <w:tcW w:w="5245" w:type="dxa"/>
            <w:tcBorders>
              <w:top w:val="nil"/>
              <w:left w:val="nil"/>
              <w:bottom w:val="nil"/>
              <w:right w:val="nil"/>
            </w:tcBorders>
            <w:shd w:val="clear" w:color="auto" w:fill="auto"/>
            <w:noWrap/>
            <w:vAlign w:val="bottom"/>
            <w:hideMark/>
          </w:tcPr>
          <w:p w14:paraId="3F35738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Nesogordonia papaverifolia</w:t>
            </w:r>
            <w:r w:rsidRPr="00064B59">
              <w:rPr>
                <w:rFonts w:ascii="Times New Roman" w:eastAsia="Times New Roman" w:hAnsi="Times New Roman" w:cs="Times New Roman"/>
                <w:iCs/>
                <w:color w:val="000000"/>
                <w:sz w:val="20"/>
                <w:szCs w:val="20"/>
                <w:lang w:eastAsia="fr-FR"/>
              </w:rPr>
              <w:t xml:space="preserve"> (A. Chev.) Capuron ex N. Hallé</w:t>
            </w:r>
          </w:p>
        </w:tc>
        <w:tc>
          <w:tcPr>
            <w:tcW w:w="1701" w:type="dxa"/>
            <w:tcBorders>
              <w:top w:val="nil"/>
              <w:left w:val="nil"/>
              <w:bottom w:val="nil"/>
              <w:right w:val="nil"/>
            </w:tcBorders>
            <w:shd w:val="clear" w:color="auto" w:fill="auto"/>
            <w:noWrap/>
            <w:vAlign w:val="bottom"/>
            <w:hideMark/>
          </w:tcPr>
          <w:p w14:paraId="009CDD2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1CDBF67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10584D70" w14:textId="77777777" w:rsidTr="00752D3B">
        <w:trPr>
          <w:trHeight w:val="300"/>
        </w:trPr>
        <w:tc>
          <w:tcPr>
            <w:tcW w:w="724" w:type="dxa"/>
            <w:tcBorders>
              <w:top w:val="nil"/>
              <w:left w:val="nil"/>
              <w:bottom w:val="nil"/>
              <w:right w:val="nil"/>
            </w:tcBorders>
            <w:shd w:val="clear" w:color="auto" w:fill="auto"/>
            <w:noWrap/>
            <w:vAlign w:val="bottom"/>
            <w:hideMark/>
          </w:tcPr>
          <w:p w14:paraId="32C7F11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82</w:t>
            </w:r>
          </w:p>
        </w:tc>
        <w:tc>
          <w:tcPr>
            <w:tcW w:w="5245" w:type="dxa"/>
            <w:tcBorders>
              <w:top w:val="nil"/>
              <w:left w:val="nil"/>
              <w:bottom w:val="nil"/>
              <w:right w:val="nil"/>
            </w:tcBorders>
            <w:shd w:val="clear" w:color="auto" w:fill="auto"/>
            <w:noWrap/>
            <w:vAlign w:val="bottom"/>
            <w:hideMark/>
          </w:tcPr>
          <w:p w14:paraId="3B799DBB"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Octolobus angustatus </w:t>
            </w:r>
            <w:r w:rsidRPr="00064B59">
              <w:rPr>
                <w:rFonts w:ascii="Times New Roman" w:eastAsia="Times New Roman" w:hAnsi="Times New Roman" w:cs="Times New Roman"/>
                <w:iCs/>
                <w:color w:val="000000"/>
                <w:sz w:val="20"/>
                <w:szCs w:val="20"/>
                <w:lang w:eastAsia="fr-FR"/>
              </w:rPr>
              <w:t>Hutch.</w:t>
            </w:r>
          </w:p>
        </w:tc>
        <w:tc>
          <w:tcPr>
            <w:tcW w:w="1701" w:type="dxa"/>
            <w:tcBorders>
              <w:top w:val="nil"/>
              <w:left w:val="nil"/>
              <w:bottom w:val="nil"/>
              <w:right w:val="nil"/>
            </w:tcBorders>
            <w:shd w:val="clear" w:color="auto" w:fill="auto"/>
            <w:noWrap/>
            <w:vAlign w:val="bottom"/>
            <w:hideMark/>
          </w:tcPr>
          <w:p w14:paraId="43A4F19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29D5F65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7C8614A5" w14:textId="77777777" w:rsidTr="00752D3B">
        <w:trPr>
          <w:trHeight w:val="300"/>
        </w:trPr>
        <w:tc>
          <w:tcPr>
            <w:tcW w:w="724" w:type="dxa"/>
            <w:tcBorders>
              <w:top w:val="nil"/>
              <w:left w:val="nil"/>
              <w:bottom w:val="nil"/>
              <w:right w:val="nil"/>
            </w:tcBorders>
            <w:shd w:val="clear" w:color="auto" w:fill="auto"/>
            <w:noWrap/>
            <w:vAlign w:val="bottom"/>
            <w:hideMark/>
          </w:tcPr>
          <w:p w14:paraId="269F6F6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83</w:t>
            </w:r>
          </w:p>
        </w:tc>
        <w:tc>
          <w:tcPr>
            <w:tcW w:w="5245" w:type="dxa"/>
            <w:tcBorders>
              <w:top w:val="nil"/>
              <w:left w:val="nil"/>
              <w:bottom w:val="nil"/>
              <w:right w:val="nil"/>
            </w:tcBorders>
            <w:shd w:val="clear" w:color="auto" w:fill="auto"/>
            <w:vAlign w:val="bottom"/>
            <w:hideMark/>
          </w:tcPr>
          <w:p w14:paraId="4D8147E3"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Oncoba spinosa</w:t>
            </w:r>
            <w:r w:rsidRPr="00064B59">
              <w:rPr>
                <w:rFonts w:ascii="Times New Roman" w:eastAsia="Times New Roman" w:hAnsi="Times New Roman" w:cs="Times New Roman"/>
                <w:color w:val="000000"/>
                <w:sz w:val="20"/>
                <w:szCs w:val="20"/>
                <w:lang w:eastAsia="fr-FR"/>
              </w:rPr>
              <w:t xml:space="preserve"> Forssk.</w:t>
            </w:r>
          </w:p>
        </w:tc>
        <w:tc>
          <w:tcPr>
            <w:tcW w:w="1701" w:type="dxa"/>
            <w:tcBorders>
              <w:top w:val="nil"/>
              <w:left w:val="nil"/>
              <w:bottom w:val="nil"/>
              <w:right w:val="nil"/>
            </w:tcBorders>
            <w:shd w:val="clear" w:color="auto" w:fill="auto"/>
            <w:vAlign w:val="bottom"/>
            <w:hideMark/>
          </w:tcPr>
          <w:p w14:paraId="73AFB34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Flacourtiaceae</w:t>
            </w:r>
          </w:p>
        </w:tc>
        <w:tc>
          <w:tcPr>
            <w:tcW w:w="1241" w:type="dxa"/>
            <w:tcBorders>
              <w:top w:val="nil"/>
              <w:left w:val="nil"/>
              <w:bottom w:val="nil"/>
              <w:right w:val="nil"/>
            </w:tcBorders>
            <w:shd w:val="clear" w:color="auto" w:fill="auto"/>
            <w:vAlign w:val="bottom"/>
            <w:hideMark/>
          </w:tcPr>
          <w:p w14:paraId="367D35C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LR</w:t>
            </w:r>
          </w:p>
        </w:tc>
      </w:tr>
      <w:tr w:rsidR="007475D1" w:rsidRPr="00064B59" w14:paraId="7FBBDCF6" w14:textId="77777777" w:rsidTr="00752D3B">
        <w:trPr>
          <w:trHeight w:val="300"/>
        </w:trPr>
        <w:tc>
          <w:tcPr>
            <w:tcW w:w="724" w:type="dxa"/>
            <w:tcBorders>
              <w:top w:val="nil"/>
              <w:left w:val="nil"/>
              <w:bottom w:val="nil"/>
              <w:right w:val="nil"/>
            </w:tcBorders>
            <w:shd w:val="clear" w:color="auto" w:fill="auto"/>
            <w:noWrap/>
            <w:vAlign w:val="bottom"/>
            <w:hideMark/>
          </w:tcPr>
          <w:p w14:paraId="3ED304F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84</w:t>
            </w:r>
          </w:p>
        </w:tc>
        <w:tc>
          <w:tcPr>
            <w:tcW w:w="5245" w:type="dxa"/>
            <w:tcBorders>
              <w:top w:val="nil"/>
              <w:left w:val="nil"/>
              <w:bottom w:val="nil"/>
              <w:right w:val="nil"/>
            </w:tcBorders>
            <w:shd w:val="clear" w:color="auto" w:fill="auto"/>
            <w:noWrap/>
            <w:vAlign w:val="bottom"/>
            <w:hideMark/>
          </w:tcPr>
          <w:p w14:paraId="4072377F"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Pararist</w:t>
            </w:r>
            <w:r w:rsidRPr="00064B59">
              <w:rPr>
                <w:rFonts w:ascii="Times New Roman" w:eastAsia="Times New Roman" w:hAnsi="Times New Roman" w:cs="Times New Roman"/>
                <w:i/>
                <w:iCs/>
                <w:color w:val="000000"/>
                <w:sz w:val="20"/>
                <w:szCs w:val="20"/>
                <w:lang w:val="en-GB" w:eastAsia="fr-FR"/>
              </w:rPr>
              <w:t xml:space="preserve">olochia manii </w:t>
            </w:r>
            <w:r w:rsidRPr="00064B59">
              <w:rPr>
                <w:rFonts w:ascii="Times New Roman" w:eastAsia="Times New Roman" w:hAnsi="Times New Roman" w:cs="Times New Roman"/>
                <w:iCs/>
                <w:color w:val="000000"/>
                <w:sz w:val="20"/>
                <w:szCs w:val="20"/>
                <w:lang w:val="en-GB" w:eastAsia="fr-FR"/>
              </w:rPr>
              <w:t>(Hook. f.) Keay</w:t>
            </w:r>
          </w:p>
        </w:tc>
        <w:tc>
          <w:tcPr>
            <w:tcW w:w="1701" w:type="dxa"/>
            <w:tcBorders>
              <w:top w:val="nil"/>
              <w:left w:val="nil"/>
              <w:bottom w:val="nil"/>
              <w:right w:val="nil"/>
            </w:tcBorders>
            <w:shd w:val="clear" w:color="auto" w:fill="auto"/>
            <w:noWrap/>
            <w:vAlign w:val="bottom"/>
            <w:hideMark/>
          </w:tcPr>
          <w:p w14:paraId="78C7CCB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Aristolochiaceae</w:t>
            </w:r>
          </w:p>
        </w:tc>
        <w:tc>
          <w:tcPr>
            <w:tcW w:w="1241" w:type="dxa"/>
            <w:tcBorders>
              <w:top w:val="nil"/>
              <w:left w:val="nil"/>
              <w:bottom w:val="nil"/>
              <w:right w:val="nil"/>
            </w:tcBorders>
            <w:shd w:val="clear" w:color="auto" w:fill="auto"/>
            <w:noWrap/>
            <w:vAlign w:val="bottom"/>
            <w:hideMark/>
          </w:tcPr>
          <w:p w14:paraId="2405708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1EA32DF9" w14:textId="77777777" w:rsidTr="00752D3B">
        <w:trPr>
          <w:trHeight w:val="300"/>
        </w:trPr>
        <w:tc>
          <w:tcPr>
            <w:tcW w:w="724" w:type="dxa"/>
            <w:tcBorders>
              <w:top w:val="nil"/>
              <w:left w:val="nil"/>
              <w:bottom w:val="nil"/>
              <w:right w:val="nil"/>
            </w:tcBorders>
            <w:shd w:val="clear" w:color="auto" w:fill="auto"/>
            <w:noWrap/>
            <w:vAlign w:val="bottom"/>
            <w:hideMark/>
          </w:tcPr>
          <w:p w14:paraId="6518C05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85</w:t>
            </w:r>
          </w:p>
        </w:tc>
        <w:tc>
          <w:tcPr>
            <w:tcW w:w="5245" w:type="dxa"/>
            <w:tcBorders>
              <w:top w:val="nil"/>
              <w:left w:val="nil"/>
              <w:bottom w:val="nil"/>
              <w:right w:val="nil"/>
            </w:tcBorders>
            <w:shd w:val="clear" w:color="auto" w:fill="auto"/>
            <w:noWrap/>
            <w:vAlign w:val="bottom"/>
            <w:hideMark/>
          </w:tcPr>
          <w:p w14:paraId="0198279F"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Parinari chrysophylla </w:t>
            </w:r>
            <w:r w:rsidRPr="00064B59">
              <w:rPr>
                <w:rFonts w:ascii="Times New Roman" w:eastAsia="Times New Roman" w:hAnsi="Times New Roman" w:cs="Times New Roman"/>
                <w:iCs/>
                <w:color w:val="000000"/>
                <w:sz w:val="20"/>
                <w:szCs w:val="20"/>
                <w:lang w:eastAsia="fr-FR"/>
              </w:rPr>
              <w:t>Oliv.</w:t>
            </w:r>
          </w:p>
        </w:tc>
        <w:tc>
          <w:tcPr>
            <w:tcW w:w="1701" w:type="dxa"/>
            <w:tcBorders>
              <w:top w:val="nil"/>
              <w:left w:val="nil"/>
              <w:bottom w:val="nil"/>
              <w:right w:val="nil"/>
            </w:tcBorders>
            <w:shd w:val="clear" w:color="auto" w:fill="auto"/>
            <w:noWrap/>
            <w:vAlign w:val="bottom"/>
            <w:hideMark/>
          </w:tcPr>
          <w:p w14:paraId="4534B9F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Chrysobalanaceae</w:t>
            </w:r>
          </w:p>
        </w:tc>
        <w:tc>
          <w:tcPr>
            <w:tcW w:w="1241" w:type="dxa"/>
            <w:tcBorders>
              <w:top w:val="nil"/>
              <w:left w:val="nil"/>
              <w:bottom w:val="nil"/>
              <w:right w:val="nil"/>
            </w:tcBorders>
            <w:shd w:val="clear" w:color="auto" w:fill="auto"/>
            <w:noWrap/>
            <w:vAlign w:val="bottom"/>
            <w:hideMark/>
          </w:tcPr>
          <w:p w14:paraId="12CEB28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14769912" w14:textId="77777777" w:rsidTr="00752D3B">
        <w:trPr>
          <w:trHeight w:val="300"/>
        </w:trPr>
        <w:tc>
          <w:tcPr>
            <w:tcW w:w="724" w:type="dxa"/>
            <w:tcBorders>
              <w:top w:val="nil"/>
              <w:left w:val="nil"/>
              <w:bottom w:val="nil"/>
              <w:right w:val="nil"/>
            </w:tcBorders>
            <w:shd w:val="clear" w:color="auto" w:fill="auto"/>
            <w:noWrap/>
            <w:vAlign w:val="bottom"/>
            <w:hideMark/>
          </w:tcPr>
          <w:p w14:paraId="75276FE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86</w:t>
            </w:r>
          </w:p>
        </w:tc>
        <w:tc>
          <w:tcPr>
            <w:tcW w:w="5245" w:type="dxa"/>
            <w:tcBorders>
              <w:top w:val="nil"/>
              <w:left w:val="nil"/>
              <w:bottom w:val="nil"/>
              <w:right w:val="nil"/>
            </w:tcBorders>
            <w:shd w:val="clear" w:color="auto" w:fill="auto"/>
            <w:noWrap/>
            <w:vAlign w:val="bottom"/>
            <w:hideMark/>
          </w:tcPr>
          <w:p w14:paraId="04FC4DC8"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Parinari excelsa </w:t>
            </w:r>
            <w:r w:rsidRPr="00064B59">
              <w:rPr>
                <w:rFonts w:ascii="Times New Roman" w:eastAsia="Times New Roman" w:hAnsi="Times New Roman" w:cs="Times New Roman"/>
                <w:iCs/>
                <w:color w:val="000000"/>
                <w:sz w:val="20"/>
                <w:szCs w:val="20"/>
                <w:lang w:eastAsia="fr-FR"/>
              </w:rPr>
              <w:t>Sabine</w:t>
            </w:r>
          </w:p>
        </w:tc>
        <w:tc>
          <w:tcPr>
            <w:tcW w:w="1701" w:type="dxa"/>
            <w:tcBorders>
              <w:top w:val="nil"/>
              <w:left w:val="nil"/>
              <w:bottom w:val="nil"/>
              <w:right w:val="nil"/>
            </w:tcBorders>
            <w:shd w:val="clear" w:color="auto" w:fill="auto"/>
            <w:noWrap/>
            <w:vAlign w:val="bottom"/>
            <w:hideMark/>
          </w:tcPr>
          <w:p w14:paraId="5E409DF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Chrysobalanaceae</w:t>
            </w:r>
          </w:p>
        </w:tc>
        <w:tc>
          <w:tcPr>
            <w:tcW w:w="1241" w:type="dxa"/>
            <w:tcBorders>
              <w:top w:val="nil"/>
              <w:left w:val="nil"/>
              <w:bottom w:val="nil"/>
              <w:right w:val="nil"/>
            </w:tcBorders>
            <w:shd w:val="clear" w:color="auto" w:fill="auto"/>
            <w:noWrap/>
            <w:vAlign w:val="bottom"/>
            <w:hideMark/>
          </w:tcPr>
          <w:p w14:paraId="6FF7E77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6BF615D0" w14:textId="77777777" w:rsidTr="00752D3B">
        <w:trPr>
          <w:trHeight w:val="300"/>
        </w:trPr>
        <w:tc>
          <w:tcPr>
            <w:tcW w:w="724" w:type="dxa"/>
            <w:tcBorders>
              <w:top w:val="nil"/>
              <w:left w:val="nil"/>
              <w:bottom w:val="nil"/>
              <w:right w:val="nil"/>
            </w:tcBorders>
            <w:shd w:val="clear" w:color="auto" w:fill="auto"/>
            <w:noWrap/>
            <w:vAlign w:val="bottom"/>
            <w:hideMark/>
          </w:tcPr>
          <w:p w14:paraId="24DAF1E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87</w:t>
            </w:r>
          </w:p>
        </w:tc>
        <w:tc>
          <w:tcPr>
            <w:tcW w:w="5245" w:type="dxa"/>
            <w:tcBorders>
              <w:top w:val="nil"/>
              <w:left w:val="nil"/>
              <w:bottom w:val="nil"/>
              <w:right w:val="nil"/>
            </w:tcBorders>
            <w:shd w:val="clear" w:color="auto" w:fill="auto"/>
            <w:noWrap/>
            <w:vAlign w:val="bottom"/>
            <w:hideMark/>
          </w:tcPr>
          <w:p w14:paraId="7E7DE9E6"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Parkia bicolor </w:t>
            </w:r>
            <w:r w:rsidRPr="00064B59">
              <w:rPr>
                <w:rFonts w:ascii="Times New Roman" w:eastAsia="Times New Roman" w:hAnsi="Times New Roman" w:cs="Times New Roman"/>
                <w:iCs/>
                <w:color w:val="000000"/>
                <w:sz w:val="20"/>
                <w:szCs w:val="20"/>
                <w:lang w:eastAsia="fr-FR"/>
              </w:rPr>
              <w:t>A.Chev.</w:t>
            </w:r>
          </w:p>
        </w:tc>
        <w:tc>
          <w:tcPr>
            <w:tcW w:w="1701" w:type="dxa"/>
            <w:tcBorders>
              <w:top w:val="nil"/>
              <w:left w:val="nil"/>
              <w:bottom w:val="nil"/>
              <w:right w:val="nil"/>
            </w:tcBorders>
            <w:shd w:val="clear" w:color="auto" w:fill="auto"/>
            <w:noWrap/>
            <w:vAlign w:val="bottom"/>
            <w:hideMark/>
          </w:tcPr>
          <w:p w14:paraId="3F83205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Mimosaceae</w:t>
            </w:r>
          </w:p>
        </w:tc>
        <w:tc>
          <w:tcPr>
            <w:tcW w:w="1241" w:type="dxa"/>
            <w:tcBorders>
              <w:top w:val="nil"/>
              <w:left w:val="nil"/>
              <w:bottom w:val="nil"/>
              <w:right w:val="nil"/>
            </w:tcBorders>
            <w:shd w:val="clear" w:color="auto" w:fill="auto"/>
            <w:noWrap/>
            <w:vAlign w:val="bottom"/>
            <w:hideMark/>
          </w:tcPr>
          <w:p w14:paraId="247D0A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09E2E3FD" w14:textId="77777777" w:rsidTr="00752D3B">
        <w:trPr>
          <w:trHeight w:val="300"/>
        </w:trPr>
        <w:tc>
          <w:tcPr>
            <w:tcW w:w="724" w:type="dxa"/>
            <w:tcBorders>
              <w:top w:val="nil"/>
              <w:left w:val="nil"/>
              <w:bottom w:val="nil"/>
              <w:right w:val="nil"/>
            </w:tcBorders>
            <w:shd w:val="clear" w:color="auto" w:fill="auto"/>
            <w:noWrap/>
            <w:vAlign w:val="bottom"/>
            <w:hideMark/>
          </w:tcPr>
          <w:p w14:paraId="5AAFCF0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88</w:t>
            </w:r>
          </w:p>
        </w:tc>
        <w:tc>
          <w:tcPr>
            <w:tcW w:w="5245" w:type="dxa"/>
            <w:tcBorders>
              <w:top w:val="nil"/>
              <w:left w:val="nil"/>
              <w:bottom w:val="nil"/>
              <w:right w:val="nil"/>
            </w:tcBorders>
            <w:shd w:val="clear" w:color="auto" w:fill="auto"/>
            <w:noWrap/>
            <w:vAlign w:val="bottom"/>
            <w:hideMark/>
          </w:tcPr>
          <w:p w14:paraId="25A58912"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Pierreodendron kerstingii </w:t>
            </w:r>
            <w:r w:rsidRPr="00064B59">
              <w:rPr>
                <w:rFonts w:ascii="Times New Roman" w:eastAsia="Times New Roman" w:hAnsi="Times New Roman" w:cs="Times New Roman"/>
                <w:iCs/>
                <w:color w:val="000000"/>
                <w:sz w:val="20"/>
                <w:szCs w:val="20"/>
                <w:lang w:eastAsia="fr-FR"/>
              </w:rPr>
              <w:t>(Engl.) Little</w:t>
            </w:r>
          </w:p>
        </w:tc>
        <w:tc>
          <w:tcPr>
            <w:tcW w:w="1701" w:type="dxa"/>
            <w:tcBorders>
              <w:top w:val="nil"/>
              <w:left w:val="nil"/>
              <w:bottom w:val="nil"/>
              <w:right w:val="nil"/>
            </w:tcBorders>
            <w:shd w:val="clear" w:color="auto" w:fill="auto"/>
            <w:noWrap/>
            <w:vAlign w:val="bottom"/>
            <w:hideMark/>
          </w:tcPr>
          <w:p w14:paraId="5A884F5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Simaroubaceae</w:t>
            </w:r>
          </w:p>
        </w:tc>
        <w:tc>
          <w:tcPr>
            <w:tcW w:w="1241" w:type="dxa"/>
            <w:tcBorders>
              <w:top w:val="nil"/>
              <w:left w:val="nil"/>
              <w:bottom w:val="nil"/>
              <w:right w:val="nil"/>
            </w:tcBorders>
            <w:shd w:val="clear" w:color="auto" w:fill="auto"/>
            <w:noWrap/>
            <w:vAlign w:val="bottom"/>
            <w:hideMark/>
          </w:tcPr>
          <w:p w14:paraId="3A592B6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27148C71" w14:textId="77777777" w:rsidTr="00752D3B">
        <w:trPr>
          <w:trHeight w:val="300"/>
        </w:trPr>
        <w:tc>
          <w:tcPr>
            <w:tcW w:w="724" w:type="dxa"/>
            <w:tcBorders>
              <w:top w:val="nil"/>
              <w:left w:val="nil"/>
              <w:bottom w:val="nil"/>
              <w:right w:val="nil"/>
            </w:tcBorders>
            <w:shd w:val="clear" w:color="auto" w:fill="auto"/>
            <w:noWrap/>
            <w:vAlign w:val="bottom"/>
            <w:hideMark/>
          </w:tcPr>
          <w:p w14:paraId="605125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89</w:t>
            </w:r>
          </w:p>
        </w:tc>
        <w:tc>
          <w:tcPr>
            <w:tcW w:w="5245" w:type="dxa"/>
            <w:tcBorders>
              <w:top w:val="nil"/>
              <w:left w:val="nil"/>
              <w:bottom w:val="nil"/>
              <w:right w:val="nil"/>
            </w:tcBorders>
            <w:shd w:val="clear" w:color="auto" w:fill="auto"/>
            <w:noWrap/>
            <w:vAlign w:val="bottom"/>
            <w:hideMark/>
          </w:tcPr>
          <w:p w14:paraId="24060EEE"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Pittosporum viridiflorum </w:t>
            </w:r>
            <w:r w:rsidRPr="00064B59">
              <w:rPr>
                <w:rFonts w:ascii="Times New Roman" w:eastAsia="Times New Roman" w:hAnsi="Times New Roman" w:cs="Times New Roman"/>
                <w:iCs/>
                <w:color w:val="000000"/>
                <w:sz w:val="20"/>
                <w:szCs w:val="20"/>
                <w:lang w:eastAsia="fr-FR"/>
              </w:rPr>
              <w:t>Sims</w:t>
            </w:r>
          </w:p>
        </w:tc>
        <w:tc>
          <w:tcPr>
            <w:tcW w:w="1701" w:type="dxa"/>
            <w:tcBorders>
              <w:top w:val="nil"/>
              <w:left w:val="nil"/>
              <w:bottom w:val="nil"/>
              <w:right w:val="nil"/>
            </w:tcBorders>
            <w:shd w:val="clear" w:color="auto" w:fill="auto"/>
            <w:noWrap/>
            <w:vAlign w:val="bottom"/>
            <w:hideMark/>
          </w:tcPr>
          <w:p w14:paraId="1777795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Pittosporaceae</w:t>
            </w:r>
          </w:p>
        </w:tc>
        <w:tc>
          <w:tcPr>
            <w:tcW w:w="1241" w:type="dxa"/>
            <w:tcBorders>
              <w:top w:val="nil"/>
              <w:left w:val="nil"/>
              <w:bottom w:val="nil"/>
              <w:right w:val="nil"/>
            </w:tcBorders>
            <w:shd w:val="clear" w:color="auto" w:fill="auto"/>
            <w:noWrap/>
            <w:vAlign w:val="bottom"/>
            <w:hideMark/>
          </w:tcPr>
          <w:p w14:paraId="5D76868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27EC628F" w14:textId="77777777" w:rsidTr="00752D3B">
        <w:trPr>
          <w:trHeight w:val="300"/>
        </w:trPr>
        <w:tc>
          <w:tcPr>
            <w:tcW w:w="724" w:type="dxa"/>
            <w:tcBorders>
              <w:top w:val="nil"/>
              <w:left w:val="nil"/>
              <w:bottom w:val="nil"/>
              <w:right w:val="nil"/>
            </w:tcBorders>
            <w:shd w:val="clear" w:color="auto" w:fill="auto"/>
            <w:noWrap/>
            <w:vAlign w:val="bottom"/>
            <w:hideMark/>
          </w:tcPr>
          <w:p w14:paraId="5A5C8DE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90</w:t>
            </w:r>
          </w:p>
        </w:tc>
        <w:tc>
          <w:tcPr>
            <w:tcW w:w="5245" w:type="dxa"/>
            <w:tcBorders>
              <w:top w:val="nil"/>
              <w:left w:val="nil"/>
              <w:bottom w:val="nil"/>
              <w:right w:val="nil"/>
            </w:tcBorders>
            <w:shd w:val="clear" w:color="auto" w:fill="auto"/>
            <w:noWrap/>
            <w:vAlign w:val="bottom"/>
            <w:hideMark/>
          </w:tcPr>
          <w:p w14:paraId="2BBC1834"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Polystachya dolichophylla </w:t>
            </w:r>
            <w:r w:rsidRPr="00064B59">
              <w:rPr>
                <w:rFonts w:ascii="Times New Roman" w:eastAsia="Times New Roman" w:hAnsi="Times New Roman" w:cs="Times New Roman"/>
                <w:iCs/>
                <w:color w:val="000000"/>
                <w:sz w:val="20"/>
                <w:szCs w:val="20"/>
                <w:lang w:eastAsia="fr-FR"/>
              </w:rPr>
              <w:t>Schltr.</w:t>
            </w:r>
          </w:p>
        </w:tc>
        <w:tc>
          <w:tcPr>
            <w:tcW w:w="1701" w:type="dxa"/>
            <w:tcBorders>
              <w:top w:val="nil"/>
              <w:left w:val="nil"/>
              <w:bottom w:val="nil"/>
              <w:right w:val="nil"/>
            </w:tcBorders>
            <w:shd w:val="clear" w:color="auto" w:fill="auto"/>
            <w:noWrap/>
            <w:vAlign w:val="bottom"/>
            <w:hideMark/>
          </w:tcPr>
          <w:p w14:paraId="69F95B7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Orchidaceae</w:t>
            </w:r>
          </w:p>
        </w:tc>
        <w:tc>
          <w:tcPr>
            <w:tcW w:w="1241" w:type="dxa"/>
            <w:tcBorders>
              <w:top w:val="nil"/>
              <w:left w:val="nil"/>
              <w:bottom w:val="nil"/>
              <w:right w:val="nil"/>
            </w:tcBorders>
            <w:shd w:val="clear" w:color="auto" w:fill="auto"/>
            <w:noWrap/>
            <w:vAlign w:val="bottom"/>
            <w:hideMark/>
          </w:tcPr>
          <w:p w14:paraId="1E3665C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5378020D" w14:textId="77777777" w:rsidTr="00752D3B">
        <w:trPr>
          <w:trHeight w:val="300"/>
        </w:trPr>
        <w:tc>
          <w:tcPr>
            <w:tcW w:w="724" w:type="dxa"/>
            <w:tcBorders>
              <w:top w:val="nil"/>
              <w:left w:val="nil"/>
              <w:bottom w:val="nil"/>
              <w:right w:val="nil"/>
            </w:tcBorders>
            <w:shd w:val="clear" w:color="auto" w:fill="auto"/>
            <w:noWrap/>
            <w:vAlign w:val="bottom"/>
            <w:hideMark/>
          </w:tcPr>
          <w:p w14:paraId="328DCFC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91</w:t>
            </w:r>
          </w:p>
        </w:tc>
        <w:tc>
          <w:tcPr>
            <w:tcW w:w="5245" w:type="dxa"/>
            <w:tcBorders>
              <w:top w:val="nil"/>
              <w:left w:val="nil"/>
              <w:bottom w:val="nil"/>
              <w:right w:val="nil"/>
            </w:tcBorders>
            <w:shd w:val="clear" w:color="auto" w:fill="auto"/>
            <w:noWrap/>
            <w:vAlign w:val="bottom"/>
            <w:hideMark/>
          </w:tcPr>
          <w:p w14:paraId="0569F319"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Psychotria elongatosepala </w:t>
            </w:r>
            <w:r w:rsidRPr="00064B59">
              <w:rPr>
                <w:rFonts w:ascii="Times New Roman" w:eastAsia="Times New Roman" w:hAnsi="Times New Roman" w:cs="Times New Roman"/>
                <w:iCs/>
                <w:color w:val="000000"/>
                <w:sz w:val="20"/>
                <w:szCs w:val="20"/>
                <w:lang w:eastAsia="fr-FR"/>
              </w:rPr>
              <w:t>(De Wild.) E.M.A. Petit</w:t>
            </w:r>
          </w:p>
        </w:tc>
        <w:tc>
          <w:tcPr>
            <w:tcW w:w="1701" w:type="dxa"/>
            <w:tcBorders>
              <w:top w:val="nil"/>
              <w:left w:val="nil"/>
              <w:bottom w:val="nil"/>
              <w:right w:val="nil"/>
            </w:tcBorders>
            <w:shd w:val="clear" w:color="auto" w:fill="auto"/>
            <w:noWrap/>
            <w:vAlign w:val="bottom"/>
            <w:hideMark/>
          </w:tcPr>
          <w:p w14:paraId="4C9FB0B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254B43E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293D237" w14:textId="77777777" w:rsidTr="00752D3B">
        <w:trPr>
          <w:trHeight w:val="300"/>
        </w:trPr>
        <w:tc>
          <w:tcPr>
            <w:tcW w:w="724" w:type="dxa"/>
            <w:tcBorders>
              <w:top w:val="nil"/>
              <w:left w:val="nil"/>
              <w:bottom w:val="nil"/>
              <w:right w:val="nil"/>
            </w:tcBorders>
            <w:shd w:val="clear" w:color="auto" w:fill="auto"/>
            <w:noWrap/>
            <w:vAlign w:val="bottom"/>
            <w:hideMark/>
          </w:tcPr>
          <w:p w14:paraId="3DF39B7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92</w:t>
            </w:r>
          </w:p>
        </w:tc>
        <w:tc>
          <w:tcPr>
            <w:tcW w:w="5245" w:type="dxa"/>
            <w:tcBorders>
              <w:top w:val="nil"/>
              <w:left w:val="nil"/>
              <w:bottom w:val="nil"/>
              <w:right w:val="nil"/>
            </w:tcBorders>
            <w:shd w:val="clear" w:color="auto" w:fill="auto"/>
            <w:vAlign w:val="bottom"/>
            <w:hideMark/>
          </w:tcPr>
          <w:p w14:paraId="45A00FE7"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Pterocarpus erinaceus </w:t>
            </w:r>
            <w:r w:rsidRPr="00064B59">
              <w:rPr>
                <w:rFonts w:ascii="Times New Roman" w:eastAsia="Times New Roman" w:hAnsi="Times New Roman" w:cs="Times New Roman"/>
                <w:iCs/>
                <w:color w:val="000000"/>
                <w:sz w:val="20"/>
                <w:szCs w:val="20"/>
                <w:lang w:eastAsia="fr-FR"/>
              </w:rPr>
              <w:t>Poir.</w:t>
            </w:r>
          </w:p>
        </w:tc>
        <w:tc>
          <w:tcPr>
            <w:tcW w:w="1701" w:type="dxa"/>
            <w:tcBorders>
              <w:top w:val="nil"/>
              <w:left w:val="nil"/>
              <w:bottom w:val="nil"/>
              <w:right w:val="nil"/>
            </w:tcBorders>
            <w:shd w:val="clear" w:color="auto" w:fill="auto"/>
            <w:vAlign w:val="bottom"/>
            <w:hideMark/>
          </w:tcPr>
          <w:p w14:paraId="288EEB6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vAlign w:val="bottom"/>
            <w:hideMark/>
          </w:tcPr>
          <w:p w14:paraId="0DEAC4F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NA</w:t>
            </w:r>
          </w:p>
        </w:tc>
      </w:tr>
      <w:tr w:rsidR="007475D1" w:rsidRPr="00064B59" w14:paraId="0B5FC7F5" w14:textId="77777777" w:rsidTr="00752D3B">
        <w:trPr>
          <w:trHeight w:val="300"/>
        </w:trPr>
        <w:tc>
          <w:tcPr>
            <w:tcW w:w="724" w:type="dxa"/>
            <w:tcBorders>
              <w:top w:val="nil"/>
              <w:left w:val="nil"/>
              <w:bottom w:val="nil"/>
              <w:right w:val="nil"/>
            </w:tcBorders>
            <w:shd w:val="clear" w:color="auto" w:fill="auto"/>
            <w:noWrap/>
            <w:vAlign w:val="bottom"/>
            <w:hideMark/>
          </w:tcPr>
          <w:p w14:paraId="7BF4333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93</w:t>
            </w:r>
          </w:p>
        </w:tc>
        <w:tc>
          <w:tcPr>
            <w:tcW w:w="5245" w:type="dxa"/>
            <w:tcBorders>
              <w:top w:val="nil"/>
              <w:left w:val="nil"/>
              <w:bottom w:val="nil"/>
              <w:right w:val="nil"/>
            </w:tcBorders>
            <w:shd w:val="clear" w:color="auto" w:fill="auto"/>
            <w:noWrap/>
            <w:vAlign w:val="bottom"/>
            <w:hideMark/>
          </w:tcPr>
          <w:p w14:paraId="625D9767"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Pterocarpus mildbraedii </w:t>
            </w:r>
            <w:r w:rsidRPr="00064B59">
              <w:rPr>
                <w:rFonts w:ascii="Times New Roman" w:eastAsia="Times New Roman" w:hAnsi="Times New Roman" w:cs="Times New Roman"/>
                <w:iCs/>
                <w:color w:val="000000"/>
                <w:sz w:val="20"/>
                <w:szCs w:val="20"/>
                <w:lang w:eastAsia="fr-FR"/>
              </w:rPr>
              <w:t>Harms</w:t>
            </w:r>
          </w:p>
        </w:tc>
        <w:tc>
          <w:tcPr>
            <w:tcW w:w="1701" w:type="dxa"/>
            <w:tcBorders>
              <w:top w:val="nil"/>
              <w:left w:val="nil"/>
              <w:bottom w:val="nil"/>
              <w:right w:val="nil"/>
            </w:tcBorders>
            <w:shd w:val="clear" w:color="auto" w:fill="auto"/>
            <w:noWrap/>
            <w:vAlign w:val="bottom"/>
            <w:hideMark/>
          </w:tcPr>
          <w:p w14:paraId="3B8633D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noWrap/>
            <w:vAlign w:val="bottom"/>
            <w:hideMark/>
          </w:tcPr>
          <w:p w14:paraId="267FAEC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F274E96" w14:textId="77777777" w:rsidTr="00752D3B">
        <w:trPr>
          <w:trHeight w:val="300"/>
        </w:trPr>
        <w:tc>
          <w:tcPr>
            <w:tcW w:w="724" w:type="dxa"/>
            <w:tcBorders>
              <w:top w:val="nil"/>
              <w:left w:val="nil"/>
              <w:bottom w:val="nil"/>
              <w:right w:val="nil"/>
            </w:tcBorders>
            <w:shd w:val="clear" w:color="auto" w:fill="auto"/>
            <w:noWrap/>
            <w:vAlign w:val="bottom"/>
            <w:hideMark/>
          </w:tcPr>
          <w:p w14:paraId="7486AB1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94</w:t>
            </w:r>
          </w:p>
        </w:tc>
        <w:tc>
          <w:tcPr>
            <w:tcW w:w="5245" w:type="dxa"/>
            <w:tcBorders>
              <w:top w:val="nil"/>
              <w:left w:val="nil"/>
              <w:bottom w:val="nil"/>
              <w:right w:val="nil"/>
            </w:tcBorders>
            <w:shd w:val="clear" w:color="auto" w:fill="auto"/>
            <w:vAlign w:val="bottom"/>
            <w:hideMark/>
          </w:tcPr>
          <w:p w14:paraId="6D5D7354"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Pterocarpus santalinoides </w:t>
            </w:r>
            <w:r w:rsidRPr="00064B59">
              <w:rPr>
                <w:rFonts w:ascii="Times New Roman" w:eastAsia="Times New Roman" w:hAnsi="Times New Roman" w:cs="Times New Roman"/>
                <w:iCs/>
                <w:color w:val="000000"/>
                <w:sz w:val="20"/>
                <w:szCs w:val="20"/>
                <w:lang w:eastAsia="fr-FR"/>
              </w:rPr>
              <w:t>L'Hér. ex DC.</w:t>
            </w:r>
          </w:p>
        </w:tc>
        <w:tc>
          <w:tcPr>
            <w:tcW w:w="1701" w:type="dxa"/>
            <w:tcBorders>
              <w:top w:val="nil"/>
              <w:left w:val="nil"/>
              <w:bottom w:val="nil"/>
              <w:right w:val="nil"/>
            </w:tcBorders>
            <w:shd w:val="clear" w:color="auto" w:fill="auto"/>
            <w:vAlign w:val="bottom"/>
            <w:hideMark/>
          </w:tcPr>
          <w:p w14:paraId="351E5AB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Fabaceae</w:t>
            </w:r>
          </w:p>
        </w:tc>
        <w:tc>
          <w:tcPr>
            <w:tcW w:w="1241" w:type="dxa"/>
            <w:tcBorders>
              <w:top w:val="nil"/>
              <w:left w:val="nil"/>
              <w:bottom w:val="nil"/>
              <w:right w:val="nil"/>
            </w:tcBorders>
            <w:shd w:val="clear" w:color="auto" w:fill="auto"/>
            <w:vAlign w:val="bottom"/>
            <w:hideMark/>
          </w:tcPr>
          <w:p w14:paraId="688B32C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LR</w:t>
            </w:r>
          </w:p>
        </w:tc>
      </w:tr>
      <w:tr w:rsidR="007475D1" w:rsidRPr="00064B59" w14:paraId="28FB77CF" w14:textId="77777777" w:rsidTr="00752D3B">
        <w:trPr>
          <w:trHeight w:val="300"/>
        </w:trPr>
        <w:tc>
          <w:tcPr>
            <w:tcW w:w="724" w:type="dxa"/>
            <w:tcBorders>
              <w:top w:val="nil"/>
              <w:left w:val="nil"/>
              <w:bottom w:val="nil"/>
              <w:right w:val="nil"/>
            </w:tcBorders>
            <w:shd w:val="clear" w:color="auto" w:fill="auto"/>
            <w:noWrap/>
            <w:vAlign w:val="bottom"/>
            <w:hideMark/>
          </w:tcPr>
          <w:p w14:paraId="61FEB1F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95</w:t>
            </w:r>
          </w:p>
        </w:tc>
        <w:tc>
          <w:tcPr>
            <w:tcW w:w="5245" w:type="dxa"/>
            <w:tcBorders>
              <w:top w:val="nil"/>
              <w:left w:val="nil"/>
              <w:bottom w:val="nil"/>
              <w:right w:val="nil"/>
            </w:tcBorders>
            <w:shd w:val="clear" w:color="auto" w:fill="auto"/>
            <w:noWrap/>
            <w:vAlign w:val="bottom"/>
            <w:hideMark/>
          </w:tcPr>
          <w:p w14:paraId="02FE835D"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Pyrenacantha vogeliana </w:t>
            </w:r>
            <w:r w:rsidRPr="00064B59">
              <w:rPr>
                <w:rFonts w:ascii="Times New Roman" w:eastAsia="Times New Roman" w:hAnsi="Times New Roman" w:cs="Times New Roman"/>
                <w:iCs/>
                <w:color w:val="000000"/>
                <w:sz w:val="20"/>
                <w:szCs w:val="20"/>
                <w:lang w:eastAsia="fr-FR"/>
              </w:rPr>
              <w:t>Baill.</w:t>
            </w:r>
          </w:p>
        </w:tc>
        <w:tc>
          <w:tcPr>
            <w:tcW w:w="1701" w:type="dxa"/>
            <w:tcBorders>
              <w:top w:val="nil"/>
              <w:left w:val="nil"/>
              <w:bottom w:val="nil"/>
              <w:right w:val="nil"/>
            </w:tcBorders>
            <w:shd w:val="clear" w:color="auto" w:fill="auto"/>
            <w:noWrap/>
            <w:vAlign w:val="bottom"/>
            <w:hideMark/>
          </w:tcPr>
          <w:p w14:paraId="79023B7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Icacinaceae</w:t>
            </w:r>
          </w:p>
        </w:tc>
        <w:tc>
          <w:tcPr>
            <w:tcW w:w="1241" w:type="dxa"/>
            <w:tcBorders>
              <w:top w:val="nil"/>
              <w:left w:val="nil"/>
              <w:bottom w:val="nil"/>
              <w:right w:val="nil"/>
            </w:tcBorders>
            <w:shd w:val="clear" w:color="auto" w:fill="auto"/>
            <w:noWrap/>
            <w:vAlign w:val="bottom"/>
            <w:hideMark/>
          </w:tcPr>
          <w:p w14:paraId="65AFEBF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1F9CEFDC" w14:textId="77777777" w:rsidTr="00752D3B">
        <w:trPr>
          <w:trHeight w:val="300"/>
        </w:trPr>
        <w:tc>
          <w:tcPr>
            <w:tcW w:w="724" w:type="dxa"/>
            <w:tcBorders>
              <w:top w:val="nil"/>
              <w:left w:val="nil"/>
              <w:bottom w:val="nil"/>
              <w:right w:val="nil"/>
            </w:tcBorders>
            <w:shd w:val="clear" w:color="auto" w:fill="auto"/>
            <w:noWrap/>
            <w:vAlign w:val="bottom"/>
            <w:hideMark/>
          </w:tcPr>
          <w:p w14:paraId="5230125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96</w:t>
            </w:r>
          </w:p>
        </w:tc>
        <w:tc>
          <w:tcPr>
            <w:tcW w:w="5245" w:type="dxa"/>
            <w:tcBorders>
              <w:top w:val="nil"/>
              <w:left w:val="nil"/>
              <w:bottom w:val="nil"/>
              <w:right w:val="nil"/>
            </w:tcBorders>
            <w:shd w:val="clear" w:color="auto" w:fill="auto"/>
            <w:noWrap/>
            <w:vAlign w:val="bottom"/>
            <w:hideMark/>
          </w:tcPr>
          <w:p w14:paraId="193BB0A1"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Rhodognaphalon brevicuspe </w:t>
            </w:r>
            <w:r w:rsidRPr="00064B59">
              <w:rPr>
                <w:rFonts w:ascii="Times New Roman" w:eastAsia="Times New Roman" w:hAnsi="Times New Roman" w:cs="Times New Roman"/>
                <w:iCs/>
                <w:color w:val="000000"/>
                <w:sz w:val="20"/>
                <w:szCs w:val="20"/>
                <w:lang w:eastAsia="fr-FR"/>
              </w:rPr>
              <w:t>(Sprague) Roberty</w:t>
            </w:r>
          </w:p>
        </w:tc>
        <w:tc>
          <w:tcPr>
            <w:tcW w:w="1701" w:type="dxa"/>
            <w:tcBorders>
              <w:top w:val="nil"/>
              <w:left w:val="nil"/>
              <w:bottom w:val="nil"/>
              <w:right w:val="nil"/>
            </w:tcBorders>
            <w:shd w:val="clear" w:color="auto" w:fill="auto"/>
            <w:noWrap/>
            <w:vAlign w:val="bottom"/>
            <w:hideMark/>
          </w:tcPr>
          <w:p w14:paraId="21F3C5F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Bombacaceae</w:t>
            </w:r>
          </w:p>
        </w:tc>
        <w:tc>
          <w:tcPr>
            <w:tcW w:w="1241" w:type="dxa"/>
            <w:tcBorders>
              <w:top w:val="nil"/>
              <w:left w:val="nil"/>
              <w:bottom w:val="nil"/>
              <w:right w:val="nil"/>
            </w:tcBorders>
            <w:shd w:val="clear" w:color="auto" w:fill="auto"/>
            <w:noWrap/>
            <w:vAlign w:val="bottom"/>
            <w:hideMark/>
          </w:tcPr>
          <w:p w14:paraId="1FFF48E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518FB697" w14:textId="77777777" w:rsidTr="00752D3B">
        <w:trPr>
          <w:trHeight w:val="300"/>
        </w:trPr>
        <w:tc>
          <w:tcPr>
            <w:tcW w:w="724" w:type="dxa"/>
            <w:tcBorders>
              <w:top w:val="nil"/>
              <w:left w:val="nil"/>
              <w:bottom w:val="nil"/>
              <w:right w:val="nil"/>
            </w:tcBorders>
            <w:shd w:val="clear" w:color="auto" w:fill="auto"/>
            <w:noWrap/>
            <w:vAlign w:val="bottom"/>
            <w:hideMark/>
          </w:tcPr>
          <w:p w14:paraId="62AA7CE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97</w:t>
            </w:r>
          </w:p>
        </w:tc>
        <w:tc>
          <w:tcPr>
            <w:tcW w:w="5245" w:type="dxa"/>
            <w:tcBorders>
              <w:top w:val="nil"/>
              <w:left w:val="nil"/>
              <w:bottom w:val="nil"/>
              <w:right w:val="nil"/>
            </w:tcBorders>
            <w:shd w:val="clear" w:color="auto" w:fill="auto"/>
            <w:noWrap/>
            <w:vAlign w:val="bottom"/>
            <w:hideMark/>
          </w:tcPr>
          <w:p w14:paraId="4186635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Rinorea illicifolia </w:t>
            </w:r>
            <w:r w:rsidRPr="00064B59">
              <w:rPr>
                <w:rFonts w:ascii="Times New Roman" w:eastAsia="Times New Roman" w:hAnsi="Times New Roman" w:cs="Times New Roman"/>
                <w:iCs/>
                <w:color w:val="000000"/>
                <w:sz w:val="20"/>
                <w:szCs w:val="20"/>
                <w:lang w:eastAsia="fr-FR"/>
              </w:rPr>
              <w:t>(Welw. ex Oliv.) Kuntze</w:t>
            </w:r>
          </w:p>
        </w:tc>
        <w:tc>
          <w:tcPr>
            <w:tcW w:w="1701" w:type="dxa"/>
            <w:tcBorders>
              <w:top w:val="nil"/>
              <w:left w:val="nil"/>
              <w:bottom w:val="nil"/>
              <w:right w:val="nil"/>
            </w:tcBorders>
            <w:shd w:val="clear" w:color="auto" w:fill="auto"/>
            <w:noWrap/>
            <w:vAlign w:val="bottom"/>
            <w:hideMark/>
          </w:tcPr>
          <w:p w14:paraId="5B9CD32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Violaceae</w:t>
            </w:r>
          </w:p>
        </w:tc>
        <w:tc>
          <w:tcPr>
            <w:tcW w:w="1241" w:type="dxa"/>
            <w:tcBorders>
              <w:top w:val="nil"/>
              <w:left w:val="nil"/>
              <w:bottom w:val="nil"/>
              <w:right w:val="nil"/>
            </w:tcBorders>
            <w:shd w:val="clear" w:color="auto" w:fill="auto"/>
            <w:noWrap/>
            <w:vAlign w:val="bottom"/>
            <w:hideMark/>
          </w:tcPr>
          <w:p w14:paraId="2A5D1F8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3A20A2F9" w14:textId="77777777" w:rsidTr="00752D3B">
        <w:trPr>
          <w:trHeight w:val="300"/>
        </w:trPr>
        <w:tc>
          <w:tcPr>
            <w:tcW w:w="724" w:type="dxa"/>
            <w:tcBorders>
              <w:top w:val="nil"/>
              <w:left w:val="nil"/>
              <w:bottom w:val="nil"/>
              <w:right w:val="nil"/>
            </w:tcBorders>
            <w:shd w:val="clear" w:color="auto" w:fill="auto"/>
            <w:noWrap/>
            <w:vAlign w:val="bottom"/>
            <w:hideMark/>
          </w:tcPr>
          <w:p w14:paraId="115CA74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98</w:t>
            </w:r>
          </w:p>
        </w:tc>
        <w:tc>
          <w:tcPr>
            <w:tcW w:w="5245" w:type="dxa"/>
            <w:tcBorders>
              <w:top w:val="nil"/>
              <w:left w:val="nil"/>
              <w:bottom w:val="nil"/>
              <w:right w:val="nil"/>
            </w:tcBorders>
            <w:shd w:val="clear" w:color="auto" w:fill="auto"/>
            <w:noWrap/>
            <w:vAlign w:val="bottom"/>
            <w:hideMark/>
          </w:tcPr>
          <w:p w14:paraId="2A8B3D1E"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Rinorea yaundensis </w:t>
            </w:r>
            <w:r w:rsidRPr="00064B59">
              <w:rPr>
                <w:rFonts w:ascii="Times New Roman" w:eastAsia="Times New Roman" w:hAnsi="Times New Roman" w:cs="Times New Roman"/>
                <w:iCs/>
                <w:color w:val="000000"/>
                <w:sz w:val="20"/>
                <w:szCs w:val="20"/>
                <w:lang w:eastAsia="fr-FR"/>
              </w:rPr>
              <w:t>Engl.</w:t>
            </w:r>
          </w:p>
        </w:tc>
        <w:tc>
          <w:tcPr>
            <w:tcW w:w="1701" w:type="dxa"/>
            <w:tcBorders>
              <w:top w:val="nil"/>
              <w:left w:val="nil"/>
              <w:bottom w:val="nil"/>
              <w:right w:val="nil"/>
            </w:tcBorders>
            <w:shd w:val="clear" w:color="auto" w:fill="auto"/>
            <w:noWrap/>
            <w:vAlign w:val="bottom"/>
            <w:hideMark/>
          </w:tcPr>
          <w:p w14:paraId="3AB4835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Violaceae</w:t>
            </w:r>
          </w:p>
        </w:tc>
        <w:tc>
          <w:tcPr>
            <w:tcW w:w="1241" w:type="dxa"/>
            <w:tcBorders>
              <w:top w:val="nil"/>
              <w:left w:val="nil"/>
              <w:bottom w:val="nil"/>
              <w:right w:val="nil"/>
            </w:tcBorders>
            <w:shd w:val="clear" w:color="auto" w:fill="auto"/>
            <w:noWrap/>
            <w:vAlign w:val="bottom"/>
            <w:hideMark/>
          </w:tcPr>
          <w:p w14:paraId="3A1E5E9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A91544C" w14:textId="77777777" w:rsidTr="00752D3B">
        <w:trPr>
          <w:trHeight w:val="300"/>
        </w:trPr>
        <w:tc>
          <w:tcPr>
            <w:tcW w:w="724" w:type="dxa"/>
            <w:tcBorders>
              <w:top w:val="nil"/>
              <w:left w:val="nil"/>
              <w:bottom w:val="nil"/>
              <w:right w:val="nil"/>
            </w:tcBorders>
            <w:shd w:val="clear" w:color="auto" w:fill="auto"/>
            <w:noWrap/>
            <w:vAlign w:val="bottom"/>
            <w:hideMark/>
          </w:tcPr>
          <w:p w14:paraId="1119008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99</w:t>
            </w:r>
          </w:p>
        </w:tc>
        <w:tc>
          <w:tcPr>
            <w:tcW w:w="5245" w:type="dxa"/>
            <w:tcBorders>
              <w:top w:val="nil"/>
              <w:left w:val="nil"/>
              <w:bottom w:val="nil"/>
              <w:right w:val="nil"/>
            </w:tcBorders>
            <w:shd w:val="clear" w:color="auto" w:fill="auto"/>
            <w:noWrap/>
            <w:vAlign w:val="bottom"/>
            <w:hideMark/>
          </w:tcPr>
          <w:p w14:paraId="0736EFC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de-DE" w:eastAsia="fr-FR"/>
              </w:rPr>
              <w:t xml:space="preserve">Rothmannia hispida </w:t>
            </w:r>
            <w:r w:rsidRPr="00064B59">
              <w:rPr>
                <w:rFonts w:ascii="Times New Roman" w:eastAsia="Times New Roman" w:hAnsi="Times New Roman" w:cs="Times New Roman"/>
                <w:iCs/>
                <w:color w:val="000000"/>
                <w:sz w:val="20"/>
                <w:szCs w:val="20"/>
                <w:lang w:val="de-DE" w:eastAsia="fr-FR"/>
              </w:rPr>
              <w:t>(K.Schum.) Fagerl.</w:t>
            </w:r>
          </w:p>
        </w:tc>
        <w:tc>
          <w:tcPr>
            <w:tcW w:w="1701" w:type="dxa"/>
            <w:tcBorders>
              <w:top w:val="nil"/>
              <w:left w:val="nil"/>
              <w:bottom w:val="nil"/>
              <w:right w:val="nil"/>
            </w:tcBorders>
            <w:shd w:val="clear" w:color="auto" w:fill="auto"/>
            <w:noWrap/>
            <w:vAlign w:val="bottom"/>
            <w:hideMark/>
          </w:tcPr>
          <w:p w14:paraId="61985A0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2CC206F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53E5DC2" w14:textId="77777777" w:rsidTr="00752D3B">
        <w:trPr>
          <w:trHeight w:val="300"/>
        </w:trPr>
        <w:tc>
          <w:tcPr>
            <w:tcW w:w="724" w:type="dxa"/>
            <w:tcBorders>
              <w:top w:val="nil"/>
              <w:left w:val="nil"/>
              <w:bottom w:val="nil"/>
              <w:right w:val="nil"/>
            </w:tcBorders>
            <w:shd w:val="clear" w:color="auto" w:fill="auto"/>
            <w:noWrap/>
            <w:vAlign w:val="bottom"/>
            <w:hideMark/>
          </w:tcPr>
          <w:p w14:paraId="245BAE0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100</w:t>
            </w:r>
          </w:p>
        </w:tc>
        <w:tc>
          <w:tcPr>
            <w:tcW w:w="5245" w:type="dxa"/>
            <w:tcBorders>
              <w:top w:val="nil"/>
              <w:left w:val="nil"/>
              <w:bottom w:val="nil"/>
              <w:right w:val="nil"/>
            </w:tcBorders>
            <w:shd w:val="clear" w:color="auto" w:fill="auto"/>
            <w:noWrap/>
            <w:vAlign w:val="bottom"/>
            <w:hideMark/>
          </w:tcPr>
          <w:p w14:paraId="6C30ABF1"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Rothmannia urcelliformis </w:t>
            </w:r>
            <w:r w:rsidRPr="00064B59">
              <w:rPr>
                <w:rFonts w:ascii="Times New Roman" w:eastAsia="Times New Roman" w:hAnsi="Times New Roman" w:cs="Times New Roman"/>
                <w:iCs/>
                <w:color w:val="000000"/>
                <w:sz w:val="20"/>
                <w:szCs w:val="20"/>
                <w:lang w:eastAsia="fr-FR"/>
              </w:rPr>
              <w:t>(Hiern.) Bullock. ex Robyns</w:t>
            </w:r>
          </w:p>
        </w:tc>
        <w:tc>
          <w:tcPr>
            <w:tcW w:w="1701" w:type="dxa"/>
            <w:tcBorders>
              <w:top w:val="nil"/>
              <w:left w:val="nil"/>
              <w:bottom w:val="nil"/>
              <w:right w:val="nil"/>
            </w:tcBorders>
            <w:shd w:val="clear" w:color="auto" w:fill="auto"/>
            <w:noWrap/>
            <w:vAlign w:val="bottom"/>
            <w:hideMark/>
          </w:tcPr>
          <w:p w14:paraId="2241357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3AADB67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19C592E1" w14:textId="77777777" w:rsidTr="00752D3B">
        <w:trPr>
          <w:trHeight w:val="300"/>
        </w:trPr>
        <w:tc>
          <w:tcPr>
            <w:tcW w:w="724" w:type="dxa"/>
            <w:tcBorders>
              <w:top w:val="nil"/>
              <w:left w:val="nil"/>
              <w:bottom w:val="nil"/>
              <w:right w:val="nil"/>
            </w:tcBorders>
            <w:shd w:val="clear" w:color="auto" w:fill="auto"/>
            <w:noWrap/>
            <w:vAlign w:val="bottom"/>
            <w:hideMark/>
          </w:tcPr>
          <w:p w14:paraId="349FA37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101</w:t>
            </w:r>
          </w:p>
        </w:tc>
        <w:tc>
          <w:tcPr>
            <w:tcW w:w="5245" w:type="dxa"/>
            <w:tcBorders>
              <w:top w:val="nil"/>
              <w:left w:val="nil"/>
              <w:bottom w:val="nil"/>
              <w:right w:val="nil"/>
            </w:tcBorders>
            <w:shd w:val="clear" w:color="auto" w:fill="auto"/>
            <w:noWrap/>
            <w:vAlign w:val="bottom"/>
            <w:hideMark/>
          </w:tcPr>
          <w:p w14:paraId="6B4F94E0"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Rothmannia whitfildi </w:t>
            </w:r>
            <w:r w:rsidRPr="00064B59">
              <w:rPr>
                <w:rFonts w:ascii="Times New Roman" w:eastAsia="Times New Roman" w:hAnsi="Times New Roman" w:cs="Times New Roman"/>
                <w:iCs/>
                <w:color w:val="000000"/>
                <w:sz w:val="20"/>
                <w:szCs w:val="20"/>
                <w:lang w:eastAsia="fr-FR"/>
              </w:rPr>
              <w:t>(Lindl.) Dandy</w:t>
            </w:r>
          </w:p>
        </w:tc>
        <w:tc>
          <w:tcPr>
            <w:tcW w:w="1701" w:type="dxa"/>
            <w:tcBorders>
              <w:top w:val="nil"/>
              <w:left w:val="nil"/>
              <w:bottom w:val="nil"/>
              <w:right w:val="nil"/>
            </w:tcBorders>
            <w:shd w:val="clear" w:color="auto" w:fill="auto"/>
            <w:noWrap/>
            <w:vAlign w:val="bottom"/>
            <w:hideMark/>
          </w:tcPr>
          <w:p w14:paraId="670F447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4FC37E0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8B99C3C" w14:textId="77777777" w:rsidTr="00752D3B">
        <w:trPr>
          <w:trHeight w:val="300"/>
        </w:trPr>
        <w:tc>
          <w:tcPr>
            <w:tcW w:w="724" w:type="dxa"/>
            <w:tcBorders>
              <w:top w:val="nil"/>
              <w:left w:val="nil"/>
              <w:bottom w:val="nil"/>
              <w:right w:val="nil"/>
            </w:tcBorders>
            <w:shd w:val="clear" w:color="auto" w:fill="auto"/>
            <w:noWrap/>
            <w:vAlign w:val="bottom"/>
            <w:hideMark/>
          </w:tcPr>
          <w:p w14:paraId="4BA0832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102</w:t>
            </w:r>
          </w:p>
        </w:tc>
        <w:tc>
          <w:tcPr>
            <w:tcW w:w="5245" w:type="dxa"/>
            <w:tcBorders>
              <w:top w:val="nil"/>
              <w:left w:val="nil"/>
              <w:bottom w:val="nil"/>
              <w:right w:val="nil"/>
            </w:tcBorders>
            <w:shd w:val="clear" w:color="auto" w:fill="auto"/>
            <w:noWrap/>
            <w:vAlign w:val="bottom"/>
            <w:hideMark/>
          </w:tcPr>
          <w:p w14:paraId="67D43898"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Salacia togoica </w:t>
            </w:r>
            <w:r w:rsidRPr="00064B59">
              <w:rPr>
                <w:rFonts w:ascii="Times New Roman" w:eastAsia="Times New Roman" w:hAnsi="Times New Roman" w:cs="Times New Roman"/>
                <w:iCs/>
                <w:color w:val="000000"/>
                <w:sz w:val="20"/>
                <w:szCs w:val="20"/>
                <w:lang w:eastAsia="fr-FR"/>
              </w:rPr>
              <w:t>Loes.</w:t>
            </w:r>
          </w:p>
        </w:tc>
        <w:tc>
          <w:tcPr>
            <w:tcW w:w="1701" w:type="dxa"/>
            <w:tcBorders>
              <w:top w:val="nil"/>
              <w:left w:val="nil"/>
              <w:bottom w:val="nil"/>
              <w:right w:val="nil"/>
            </w:tcBorders>
            <w:shd w:val="clear" w:color="auto" w:fill="auto"/>
            <w:noWrap/>
            <w:vAlign w:val="bottom"/>
            <w:hideMark/>
          </w:tcPr>
          <w:p w14:paraId="538C1FB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Hippocrateaceae</w:t>
            </w:r>
          </w:p>
        </w:tc>
        <w:tc>
          <w:tcPr>
            <w:tcW w:w="1241" w:type="dxa"/>
            <w:tcBorders>
              <w:top w:val="nil"/>
              <w:left w:val="nil"/>
              <w:bottom w:val="nil"/>
              <w:right w:val="nil"/>
            </w:tcBorders>
            <w:shd w:val="clear" w:color="auto" w:fill="auto"/>
            <w:noWrap/>
            <w:vAlign w:val="bottom"/>
            <w:hideMark/>
          </w:tcPr>
          <w:p w14:paraId="41A9C36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0EA632DA" w14:textId="77777777" w:rsidTr="00752D3B">
        <w:trPr>
          <w:trHeight w:val="300"/>
        </w:trPr>
        <w:tc>
          <w:tcPr>
            <w:tcW w:w="724" w:type="dxa"/>
            <w:tcBorders>
              <w:top w:val="nil"/>
              <w:left w:val="nil"/>
              <w:bottom w:val="nil"/>
              <w:right w:val="nil"/>
            </w:tcBorders>
            <w:shd w:val="clear" w:color="auto" w:fill="auto"/>
            <w:noWrap/>
            <w:vAlign w:val="bottom"/>
            <w:hideMark/>
          </w:tcPr>
          <w:p w14:paraId="73AB798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103</w:t>
            </w:r>
          </w:p>
        </w:tc>
        <w:tc>
          <w:tcPr>
            <w:tcW w:w="5245" w:type="dxa"/>
            <w:tcBorders>
              <w:top w:val="nil"/>
              <w:left w:val="nil"/>
              <w:bottom w:val="nil"/>
              <w:right w:val="nil"/>
            </w:tcBorders>
            <w:shd w:val="clear" w:color="auto" w:fill="auto"/>
            <w:noWrap/>
            <w:vAlign w:val="bottom"/>
            <w:hideMark/>
          </w:tcPr>
          <w:p w14:paraId="1461C759"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Sterculia rhinopetala </w:t>
            </w:r>
            <w:r w:rsidRPr="00064B59">
              <w:rPr>
                <w:rFonts w:ascii="Times New Roman" w:eastAsia="Times New Roman" w:hAnsi="Times New Roman" w:cs="Times New Roman"/>
                <w:iCs/>
                <w:color w:val="000000"/>
                <w:sz w:val="20"/>
                <w:szCs w:val="20"/>
                <w:lang w:eastAsia="fr-FR"/>
              </w:rPr>
              <w:t>K. Schum.</w:t>
            </w:r>
          </w:p>
        </w:tc>
        <w:tc>
          <w:tcPr>
            <w:tcW w:w="1701" w:type="dxa"/>
            <w:tcBorders>
              <w:top w:val="nil"/>
              <w:left w:val="nil"/>
              <w:bottom w:val="nil"/>
              <w:right w:val="nil"/>
            </w:tcBorders>
            <w:shd w:val="clear" w:color="auto" w:fill="auto"/>
            <w:noWrap/>
            <w:vAlign w:val="bottom"/>
            <w:hideMark/>
          </w:tcPr>
          <w:p w14:paraId="062967B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Bignoniaceae</w:t>
            </w:r>
          </w:p>
        </w:tc>
        <w:tc>
          <w:tcPr>
            <w:tcW w:w="1241" w:type="dxa"/>
            <w:tcBorders>
              <w:top w:val="nil"/>
              <w:left w:val="nil"/>
              <w:bottom w:val="nil"/>
              <w:right w:val="nil"/>
            </w:tcBorders>
            <w:shd w:val="clear" w:color="auto" w:fill="auto"/>
            <w:noWrap/>
            <w:vAlign w:val="bottom"/>
            <w:hideMark/>
          </w:tcPr>
          <w:p w14:paraId="7D7BBA4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 </w:t>
            </w:r>
          </w:p>
        </w:tc>
      </w:tr>
      <w:tr w:rsidR="007475D1" w:rsidRPr="00064B59" w14:paraId="150F1361" w14:textId="77777777" w:rsidTr="00752D3B">
        <w:trPr>
          <w:trHeight w:val="300"/>
        </w:trPr>
        <w:tc>
          <w:tcPr>
            <w:tcW w:w="724" w:type="dxa"/>
            <w:tcBorders>
              <w:top w:val="nil"/>
              <w:left w:val="nil"/>
              <w:bottom w:val="nil"/>
              <w:right w:val="nil"/>
            </w:tcBorders>
            <w:shd w:val="clear" w:color="auto" w:fill="auto"/>
            <w:noWrap/>
            <w:vAlign w:val="bottom"/>
            <w:hideMark/>
          </w:tcPr>
          <w:p w14:paraId="18F98ED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104</w:t>
            </w:r>
          </w:p>
        </w:tc>
        <w:tc>
          <w:tcPr>
            <w:tcW w:w="5245" w:type="dxa"/>
            <w:tcBorders>
              <w:top w:val="nil"/>
              <w:left w:val="nil"/>
              <w:bottom w:val="nil"/>
              <w:right w:val="nil"/>
            </w:tcBorders>
            <w:shd w:val="clear" w:color="auto" w:fill="auto"/>
            <w:noWrap/>
            <w:vAlign w:val="bottom"/>
            <w:hideMark/>
          </w:tcPr>
          <w:p w14:paraId="38E8B58D"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Stereospermum acuminatissimum </w:t>
            </w:r>
            <w:r w:rsidRPr="00064B59">
              <w:rPr>
                <w:rFonts w:ascii="Times New Roman" w:eastAsia="Times New Roman" w:hAnsi="Times New Roman" w:cs="Times New Roman"/>
                <w:iCs/>
                <w:color w:val="000000"/>
                <w:sz w:val="20"/>
                <w:szCs w:val="20"/>
                <w:lang w:eastAsia="fr-FR"/>
              </w:rPr>
              <w:t>K.Schum.</w:t>
            </w:r>
          </w:p>
        </w:tc>
        <w:tc>
          <w:tcPr>
            <w:tcW w:w="1701" w:type="dxa"/>
            <w:tcBorders>
              <w:top w:val="nil"/>
              <w:left w:val="nil"/>
              <w:bottom w:val="nil"/>
              <w:right w:val="nil"/>
            </w:tcBorders>
            <w:shd w:val="clear" w:color="auto" w:fill="auto"/>
            <w:noWrap/>
            <w:vAlign w:val="bottom"/>
            <w:hideMark/>
          </w:tcPr>
          <w:p w14:paraId="5289C2F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0A08F79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202E1989" w14:textId="77777777" w:rsidTr="00752D3B">
        <w:trPr>
          <w:trHeight w:val="300"/>
        </w:trPr>
        <w:tc>
          <w:tcPr>
            <w:tcW w:w="724" w:type="dxa"/>
            <w:tcBorders>
              <w:top w:val="nil"/>
              <w:left w:val="nil"/>
              <w:bottom w:val="nil"/>
              <w:right w:val="nil"/>
            </w:tcBorders>
            <w:shd w:val="clear" w:color="auto" w:fill="auto"/>
            <w:noWrap/>
            <w:vAlign w:val="bottom"/>
            <w:hideMark/>
          </w:tcPr>
          <w:p w14:paraId="7E673A9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105</w:t>
            </w:r>
          </w:p>
        </w:tc>
        <w:tc>
          <w:tcPr>
            <w:tcW w:w="5245" w:type="dxa"/>
            <w:tcBorders>
              <w:top w:val="nil"/>
              <w:left w:val="nil"/>
              <w:bottom w:val="nil"/>
              <w:right w:val="nil"/>
            </w:tcBorders>
            <w:shd w:val="clear" w:color="auto" w:fill="auto"/>
            <w:noWrap/>
            <w:vAlign w:val="bottom"/>
            <w:hideMark/>
          </w:tcPr>
          <w:p w14:paraId="593EADB5"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GB" w:eastAsia="fr-FR"/>
              </w:rPr>
              <w:t xml:space="preserve">Strombosia grandifolia </w:t>
            </w:r>
            <w:r w:rsidRPr="00064B59">
              <w:rPr>
                <w:rFonts w:ascii="Times New Roman" w:eastAsia="Times New Roman" w:hAnsi="Times New Roman" w:cs="Times New Roman"/>
                <w:iCs/>
                <w:color w:val="000000"/>
                <w:sz w:val="20"/>
                <w:szCs w:val="20"/>
                <w:lang w:val="en-GB" w:eastAsia="fr-FR"/>
              </w:rPr>
              <w:t>Hook. f. ex Benth.</w:t>
            </w:r>
          </w:p>
        </w:tc>
        <w:tc>
          <w:tcPr>
            <w:tcW w:w="1701" w:type="dxa"/>
            <w:tcBorders>
              <w:top w:val="nil"/>
              <w:left w:val="nil"/>
              <w:bottom w:val="nil"/>
              <w:right w:val="nil"/>
            </w:tcBorders>
            <w:shd w:val="clear" w:color="auto" w:fill="auto"/>
            <w:noWrap/>
            <w:vAlign w:val="bottom"/>
            <w:hideMark/>
          </w:tcPr>
          <w:p w14:paraId="549ADB4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Olacaceae</w:t>
            </w:r>
          </w:p>
        </w:tc>
        <w:tc>
          <w:tcPr>
            <w:tcW w:w="1241" w:type="dxa"/>
            <w:tcBorders>
              <w:top w:val="nil"/>
              <w:left w:val="nil"/>
              <w:bottom w:val="nil"/>
              <w:right w:val="nil"/>
            </w:tcBorders>
            <w:shd w:val="clear" w:color="auto" w:fill="auto"/>
            <w:noWrap/>
            <w:vAlign w:val="bottom"/>
            <w:hideMark/>
          </w:tcPr>
          <w:p w14:paraId="53DB53E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8BAB708" w14:textId="77777777" w:rsidTr="00752D3B">
        <w:trPr>
          <w:trHeight w:val="300"/>
        </w:trPr>
        <w:tc>
          <w:tcPr>
            <w:tcW w:w="724" w:type="dxa"/>
            <w:tcBorders>
              <w:top w:val="nil"/>
              <w:left w:val="nil"/>
              <w:bottom w:val="nil"/>
              <w:right w:val="nil"/>
            </w:tcBorders>
            <w:shd w:val="clear" w:color="auto" w:fill="auto"/>
            <w:noWrap/>
            <w:vAlign w:val="bottom"/>
            <w:hideMark/>
          </w:tcPr>
          <w:p w14:paraId="2396701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106</w:t>
            </w:r>
          </w:p>
        </w:tc>
        <w:tc>
          <w:tcPr>
            <w:tcW w:w="5245" w:type="dxa"/>
            <w:tcBorders>
              <w:top w:val="nil"/>
              <w:left w:val="nil"/>
              <w:bottom w:val="nil"/>
              <w:right w:val="nil"/>
            </w:tcBorders>
            <w:shd w:val="clear" w:color="auto" w:fill="auto"/>
            <w:noWrap/>
            <w:vAlign w:val="bottom"/>
            <w:hideMark/>
          </w:tcPr>
          <w:p w14:paraId="5D56FB98"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val="en-US" w:eastAsia="fr-FR"/>
              </w:rPr>
            </w:pPr>
            <w:r w:rsidRPr="00064B59">
              <w:rPr>
                <w:rFonts w:ascii="Times New Roman" w:eastAsia="Times New Roman" w:hAnsi="Times New Roman" w:cs="Times New Roman"/>
                <w:i/>
                <w:iCs/>
                <w:color w:val="000000"/>
                <w:sz w:val="20"/>
                <w:szCs w:val="20"/>
                <w:lang w:val="en-GB" w:eastAsia="fr-FR"/>
              </w:rPr>
              <w:t xml:space="preserve">Syzygium owariense </w:t>
            </w:r>
            <w:r w:rsidRPr="00064B59">
              <w:rPr>
                <w:rFonts w:ascii="Times New Roman" w:eastAsia="Times New Roman" w:hAnsi="Times New Roman" w:cs="Times New Roman"/>
                <w:iCs/>
                <w:color w:val="000000"/>
                <w:sz w:val="20"/>
                <w:szCs w:val="20"/>
                <w:lang w:val="en-GB" w:eastAsia="fr-FR"/>
              </w:rPr>
              <w:t>P.Beauv.) Benth.</w:t>
            </w:r>
          </w:p>
        </w:tc>
        <w:tc>
          <w:tcPr>
            <w:tcW w:w="1701" w:type="dxa"/>
            <w:tcBorders>
              <w:top w:val="nil"/>
              <w:left w:val="nil"/>
              <w:bottom w:val="nil"/>
              <w:right w:val="nil"/>
            </w:tcBorders>
            <w:shd w:val="clear" w:color="auto" w:fill="auto"/>
            <w:noWrap/>
            <w:vAlign w:val="bottom"/>
            <w:hideMark/>
          </w:tcPr>
          <w:p w14:paraId="6CFEDCD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Myrtaceae</w:t>
            </w:r>
          </w:p>
        </w:tc>
        <w:tc>
          <w:tcPr>
            <w:tcW w:w="1241" w:type="dxa"/>
            <w:tcBorders>
              <w:top w:val="nil"/>
              <w:left w:val="nil"/>
              <w:bottom w:val="nil"/>
              <w:right w:val="nil"/>
            </w:tcBorders>
            <w:shd w:val="clear" w:color="auto" w:fill="auto"/>
            <w:noWrap/>
            <w:vAlign w:val="bottom"/>
            <w:hideMark/>
          </w:tcPr>
          <w:p w14:paraId="086C2B0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35B3EE3B" w14:textId="77777777" w:rsidTr="00752D3B">
        <w:trPr>
          <w:trHeight w:val="300"/>
        </w:trPr>
        <w:tc>
          <w:tcPr>
            <w:tcW w:w="724" w:type="dxa"/>
            <w:tcBorders>
              <w:top w:val="nil"/>
              <w:left w:val="nil"/>
              <w:bottom w:val="nil"/>
              <w:right w:val="nil"/>
            </w:tcBorders>
            <w:shd w:val="clear" w:color="auto" w:fill="auto"/>
            <w:noWrap/>
            <w:vAlign w:val="bottom"/>
            <w:hideMark/>
          </w:tcPr>
          <w:p w14:paraId="6E0C766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107</w:t>
            </w:r>
          </w:p>
        </w:tc>
        <w:tc>
          <w:tcPr>
            <w:tcW w:w="5245" w:type="dxa"/>
            <w:tcBorders>
              <w:top w:val="nil"/>
              <w:left w:val="nil"/>
              <w:bottom w:val="nil"/>
              <w:right w:val="nil"/>
            </w:tcBorders>
            <w:shd w:val="clear" w:color="auto" w:fill="auto"/>
            <w:noWrap/>
            <w:vAlign w:val="bottom"/>
            <w:hideMark/>
          </w:tcPr>
          <w:p w14:paraId="6F2879EE"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Tarenna pavettoides  </w:t>
            </w:r>
            <w:r w:rsidRPr="00064B59">
              <w:rPr>
                <w:rFonts w:ascii="Times New Roman" w:eastAsia="Times New Roman" w:hAnsi="Times New Roman" w:cs="Times New Roman"/>
                <w:iCs/>
                <w:color w:val="000000"/>
                <w:sz w:val="20"/>
                <w:szCs w:val="20"/>
                <w:lang w:eastAsia="fr-FR"/>
              </w:rPr>
              <w:t>(Harv.) Sim</w:t>
            </w:r>
          </w:p>
        </w:tc>
        <w:tc>
          <w:tcPr>
            <w:tcW w:w="1701" w:type="dxa"/>
            <w:tcBorders>
              <w:top w:val="nil"/>
              <w:left w:val="nil"/>
              <w:bottom w:val="nil"/>
              <w:right w:val="nil"/>
            </w:tcBorders>
            <w:shd w:val="clear" w:color="auto" w:fill="auto"/>
            <w:noWrap/>
            <w:vAlign w:val="bottom"/>
            <w:hideMark/>
          </w:tcPr>
          <w:p w14:paraId="7EDA982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230C9B7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3980331A" w14:textId="77777777" w:rsidTr="00752D3B">
        <w:trPr>
          <w:trHeight w:val="300"/>
        </w:trPr>
        <w:tc>
          <w:tcPr>
            <w:tcW w:w="724" w:type="dxa"/>
            <w:tcBorders>
              <w:top w:val="nil"/>
              <w:left w:val="nil"/>
              <w:bottom w:val="nil"/>
              <w:right w:val="nil"/>
            </w:tcBorders>
            <w:shd w:val="clear" w:color="auto" w:fill="auto"/>
            <w:noWrap/>
            <w:vAlign w:val="bottom"/>
            <w:hideMark/>
          </w:tcPr>
          <w:p w14:paraId="52C71F6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108</w:t>
            </w:r>
          </w:p>
        </w:tc>
        <w:tc>
          <w:tcPr>
            <w:tcW w:w="5245" w:type="dxa"/>
            <w:tcBorders>
              <w:top w:val="nil"/>
              <w:left w:val="nil"/>
              <w:bottom w:val="nil"/>
              <w:right w:val="nil"/>
            </w:tcBorders>
            <w:shd w:val="clear" w:color="auto" w:fill="auto"/>
            <w:noWrap/>
            <w:vAlign w:val="bottom"/>
            <w:hideMark/>
          </w:tcPr>
          <w:p w14:paraId="3C0CA7AE"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Terminalia ivorensis </w:t>
            </w:r>
            <w:r w:rsidRPr="00064B59">
              <w:rPr>
                <w:rFonts w:ascii="Times New Roman" w:eastAsia="Times New Roman" w:hAnsi="Times New Roman" w:cs="Times New Roman"/>
                <w:iCs/>
                <w:color w:val="000000"/>
                <w:sz w:val="20"/>
                <w:szCs w:val="20"/>
                <w:lang w:eastAsia="fr-FR"/>
              </w:rPr>
              <w:t>A.Chev.</w:t>
            </w:r>
          </w:p>
        </w:tc>
        <w:tc>
          <w:tcPr>
            <w:tcW w:w="1701" w:type="dxa"/>
            <w:tcBorders>
              <w:top w:val="nil"/>
              <w:left w:val="nil"/>
              <w:bottom w:val="nil"/>
              <w:right w:val="nil"/>
            </w:tcBorders>
            <w:shd w:val="clear" w:color="auto" w:fill="auto"/>
            <w:noWrap/>
            <w:vAlign w:val="bottom"/>
            <w:hideMark/>
          </w:tcPr>
          <w:p w14:paraId="4C89A25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Combretaceae</w:t>
            </w:r>
          </w:p>
        </w:tc>
        <w:tc>
          <w:tcPr>
            <w:tcW w:w="1241" w:type="dxa"/>
            <w:tcBorders>
              <w:top w:val="nil"/>
              <w:left w:val="nil"/>
              <w:bottom w:val="nil"/>
              <w:right w:val="nil"/>
            </w:tcBorders>
            <w:shd w:val="clear" w:color="auto" w:fill="auto"/>
            <w:noWrap/>
            <w:vAlign w:val="bottom"/>
            <w:hideMark/>
          </w:tcPr>
          <w:p w14:paraId="5724CAA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5E0933F0" w14:textId="77777777" w:rsidTr="00752D3B">
        <w:trPr>
          <w:trHeight w:val="300"/>
        </w:trPr>
        <w:tc>
          <w:tcPr>
            <w:tcW w:w="724" w:type="dxa"/>
            <w:tcBorders>
              <w:top w:val="nil"/>
              <w:left w:val="nil"/>
              <w:bottom w:val="nil"/>
              <w:right w:val="nil"/>
            </w:tcBorders>
            <w:shd w:val="clear" w:color="auto" w:fill="auto"/>
            <w:noWrap/>
            <w:vAlign w:val="bottom"/>
            <w:hideMark/>
          </w:tcPr>
          <w:p w14:paraId="063547A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109</w:t>
            </w:r>
          </w:p>
        </w:tc>
        <w:tc>
          <w:tcPr>
            <w:tcW w:w="5245" w:type="dxa"/>
            <w:tcBorders>
              <w:top w:val="nil"/>
              <w:left w:val="nil"/>
              <w:bottom w:val="nil"/>
              <w:right w:val="nil"/>
            </w:tcBorders>
            <w:shd w:val="clear" w:color="auto" w:fill="auto"/>
            <w:noWrap/>
            <w:vAlign w:val="bottom"/>
            <w:hideMark/>
          </w:tcPr>
          <w:p w14:paraId="4509EDDD"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Tetracera affinis </w:t>
            </w:r>
            <w:r w:rsidRPr="00064B59">
              <w:rPr>
                <w:rFonts w:ascii="Times New Roman" w:eastAsia="Times New Roman" w:hAnsi="Times New Roman" w:cs="Times New Roman"/>
                <w:iCs/>
                <w:color w:val="000000"/>
                <w:sz w:val="20"/>
                <w:szCs w:val="20"/>
                <w:lang w:eastAsia="fr-FR"/>
              </w:rPr>
              <w:t>Hutch</w:t>
            </w:r>
          </w:p>
        </w:tc>
        <w:tc>
          <w:tcPr>
            <w:tcW w:w="1701" w:type="dxa"/>
            <w:tcBorders>
              <w:top w:val="nil"/>
              <w:left w:val="nil"/>
              <w:bottom w:val="nil"/>
              <w:right w:val="nil"/>
            </w:tcBorders>
            <w:shd w:val="clear" w:color="auto" w:fill="auto"/>
            <w:noWrap/>
            <w:vAlign w:val="bottom"/>
            <w:hideMark/>
          </w:tcPr>
          <w:p w14:paraId="28F7133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Dilleniaceae</w:t>
            </w:r>
          </w:p>
        </w:tc>
        <w:tc>
          <w:tcPr>
            <w:tcW w:w="1241" w:type="dxa"/>
            <w:tcBorders>
              <w:top w:val="nil"/>
              <w:left w:val="nil"/>
              <w:bottom w:val="nil"/>
              <w:right w:val="nil"/>
            </w:tcBorders>
            <w:shd w:val="clear" w:color="auto" w:fill="auto"/>
            <w:noWrap/>
            <w:vAlign w:val="bottom"/>
            <w:hideMark/>
          </w:tcPr>
          <w:p w14:paraId="29A946A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5A345EE0" w14:textId="77777777" w:rsidTr="00752D3B">
        <w:trPr>
          <w:trHeight w:val="300"/>
        </w:trPr>
        <w:tc>
          <w:tcPr>
            <w:tcW w:w="724" w:type="dxa"/>
            <w:tcBorders>
              <w:top w:val="nil"/>
              <w:left w:val="nil"/>
              <w:bottom w:val="nil"/>
              <w:right w:val="nil"/>
            </w:tcBorders>
            <w:shd w:val="clear" w:color="auto" w:fill="auto"/>
            <w:noWrap/>
            <w:vAlign w:val="bottom"/>
            <w:hideMark/>
          </w:tcPr>
          <w:p w14:paraId="221A56E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110</w:t>
            </w:r>
          </w:p>
        </w:tc>
        <w:tc>
          <w:tcPr>
            <w:tcW w:w="5245" w:type="dxa"/>
            <w:tcBorders>
              <w:top w:val="nil"/>
              <w:left w:val="nil"/>
              <w:bottom w:val="nil"/>
              <w:right w:val="nil"/>
            </w:tcBorders>
            <w:shd w:val="clear" w:color="auto" w:fill="auto"/>
            <w:noWrap/>
            <w:vAlign w:val="bottom"/>
            <w:hideMark/>
          </w:tcPr>
          <w:p w14:paraId="6784B827" w14:textId="77777777" w:rsidR="007475D1" w:rsidRPr="00064B59" w:rsidRDefault="007475D1" w:rsidP="00752D3B">
            <w:pPr>
              <w:spacing w:after="0" w:line="240" w:lineRule="auto"/>
              <w:rPr>
                <w:rFonts w:ascii="Times New Roman" w:eastAsia="Times New Roman" w:hAnsi="Times New Roman" w:cs="Times New Roman"/>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Tetracera stuhlmanniana </w:t>
            </w:r>
            <w:r w:rsidRPr="00064B59">
              <w:rPr>
                <w:rFonts w:ascii="Times New Roman" w:eastAsia="Times New Roman" w:hAnsi="Times New Roman" w:cs="Times New Roman"/>
                <w:iCs/>
                <w:color w:val="000000"/>
                <w:sz w:val="20"/>
                <w:szCs w:val="20"/>
                <w:lang w:eastAsia="fr-FR"/>
              </w:rPr>
              <w:t>Gilg</w:t>
            </w:r>
          </w:p>
        </w:tc>
        <w:tc>
          <w:tcPr>
            <w:tcW w:w="1701" w:type="dxa"/>
            <w:tcBorders>
              <w:top w:val="nil"/>
              <w:left w:val="nil"/>
              <w:bottom w:val="nil"/>
              <w:right w:val="nil"/>
            </w:tcBorders>
            <w:shd w:val="clear" w:color="auto" w:fill="auto"/>
            <w:noWrap/>
            <w:vAlign w:val="bottom"/>
            <w:hideMark/>
          </w:tcPr>
          <w:p w14:paraId="6999A10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Dilleniaceae</w:t>
            </w:r>
          </w:p>
        </w:tc>
        <w:tc>
          <w:tcPr>
            <w:tcW w:w="1241" w:type="dxa"/>
            <w:tcBorders>
              <w:top w:val="nil"/>
              <w:left w:val="nil"/>
              <w:bottom w:val="nil"/>
              <w:right w:val="nil"/>
            </w:tcBorders>
            <w:shd w:val="clear" w:color="auto" w:fill="auto"/>
            <w:noWrap/>
            <w:vAlign w:val="bottom"/>
            <w:hideMark/>
          </w:tcPr>
          <w:p w14:paraId="45C2B8B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3BEB8876" w14:textId="77777777" w:rsidTr="00752D3B">
        <w:trPr>
          <w:trHeight w:val="300"/>
        </w:trPr>
        <w:tc>
          <w:tcPr>
            <w:tcW w:w="724" w:type="dxa"/>
            <w:tcBorders>
              <w:top w:val="nil"/>
              <w:left w:val="nil"/>
              <w:bottom w:val="nil"/>
              <w:right w:val="nil"/>
            </w:tcBorders>
            <w:shd w:val="clear" w:color="auto" w:fill="auto"/>
            <w:noWrap/>
            <w:vAlign w:val="bottom"/>
            <w:hideMark/>
          </w:tcPr>
          <w:p w14:paraId="2628ABE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111</w:t>
            </w:r>
          </w:p>
        </w:tc>
        <w:tc>
          <w:tcPr>
            <w:tcW w:w="5245" w:type="dxa"/>
            <w:tcBorders>
              <w:top w:val="nil"/>
              <w:left w:val="nil"/>
              <w:bottom w:val="nil"/>
              <w:right w:val="nil"/>
            </w:tcBorders>
            <w:shd w:val="clear" w:color="auto" w:fill="auto"/>
            <w:noWrap/>
            <w:vAlign w:val="bottom"/>
            <w:hideMark/>
          </w:tcPr>
          <w:p w14:paraId="01570E9E"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Tricalysia reflexa </w:t>
            </w:r>
            <w:r w:rsidRPr="00064B59">
              <w:rPr>
                <w:rFonts w:ascii="Times New Roman" w:eastAsia="Times New Roman" w:hAnsi="Times New Roman" w:cs="Times New Roman"/>
                <w:iCs/>
                <w:color w:val="000000"/>
                <w:sz w:val="20"/>
                <w:szCs w:val="20"/>
                <w:lang w:eastAsia="fr-FR"/>
              </w:rPr>
              <w:t>Hutch.</w:t>
            </w:r>
          </w:p>
        </w:tc>
        <w:tc>
          <w:tcPr>
            <w:tcW w:w="1701" w:type="dxa"/>
            <w:tcBorders>
              <w:top w:val="nil"/>
              <w:left w:val="nil"/>
              <w:bottom w:val="nil"/>
              <w:right w:val="nil"/>
            </w:tcBorders>
            <w:shd w:val="clear" w:color="auto" w:fill="auto"/>
            <w:noWrap/>
            <w:vAlign w:val="bottom"/>
            <w:hideMark/>
          </w:tcPr>
          <w:p w14:paraId="03D86D2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20DF91D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6B51A740" w14:textId="77777777" w:rsidTr="00752D3B">
        <w:trPr>
          <w:trHeight w:val="300"/>
        </w:trPr>
        <w:tc>
          <w:tcPr>
            <w:tcW w:w="724" w:type="dxa"/>
            <w:tcBorders>
              <w:top w:val="nil"/>
              <w:left w:val="nil"/>
              <w:bottom w:val="nil"/>
              <w:right w:val="nil"/>
            </w:tcBorders>
            <w:shd w:val="clear" w:color="auto" w:fill="auto"/>
            <w:noWrap/>
            <w:vAlign w:val="bottom"/>
            <w:hideMark/>
          </w:tcPr>
          <w:p w14:paraId="55DEE1C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112</w:t>
            </w:r>
          </w:p>
        </w:tc>
        <w:tc>
          <w:tcPr>
            <w:tcW w:w="5245" w:type="dxa"/>
            <w:tcBorders>
              <w:top w:val="nil"/>
              <w:left w:val="nil"/>
              <w:bottom w:val="nil"/>
              <w:right w:val="nil"/>
            </w:tcBorders>
            <w:shd w:val="clear" w:color="auto" w:fill="auto"/>
            <w:noWrap/>
            <w:vAlign w:val="bottom"/>
            <w:hideMark/>
          </w:tcPr>
          <w:p w14:paraId="6287AB30"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Trichilia tessmannii </w:t>
            </w:r>
            <w:r w:rsidRPr="00064B59">
              <w:rPr>
                <w:rFonts w:ascii="Times New Roman" w:eastAsia="Times New Roman" w:hAnsi="Times New Roman" w:cs="Times New Roman"/>
                <w:iCs/>
                <w:color w:val="000000"/>
                <w:sz w:val="20"/>
                <w:szCs w:val="20"/>
                <w:lang w:eastAsia="fr-FR"/>
              </w:rPr>
              <w:t>Harms</w:t>
            </w:r>
          </w:p>
        </w:tc>
        <w:tc>
          <w:tcPr>
            <w:tcW w:w="1701" w:type="dxa"/>
            <w:tcBorders>
              <w:top w:val="nil"/>
              <w:left w:val="nil"/>
              <w:bottom w:val="nil"/>
              <w:right w:val="nil"/>
            </w:tcBorders>
            <w:shd w:val="clear" w:color="auto" w:fill="auto"/>
            <w:noWrap/>
            <w:vAlign w:val="bottom"/>
            <w:hideMark/>
          </w:tcPr>
          <w:p w14:paraId="09BF36D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07A8A1B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979C90D" w14:textId="77777777" w:rsidTr="00752D3B">
        <w:trPr>
          <w:trHeight w:val="300"/>
        </w:trPr>
        <w:tc>
          <w:tcPr>
            <w:tcW w:w="724" w:type="dxa"/>
            <w:tcBorders>
              <w:top w:val="nil"/>
              <w:left w:val="nil"/>
              <w:bottom w:val="nil"/>
              <w:right w:val="nil"/>
            </w:tcBorders>
            <w:shd w:val="clear" w:color="auto" w:fill="auto"/>
            <w:noWrap/>
            <w:vAlign w:val="bottom"/>
            <w:hideMark/>
          </w:tcPr>
          <w:p w14:paraId="368A290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113</w:t>
            </w:r>
          </w:p>
        </w:tc>
        <w:tc>
          <w:tcPr>
            <w:tcW w:w="5245" w:type="dxa"/>
            <w:tcBorders>
              <w:top w:val="nil"/>
              <w:left w:val="nil"/>
              <w:bottom w:val="nil"/>
              <w:right w:val="nil"/>
            </w:tcBorders>
            <w:shd w:val="clear" w:color="auto" w:fill="auto"/>
            <w:noWrap/>
            <w:vAlign w:val="bottom"/>
            <w:hideMark/>
          </w:tcPr>
          <w:p w14:paraId="6D55B9A7"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Triclisia dictyophylla </w:t>
            </w:r>
            <w:r w:rsidRPr="00064B59">
              <w:rPr>
                <w:rFonts w:ascii="Times New Roman" w:eastAsia="Times New Roman" w:hAnsi="Times New Roman" w:cs="Times New Roman"/>
                <w:iCs/>
                <w:color w:val="000000"/>
                <w:sz w:val="20"/>
                <w:szCs w:val="20"/>
                <w:lang w:eastAsia="fr-FR"/>
              </w:rPr>
              <w:t>Diels</w:t>
            </w:r>
          </w:p>
        </w:tc>
        <w:tc>
          <w:tcPr>
            <w:tcW w:w="1701" w:type="dxa"/>
            <w:tcBorders>
              <w:top w:val="nil"/>
              <w:left w:val="nil"/>
              <w:bottom w:val="nil"/>
              <w:right w:val="nil"/>
            </w:tcBorders>
            <w:shd w:val="clear" w:color="auto" w:fill="auto"/>
            <w:noWrap/>
            <w:vAlign w:val="bottom"/>
            <w:hideMark/>
          </w:tcPr>
          <w:p w14:paraId="0CC0250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4258F34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95349C7" w14:textId="77777777" w:rsidTr="00752D3B">
        <w:trPr>
          <w:trHeight w:val="300"/>
        </w:trPr>
        <w:tc>
          <w:tcPr>
            <w:tcW w:w="724" w:type="dxa"/>
            <w:tcBorders>
              <w:top w:val="nil"/>
              <w:left w:val="nil"/>
              <w:bottom w:val="nil"/>
              <w:right w:val="nil"/>
            </w:tcBorders>
            <w:shd w:val="clear" w:color="auto" w:fill="auto"/>
            <w:noWrap/>
            <w:vAlign w:val="bottom"/>
            <w:hideMark/>
          </w:tcPr>
          <w:p w14:paraId="0022E4E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114</w:t>
            </w:r>
          </w:p>
        </w:tc>
        <w:tc>
          <w:tcPr>
            <w:tcW w:w="5245" w:type="dxa"/>
            <w:tcBorders>
              <w:top w:val="nil"/>
              <w:left w:val="nil"/>
              <w:bottom w:val="nil"/>
              <w:right w:val="nil"/>
            </w:tcBorders>
            <w:shd w:val="clear" w:color="auto" w:fill="auto"/>
            <w:noWrap/>
            <w:vAlign w:val="bottom"/>
            <w:hideMark/>
          </w:tcPr>
          <w:p w14:paraId="55B3F19E"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Triplochiton scleroxylon </w:t>
            </w:r>
            <w:r w:rsidRPr="00064B59">
              <w:rPr>
                <w:rFonts w:ascii="Times New Roman" w:eastAsia="Times New Roman" w:hAnsi="Times New Roman" w:cs="Times New Roman"/>
                <w:iCs/>
                <w:color w:val="000000"/>
                <w:sz w:val="20"/>
                <w:szCs w:val="20"/>
                <w:lang w:eastAsia="fr-FR"/>
              </w:rPr>
              <w:t>K.Schum.</w:t>
            </w:r>
          </w:p>
        </w:tc>
        <w:tc>
          <w:tcPr>
            <w:tcW w:w="1701" w:type="dxa"/>
            <w:tcBorders>
              <w:top w:val="nil"/>
              <w:left w:val="nil"/>
              <w:bottom w:val="nil"/>
              <w:right w:val="nil"/>
            </w:tcBorders>
            <w:shd w:val="clear" w:color="auto" w:fill="auto"/>
            <w:noWrap/>
            <w:vAlign w:val="bottom"/>
            <w:hideMark/>
          </w:tcPr>
          <w:p w14:paraId="73491EB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Sterculiaceae</w:t>
            </w:r>
          </w:p>
        </w:tc>
        <w:tc>
          <w:tcPr>
            <w:tcW w:w="1241" w:type="dxa"/>
            <w:tcBorders>
              <w:top w:val="nil"/>
              <w:left w:val="nil"/>
              <w:bottom w:val="nil"/>
              <w:right w:val="nil"/>
            </w:tcBorders>
            <w:shd w:val="clear" w:color="auto" w:fill="auto"/>
            <w:noWrap/>
            <w:vAlign w:val="bottom"/>
            <w:hideMark/>
          </w:tcPr>
          <w:p w14:paraId="572CB61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2C9CDE1D" w14:textId="77777777" w:rsidTr="00752D3B">
        <w:trPr>
          <w:trHeight w:val="300"/>
        </w:trPr>
        <w:tc>
          <w:tcPr>
            <w:tcW w:w="724" w:type="dxa"/>
            <w:tcBorders>
              <w:top w:val="nil"/>
              <w:left w:val="nil"/>
              <w:bottom w:val="nil"/>
              <w:right w:val="nil"/>
            </w:tcBorders>
            <w:shd w:val="clear" w:color="auto" w:fill="auto"/>
            <w:noWrap/>
            <w:vAlign w:val="bottom"/>
            <w:hideMark/>
          </w:tcPr>
          <w:p w14:paraId="3B424FE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115</w:t>
            </w:r>
          </w:p>
        </w:tc>
        <w:tc>
          <w:tcPr>
            <w:tcW w:w="5245" w:type="dxa"/>
            <w:tcBorders>
              <w:top w:val="nil"/>
              <w:left w:val="nil"/>
              <w:bottom w:val="nil"/>
              <w:right w:val="nil"/>
            </w:tcBorders>
            <w:shd w:val="clear" w:color="auto" w:fill="auto"/>
            <w:noWrap/>
            <w:vAlign w:val="bottom"/>
            <w:hideMark/>
          </w:tcPr>
          <w:p w14:paraId="7A0121DE"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Tridactyle bicaudata </w:t>
            </w:r>
            <w:r w:rsidRPr="00064B59">
              <w:rPr>
                <w:rFonts w:ascii="Times New Roman" w:eastAsia="Times New Roman" w:hAnsi="Times New Roman" w:cs="Times New Roman"/>
                <w:iCs/>
                <w:color w:val="000000"/>
                <w:sz w:val="20"/>
                <w:szCs w:val="20"/>
                <w:lang w:eastAsia="fr-FR"/>
              </w:rPr>
              <w:t>(Lindl.) Schltr.</w:t>
            </w:r>
          </w:p>
        </w:tc>
        <w:tc>
          <w:tcPr>
            <w:tcW w:w="1701" w:type="dxa"/>
            <w:tcBorders>
              <w:top w:val="nil"/>
              <w:left w:val="nil"/>
              <w:bottom w:val="nil"/>
              <w:right w:val="nil"/>
            </w:tcBorders>
            <w:shd w:val="clear" w:color="auto" w:fill="auto"/>
            <w:noWrap/>
            <w:vAlign w:val="bottom"/>
            <w:hideMark/>
          </w:tcPr>
          <w:p w14:paraId="187D3BA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Orchidaceae</w:t>
            </w:r>
          </w:p>
        </w:tc>
        <w:tc>
          <w:tcPr>
            <w:tcW w:w="1241" w:type="dxa"/>
            <w:tcBorders>
              <w:top w:val="nil"/>
              <w:left w:val="nil"/>
              <w:bottom w:val="nil"/>
              <w:right w:val="nil"/>
            </w:tcBorders>
            <w:shd w:val="clear" w:color="auto" w:fill="auto"/>
            <w:noWrap/>
            <w:vAlign w:val="bottom"/>
            <w:hideMark/>
          </w:tcPr>
          <w:p w14:paraId="1765849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0476A98C" w14:textId="77777777" w:rsidTr="00752D3B">
        <w:trPr>
          <w:trHeight w:val="300"/>
        </w:trPr>
        <w:tc>
          <w:tcPr>
            <w:tcW w:w="724" w:type="dxa"/>
            <w:tcBorders>
              <w:top w:val="nil"/>
              <w:left w:val="nil"/>
              <w:bottom w:val="nil"/>
              <w:right w:val="nil"/>
            </w:tcBorders>
            <w:shd w:val="clear" w:color="auto" w:fill="auto"/>
            <w:noWrap/>
            <w:vAlign w:val="bottom"/>
            <w:hideMark/>
          </w:tcPr>
          <w:p w14:paraId="1901D40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116</w:t>
            </w:r>
          </w:p>
        </w:tc>
        <w:tc>
          <w:tcPr>
            <w:tcW w:w="5245" w:type="dxa"/>
            <w:tcBorders>
              <w:top w:val="nil"/>
              <w:left w:val="nil"/>
              <w:bottom w:val="nil"/>
              <w:right w:val="nil"/>
            </w:tcBorders>
            <w:shd w:val="clear" w:color="auto" w:fill="auto"/>
            <w:noWrap/>
            <w:vAlign w:val="bottom"/>
            <w:hideMark/>
          </w:tcPr>
          <w:p w14:paraId="762FF40B"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Turraeanthus africanus </w:t>
            </w:r>
            <w:r w:rsidRPr="00064B59">
              <w:rPr>
                <w:rFonts w:ascii="Times New Roman" w:eastAsia="Times New Roman" w:hAnsi="Times New Roman" w:cs="Times New Roman"/>
                <w:iCs/>
                <w:color w:val="000000"/>
                <w:sz w:val="20"/>
                <w:szCs w:val="20"/>
                <w:lang w:eastAsia="fr-FR"/>
              </w:rPr>
              <w:t>Pellegr.</w:t>
            </w:r>
          </w:p>
        </w:tc>
        <w:tc>
          <w:tcPr>
            <w:tcW w:w="1701" w:type="dxa"/>
            <w:tcBorders>
              <w:top w:val="nil"/>
              <w:left w:val="nil"/>
              <w:bottom w:val="nil"/>
              <w:right w:val="nil"/>
            </w:tcBorders>
            <w:shd w:val="clear" w:color="auto" w:fill="auto"/>
            <w:noWrap/>
            <w:vAlign w:val="bottom"/>
            <w:hideMark/>
          </w:tcPr>
          <w:p w14:paraId="28B25298"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Meliaceae</w:t>
            </w:r>
          </w:p>
        </w:tc>
        <w:tc>
          <w:tcPr>
            <w:tcW w:w="1241" w:type="dxa"/>
            <w:tcBorders>
              <w:top w:val="nil"/>
              <w:left w:val="nil"/>
              <w:bottom w:val="nil"/>
              <w:right w:val="nil"/>
            </w:tcBorders>
            <w:shd w:val="clear" w:color="auto" w:fill="auto"/>
            <w:noWrap/>
            <w:vAlign w:val="bottom"/>
            <w:hideMark/>
          </w:tcPr>
          <w:p w14:paraId="5C1749C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4BE66822" w14:textId="77777777" w:rsidTr="00752D3B">
        <w:trPr>
          <w:trHeight w:val="300"/>
        </w:trPr>
        <w:tc>
          <w:tcPr>
            <w:tcW w:w="724" w:type="dxa"/>
            <w:tcBorders>
              <w:top w:val="nil"/>
              <w:left w:val="nil"/>
              <w:bottom w:val="nil"/>
              <w:right w:val="nil"/>
            </w:tcBorders>
            <w:shd w:val="clear" w:color="auto" w:fill="auto"/>
            <w:noWrap/>
            <w:vAlign w:val="bottom"/>
            <w:hideMark/>
          </w:tcPr>
          <w:p w14:paraId="57530732"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117</w:t>
            </w:r>
          </w:p>
        </w:tc>
        <w:tc>
          <w:tcPr>
            <w:tcW w:w="5245" w:type="dxa"/>
            <w:tcBorders>
              <w:top w:val="nil"/>
              <w:left w:val="nil"/>
              <w:bottom w:val="nil"/>
              <w:right w:val="nil"/>
            </w:tcBorders>
            <w:shd w:val="clear" w:color="auto" w:fill="auto"/>
            <w:noWrap/>
            <w:vAlign w:val="bottom"/>
            <w:hideMark/>
          </w:tcPr>
          <w:p w14:paraId="2747F0DE"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Tylophora glauca </w:t>
            </w:r>
            <w:r w:rsidRPr="00064B59">
              <w:rPr>
                <w:rFonts w:ascii="Times New Roman" w:eastAsia="Times New Roman" w:hAnsi="Times New Roman" w:cs="Times New Roman"/>
                <w:iCs/>
                <w:color w:val="000000"/>
                <w:sz w:val="20"/>
                <w:szCs w:val="20"/>
                <w:lang w:eastAsia="fr-FR"/>
              </w:rPr>
              <w:t>Bullock</w:t>
            </w:r>
          </w:p>
        </w:tc>
        <w:tc>
          <w:tcPr>
            <w:tcW w:w="1701" w:type="dxa"/>
            <w:tcBorders>
              <w:top w:val="nil"/>
              <w:left w:val="nil"/>
              <w:bottom w:val="nil"/>
              <w:right w:val="nil"/>
            </w:tcBorders>
            <w:shd w:val="clear" w:color="auto" w:fill="auto"/>
            <w:noWrap/>
            <w:vAlign w:val="bottom"/>
            <w:hideMark/>
          </w:tcPr>
          <w:p w14:paraId="0DF0371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Asclepiadaceae</w:t>
            </w:r>
          </w:p>
        </w:tc>
        <w:tc>
          <w:tcPr>
            <w:tcW w:w="1241" w:type="dxa"/>
            <w:tcBorders>
              <w:top w:val="nil"/>
              <w:left w:val="nil"/>
              <w:bottom w:val="nil"/>
              <w:right w:val="nil"/>
            </w:tcBorders>
            <w:shd w:val="clear" w:color="auto" w:fill="auto"/>
            <w:noWrap/>
            <w:vAlign w:val="bottom"/>
            <w:hideMark/>
          </w:tcPr>
          <w:p w14:paraId="537F0B6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F4470A6" w14:textId="77777777" w:rsidTr="00752D3B">
        <w:trPr>
          <w:trHeight w:val="300"/>
        </w:trPr>
        <w:tc>
          <w:tcPr>
            <w:tcW w:w="724" w:type="dxa"/>
            <w:tcBorders>
              <w:top w:val="nil"/>
              <w:left w:val="nil"/>
              <w:bottom w:val="nil"/>
              <w:right w:val="nil"/>
            </w:tcBorders>
            <w:shd w:val="clear" w:color="auto" w:fill="auto"/>
            <w:noWrap/>
            <w:vAlign w:val="bottom"/>
            <w:hideMark/>
          </w:tcPr>
          <w:p w14:paraId="6135ACC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118</w:t>
            </w:r>
          </w:p>
        </w:tc>
        <w:tc>
          <w:tcPr>
            <w:tcW w:w="5245" w:type="dxa"/>
            <w:tcBorders>
              <w:top w:val="nil"/>
              <w:left w:val="nil"/>
              <w:bottom w:val="nil"/>
              <w:right w:val="nil"/>
            </w:tcBorders>
            <w:shd w:val="clear" w:color="auto" w:fill="auto"/>
            <w:noWrap/>
            <w:vAlign w:val="bottom"/>
            <w:hideMark/>
          </w:tcPr>
          <w:p w14:paraId="6332329F"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Vangueriopsis discolor </w:t>
            </w:r>
            <w:r w:rsidRPr="00064B59">
              <w:rPr>
                <w:rFonts w:ascii="Times New Roman" w:eastAsia="Times New Roman" w:hAnsi="Times New Roman" w:cs="Times New Roman"/>
                <w:iCs/>
                <w:color w:val="000000"/>
                <w:sz w:val="20"/>
                <w:szCs w:val="20"/>
                <w:lang w:eastAsia="fr-FR"/>
              </w:rPr>
              <w:t>(Benth.) Verdc</w:t>
            </w:r>
          </w:p>
        </w:tc>
        <w:tc>
          <w:tcPr>
            <w:tcW w:w="1701" w:type="dxa"/>
            <w:tcBorders>
              <w:top w:val="nil"/>
              <w:left w:val="nil"/>
              <w:bottom w:val="nil"/>
              <w:right w:val="nil"/>
            </w:tcBorders>
            <w:shd w:val="clear" w:color="auto" w:fill="auto"/>
            <w:noWrap/>
            <w:vAlign w:val="bottom"/>
            <w:hideMark/>
          </w:tcPr>
          <w:p w14:paraId="17CCDFE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Rubiaceae</w:t>
            </w:r>
          </w:p>
        </w:tc>
        <w:tc>
          <w:tcPr>
            <w:tcW w:w="1241" w:type="dxa"/>
            <w:tcBorders>
              <w:top w:val="nil"/>
              <w:left w:val="nil"/>
              <w:bottom w:val="nil"/>
              <w:right w:val="nil"/>
            </w:tcBorders>
            <w:shd w:val="clear" w:color="auto" w:fill="auto"/>
            <w:noWrap/>
            <w:vAlign w:val="bottom"/>
            <w:hideMark/>
          </w:tcPr>
          <w:p w14:paraId="29B7124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R</w:t>
            </w:r>
          </w:p>
        </w:tc>
      </w:tr>
      <w:tr w:rsidR="007475D1" w:rsidRPr="00064B59" w14:paraId="0A5EADB6" w14:textId="77777777" w:rsidTr="00752D3B">
        <w:trPr>
          <w:trHeight w:val="300"/>
        </w:trPr>
        <w:tc>
          <w:tcPr>
            <w:tcW w:w="724" w:type="dxa"/>
            <w:tcBorders>
              <w:top w:val="nil"/>
              <w:left w:val="nil"/>
              <w:bottom w:val="nil"/>
              <w:right w:val="nil"/>
            </w:tcBorders>
            <w:shd w:val="clear" w:color="auto" w:fill="auto"/>
            <w:noWrap/>
            <w:vAlign w:val="bottom"/>
            <w:hideMark/>
          </w:tcPr>
          <w:p w14:paraId="2FA2881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117</w:t>
            </w:r>
          </w:p>
        </w:tc>
        <w:tc>
          <w:tcPr>
            <w:tcW w:w="5245" w:type="dxa"/>
            <w:tcBorders>
              <w:top w:val="nil"/>
              <w:left w:val="nil"/>
              <w:bottom w:val="nil"/>
              <w:right w:val="nil"/>
            </w:tcBorders>
            <w:shd w:val="clear" w:color="auto" w:fill="auto"/>
            <w:vAlign w:val="bottom"/>
            <w:hideMark/>
          </w:tcPr>
          <w:p w14:paraId="094CAB76"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Vitellaria paradoxa</w:t>
            </w:r>
            <w:r w:rsidRPr="00064B59">
              <w:rPr>
                <w:rFonts w:ascii="Times New Roman" w:eastAsia="Times New Roman" w:hAnsi="Times New Roman" w:cs="Times New Roman"/>
                <w:color w:val="000000"/>
                <w:sz w:val="20"/>
                <w:szCs w:val="20"/>
                <w:lang w:eastAsia="fr-FR"/>
              </w:rPr>
              <w:t xml:space="preserve"> C.F. Gaertner subsp. paradoxa</w:t>
            </w:r>
          </w:p>
        </w:tc>
        <w:tc>
          <w:tcPr>
            <w:tcW w:w="1701" w:type="dxa"/>
            <w:tcBorders>
              <w:top w:val="nil"/>
              <w:left w:val="nil"/>
              <w:bottom w:val="nil"/>
              <w:right w:val="nil"/>
            </w:tcBorders>
            <w:shd w:val="clear" w:color="auto" w:fill="auto"/>
            <w:vAlign w:val="bottom"/>
            <w:hideMark/>
          </w:tcPr>
          <w:p w14:paraId="5D5A890F"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Sapotaceae</w:t>
            </w:r>
          </w:p>
        </w:tc>
        <w:tc>
          <w:tcPr>
            <w:tcW w:w="1241" w:type="dxa"/>
            <w:tcBorders>
              <w:top w:val="nil"/>
              <w:left w:val="nil"/>
              <w:bottom w:val="nil"/>
              <w:right w:val="nil"/>
            </w:tcBorders>
            <w:shd w:val="clear" w:color="auto" w:fill="auto"/>
            <w:vAlign w:val="bottom"/>
            <w:hideMark/>
          </w:tcPr>
          <w:p w14:paraId="7548F15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44226F7D" w14:textId="77777777" w:rsidTr="00752D3B">
        <w:trPr>
          <w:trHeight w:val="300"/>
        </w:trPr>
        <w:tc>
          <w:tcPr>
            <w:tcW w:w="724" w:type="dxa"/>
            <w:tcBorders>
              <w:top w:val="nil"/>
              <w:left w:val="nil"/>
              <w:bottom w:val="nil"/>
              <w:right w:val="nil"/>
            </w:tcBorders>
            <w:shd w:val="clear" w:color="auto" w:fill="auto"/>
            <w:noWrap/>
            <w:vAlign w:val="bottom"/>
            <w:hideMark/>
          </w:tcPr>
          <w:p w14:paraId="6D3AC73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120</w:t>
            </w:r>
          </w:p>
        </w:tc>
        <w:tc>
          <w:tcPr>
            <w:tcW w:w="5245" w:type="dxa"/>
            <w:tcBorders>
              <w:top w:val="nil"/>
              <w:left w:val="nil"/>
              <w:bottom w:val="nil"/>
              <w:right w:val="nil"/>
            </w:tcBorders>
            <w:shd w:val="clear" w:color="auto" w:fill="auto"/>
            <w:noWrap/>
            <w:vAlign w:val="bottom"/>
            <w:hideMark/>
          </w:tcPr>
          <w:p w14:paraId="02F8F68D"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Vitex oxicuspis </w:t>
            </w:r>
            <w:r w:rsidRPr="00064B59">
              <w:rPr>
                <w:rFonts w:ascii="Times New Roman" w:eastAsia="Times New Roman" w:hAnsi="Times New Roman" w:cs="Times New Roman"/>
                <w:iCs/>
                <w:color w:val="000000"/>
                <w:sz w:val="20"/>
                <w:szCs w:val="20"/>
                <w:lang w:eastAsia="fr-FR"/>
              </w:rPr>
              <w:t>Baker</w:t>
            </w:r>
          </w:p>
        </w:tc>
        <w:tc>
          <w:tcPr>
            <w:tcW w:w="1701" w:type="dxa"/>
            <w:tcBorders>
              <w:top w:val="nil"/>
              <w:left w:val="nil"/>
              <w:bottom w:val="nil"/>
              <w:right w:val="nil"/>
            </w:tcBorders>
            <w:shd w:val="clear" w:color="auto" w:fill="auto"/>
            <w:noWrap/>
            <w:vAlign w:val="bottom"/>
            <w:hideMark/>
          </w:tcPr>
          <w:p w14:paraId="24173EFD"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Verbenaceae</w:t>
            </w:r>
          </w:p>
        </w:tc>
        <w:tc>
          <w:tcPr>
            <w:tcW w:w="1241" w:type="dxa"/>
            <w:tcBorders>
              <w:top w:val="nil"/>
              <w:left w:val="nil"/>
              <w:bottom w:val="nil"/>
              <w:right w:val="nil"/>
            </w:tcBorders>
            <w:shd w:val="clear" w:color="auto" w:fill="auto"/>
            <w:noWrap/>
            <w:vAlign w:val="bottom"/>
            <w:hideMark/>
          </w:tcPr>
          <w:p w14:paraId="2AD8397E"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42366A8A" w14:textId="77777777" w:rsidTr="00752D3B">
        <w:trPr>
          <w:trHeight w:val="300"/>
        </w:trPr>
        <w:tc>
          <w:tcPr>
            <w:tcW w:w="724" w:type="dxa"/>
            <w:tcBorders>
              <w:top w:val="nil"/>
              <w:left w:val="nil"/>
              <w:bottom w:val="nil"/>
              <w:right w:val="nil"/>
            </w:tcBorders>
            <w:shd w:val="clear" w:color="auto" w:fill="auto"/>
            <w:noWrap/>
            <w:vAlign w:val="bottom"/>
            <w:hideMark/>
          </w:tcPr>
          <w:p w14:paraId="781BEAA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121</w:t>
            </w:r>
          </w:p>
        </w:tc>
        <w:tc>
          <w:tcPr>
            <w:tcW w:w="5245" w:type="dxa"/>
            <w:tcBorders>
              <w:top w:val="nil"/>
              <w:left w:val="nil"/>
              <w:bottom w:val="nil"/>
              <w:right w:val="nil"/>
            </w:tcBorders>
            <w:shd w:val="clear" w:color="auto" w:fill="auto"/>
            <w:noWrap/>
            <w:vAlign w:val="bottom"/>
            <w:hideMark/>
          </w:tcPr>
          <w:p w14:paraId="6205ACC8"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Vitex rivularis </w:t>
            </w:r>
            <w:r w:rsidRPr="00064B59">
              <w:rPr>
                <w:rFonts w:ascii="Times New Roman" w:eastAsia="Times New Roman" w:hAnsi="Times New Roman" w:cs="Times New Roman"/>
                <w:iCs/>
                <w:color w:val="000000"/>
                <w:sz w:val="20"/>
                <w:szCs w:val="20"/>
                <w:lang w:eastAsia="fr-FR"/>
              </w:rPr>
              <w:t>Gürke</w:t>
            </w:r>
          </w:p>
        </w:tc>
        <w:tc>
          <w:tcPr>
            <w:tcW w:w="1701" w:type="dxa"/>
            <w:tcBorders>
              <w:top w:val="nil"/>
              <w:left w:val="nil"/>
              <w:bottom w:val="nil"/>
              <w:right w:val="nil"/>
            </w:tcBorders>
            <w:shd w:val="clear" w:color="auto" w:fill="auto"/>
            <w:noWrap/>
            <w:vAlign w:val="bottom"/>
            <w:hideMark/>
          </w:tcPr>
          <w:p w14:paraId="0EC263C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Verbenaceae</w:t>
            </w:r>
          </w:p>
        </w:tc>
        <w:tc>
          <w:tcPr>
            <w:tcW w:w="1241" w:type="dxa"/>
            <w:tcBorders>
              <w:top w:val="nil"/>
              <w:left w:val="nil"/>
              <w:bottom w:val="nil"/>
              <w:right w:val="nil"/>
            </w:tcBorders>
            <w:shd w:val="clear" w:color="auto" w:fill="auto"/>
            <w:noWrap/>
            <w:vAlign w:val="bottom"/>
            <w:hideMark/>
          </w:tcPr>
          <w:p w14:paraId="527A8B14"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1FDA4FC" w14:textId="77777777" w:rsidTr="00752D3B">
        <w:trPr>
          <w:trHeight w:val="300"/>
        </w:trPr>
        <w:tc>
          <w:tcPr>
            <w:tcW w:w="724" w:type="dxa"/>
            <w:tcBorders>
              <w:top w:val="nil"/>
              <w:left w:val="nil"/>
              <w:bottom w:val="nil"/>
              <w:right w:val="nil"/>
            </w:tcBorders>
            <w:shd w:val="clear" w:color="auto" w:fill="auto"/>
            <w:noWrap/>
            <w:vAlign w:val="bottom"/>
            <w:hideMark/>
          </w:tcPr>
          <w:p w14:paraId="3CA1F5A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122</w:t>
            </w:r>
          </w:p>
        </w:tc>
        <w:tc>
          <w:tcPr>
            <w:tcW w:w="5245" w:type="dxa"/>
            <w:tcBorders>
              <w:top w:val="nil"/>
              <w:left w:val="nil"/>
              <w:bottom w:val="nil"/>
              <w:right w:val="nil"/>
            </w:tcBorders>
            <w:shd w:val="clear" w:color="auto" w:fill="auto"/>
            <w:noWrap/>
            <w:vAlign w:val="bottom"/>
            <w:hideMark/>
          </w:tcPr>
          <w:p w14:paraId="2C5A6A2D"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Vitex thyrsiflora </w:t>
            </w:r>
            <w:r w:rsidRPr="00064B59">
              <w:rPr>
                <w:rFonts w:ascii="Times New Roman" w:eastAsia="Times New Roman" w:hAnsi="Times New Roman" w:cs="Times New Roman"/>
                <w:iCs/>
                <w:color w:val="000000"/>
                <w:sz w:val="20"/>
                <w:szCs w:val="20"/>
                <w:lang w:eastAsia="fr-FR"/>
              </w:rPr>
              <w:t>(P.Beauv.)De Wild.et Th.Dur</w:t>
            </w:r>
          </w:p>
        </w:tc>
        <w:tc>
          <w:tcPr>
            <w:tcW w:w="1701" w:type="dxa"/>
            <w:tcBorders>
              <w:top w:val="nil"/>
              <w:left w:val="nil"/>
              <w:bottom w:val="nil"/>
              <w:right w:val="nil"/>
            </w:tcBorders>
            <w:shd w:val="clear" w:color="auto" w:fill="auto"/>
            <w:noWrap/>
            <w:vAlign w:val="bottom"/>
            <w:hideMark/>
          </w:tcPr>
          <w:p w14:paraId="23A81E03"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Verbenaceae</w:t>
            </w:r>
          </w:p>
        </w:tc>
        <w:tc>
          <w:tcPr>
            <w:tcW w:w="1241" w:type="dxa"/>
            <w:tcBorders>
              <w:top w:val="nil"/>
              <w:left w:val="nil"/>
              <w:bottom w:val="nil"/>
              <w:right w:val="nil"/>
            </w:tcBorders>
            <w:shd w:val="clear" w:color="auto" w:fill="auto"/>
            <w:noWrap/>
            <w:vAlign w:val="bottom"/>
            <w:hideMark/>
          </w:tcPr>
          <w:p w14:paraId="03940E85"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VU</w:t>
            </w:r>
          </w:p>
        </w:tc>
      </w:tr>
      <w:tr w:rsidR="007475D1" w:rsidRPr="00064B59" w14:paraId="62EE966B" w14:textId="77777777" w:rsidTr="00752D3B">
        <w:trPr>
          <w:trHeight w:val="300"/>
        </w:trPr>
        <w:tc>
          <w:tcPr>
            <w:tcW w:w="724" w:type="dxa"/>
            <w:tcBorders>
              <w:top w:val="nil"/>
              <w:left w:val="nil"/>
              <w:bottom w:val="nil"/>
              <w:right w:val="nil"/>
            </w:tcBorders>
            <w:shd w:val="clear" w:color="auto" w:fill="auto"/>
            <w:noWrap/>
            <w:vAlign w:val="bottom"/>
            <w:hideMark/>
          </w:tcPr>
          <w:p w14:paraId="5AAF38E1"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123</w:t>
            </w:r>
          </w:p>
        </w:tc>
        <w:tc>
          <w:tcPr>
            <w:tcW w:w="5245" w:type="dxa"/>
            <w:tcBorders>
              <w:top w:val="nil"/>
              <w:left w:val="nil"/>
              <w:bottom w:val="nil"/>
              <w:right w:val="nil"/>
            </w:tcBorders>
            <w:shd w:val="clear" w:color="auto" w:fill="auto"/>
            <w:noWrap/>
            <w:vAlign w:val="bottom"/>
            <w:hideMark/>
          </w:tcPr>
          <w:p w14:paraId="0F25E7B5"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val="en-US" w:eastAsia="fr-FR"/>
              </w:rPr>
            </w:pPr>
            <w:r w:rsidRPr="00064B59">
              <w:rPr>
                <w:rFonts w:ascii="Times New Roman" w:eastAsia="Times New Roman" w:hAnsi="Times New Roman" w:cs="Times New Roman"/>
                <w:i/>
                <w:iCs/>
                <w:color w:val="000000"/>
                <w:sz w:val="20"/>
                <w:szCs w:val="20"/>
                <w:lang w:val="en-US" w:eastAsia="fr-FR"/>
              </w:rPr>
              <w:t xml:space="preserve">Whitteldia elongatia </w:t>
            </w:r>
            <w:r w:rsidRPr="00064B59">
              <w:rPr>
                <w:rFonts w:ascii="Times New Roman" w:eastAsia="Times New Roman" w:hAnsi="Times New Roman" w:cs="Times New Roman"/>
                <w:iCs/>
                <w:color w:val="000000"/>
                <w:sz w:val="20"/>
                <w:szCs w:val="20"/>
                <w:lang w:val="en-US" w:eastAsia="fr-FR"/>
              </w:rPr>
              <w:t>(P.Beauv.)De Wild.et Th.Dur</w:t>
            </w:r>
          </w:p>
        </w:tc>
        <w:tc>
          <w:tcPr>
            <w:tcW w:w="1701" w:type="dxa"/>
            <w:tcBorders>
              <w:top w:val="nil"/>
              <w:left w:val="nil"/>
              <w:bottom w:val="nil"/>
              <w:right w:val="nil"/>
            </w:tcBorders>
            <w:shd w:val="clear" w:color="auto" w:fill="auto"/>
            <w:noWrap/>
            <w:vAlign w:val="bottom"/>
            <w:hideMark/>
          </w:tcPr>
          <w:p w14:paraId="3C36C7A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Acanthaceae</w:t>
            </w:r>
          </w:p>
        </w:tc>
        <w:tc>
          <w:tcPr>
            <w:tcW w:w="1241" w:type="dxa"/>
            <w:tcBorders>
              <w:top w:val="nil"/>
              <w:left w:val="nil"/>
              <w:bottom w:val="nil"/>
              <w:right w:val="nil"/>
            </w:tcBorders>
            <w:shd w:val="clear" w:color="auto" w:fill="auto"/>
            <w:noWrap/>
            <w:vAlign w:val="bottom"/>
            <w:hideMark/>
          </w:tcPr>
          <w:p w14:paraId="1C96DED0"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EN</w:t>
            </w:r>
          </w:p>
        </w:tc>
      </w:tr>
      <w:tr w:rsidR="007475D1" w:rsidRPr="00064B59" w14:paraId="1FA26352" w14:textId="77777777" w:rsidTr="00752D3B">
        <w:trPr>
          <w:trHeight w:val="300"/>
        </w:trPr>
        <w:tc>
          <w:tcPr>
            <w:tcW w:w="724" w:type="dxa"/>
            <w:tcBorders>
              <w:top w:val="nil"/>
              <w:left w:val="nil"/>
              <w:right w:val="nil"/>
            </w:tcBorders>
            <w:shd w:val="clear" w:color="auto" w:fill="auto"/>
            <w:noWrap/>
            <w:vAlign w:val="bottom"/>
            <w:hideMark/>
          </w:tcPr>
          <w:p w14:paraId="760D844C"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124</w:t>
            </w:r>
          </w:p>
        </w:tc>
        <w:tc>
          <w:tcPr>
            <w:tcW w:w="5245" w:type="dxa"/>
            <w:tcBorders>
              <w:top w:val="nil"/>
              <w:left w:val="nil"/>
              <w:right w:val="nil"/>
            </w:tcBorders>
            <w:shd w:val="clear" w:color="auto" w:fill="auto"/>
            <w:noWrap/>
            <w:vAlign w:val="bottom"/>
            <w:hideMark/>
          </w:tcPr>
          <w:p w14:paraId="7F995A5B"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Xylopia villosa</w:t>
            </w:r>
            <w:r w:rsidRPr="00064B59">
              <w:rPr>
                <w:rFonts w:ascii="Times New Roman" w:eastAsia="Times New Roman" w:hAnsi="Times New Roman" w:cs="Times New Roman"/>
                <w:iCs/>
                <w:color w:val="000000"/>
                <w:sz w:val="20"/>
                <w:szCs w:val="20"/>
                <w:lang w:eastAsia="fr-FR"/>
              </w:rPr>
              <w:t>Chipp</w:t>
            </w:r>
          </w:p>
        </w:tc>
        <w:tc>
          <w:tcPr>
            <w:tcW w:w="1701" w:type="dxa"/>
            <w:tcBorders>
              <w:top w:val="nil"/>
              <w:left w:val="nil"/>
              <w:right w:val="nil"/>
            </w:tcBorders>
            <w:shd w:val="clear" w:color="auto" w:fill="auto"/>
            <w:noWrap/>
            <w:vAlign w:val="bottom"/>
            <w:hideMark/>
          </w:tcPr>
          <w:p w14:paraId="392C53EA"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Annonaceae</w:t>
            </w:r>
          </w:p>
        </w:tc>
        <w:tc>
          <w:tcPr>
            <w:tcW w:w="1241" w:type="dxa"/>
            <w:tcBorders>
              <w:top w:val="nil"/>
              <w:left w:val="nil"/>
              <w:right w:val="nil"/>
            </w:tcBorders>
            <w:shd w:val="clear" w:color="auto" w:fill="auto"/>
            <w:noWrap/>
            <w:vAlign w:val="bottom"/>
            <w:hideMark/>
          </w:tcPr>
          <w:p w14:paraId="749BFF69"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w:t>
            </w:r>
          </w:p>
        </w:tc>
      </w:tr>
      <w:tr w:rsidR="007475D1" w:rsidRPr="00064B59" w14:paraId="495D7071" w14:textId="77777777" w:rsidTr="00752D3B">
        <w:trPr>
          <w:trHeight w:val="300"/>
        </w:trPr>
        <w:tc>
          <w:tcPr>
            <w:tcW w:w="724" w:type="dxa"/>
            <w:tcBorders>
              <w:top w:val="nil"/>
              <w:left w:val="nil"/>
              <w:bottom w:val="single" w:sz="4" w:space="0" w:color="auto"/>
              <w:right w:val="nil"/>
            </w:tcBorders>
            <w:shd w:val="clear" w:color="auto" w:fill="auto"/>
            <w:noWrap/>
            <w:vAlign w:val="bottom"/>
            <w:hideMark/>
          </w:tcPr>
          <w:p w14:paraId="33C90427"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Pr>
                <w:rFonts w:ascii="Times New Roman" w:eastAsia="Times New Roman" w:hAnsi="Times New Roman" w:cs="Times New Roman"/>
                <w:color w:val="000000"/>
                <w:sz w:val="20"/>
                <w:szCs w:val="20"/>
                <w:lang w:eastAsia="fr-FR"/>
              </w:rPr>
              <w:t>125</w:t>
            </w:r>
          </w:p>
        </w:tc>
        <w:tc>
          <w:tcPr>
            <w:tcW w:w="5245" w:type="dxa"/>
            <w:tcBorders>
              <w:top w:val="nil"/>
              <w:left w:val="nil"/>
              <w:bottom w:val="single" w:sz="4" w:space="0" w:color="auto"/>
              <w:right w:val="nil"/>
            </w:tcBorders>
            <w:shd w:val="clear" w:color="auto" w:fill="auto"/>
            <w:noWrap/>
            <w:vAlign w:val="bottom"/>
            <w:hideMark/>
          </w:tcPr>
          <w:p w14:paraId="41B10AF5" w14:textId="77777777" w:rsidR="007475D1" w:rsidRPr="00064B59" w:rsidRDefault="007475D1" w:rsidP="00752D3B">
            <w:pPr>
              <w:spacing w:after="0" w:line="240" w:lineRule="auto"/>
              <w:rPr>
                <w:rFonts w:ascii="Times New Roman" w:eastAsia="Times New Roman" w:hAnsi="Times New Roman" w:cs="Times New Roman"/>
                <w:i/>
                <w:iCs/>
                <w:color w:val="000000"/>
                <w:sz w:val="20"/>
                <w:szCs w:val="20"/>
                <w:lang w:eastAsia="fr-FR"/>
              </w:rPr>
            </w:pPr>
            <w:r w:rsidRPr="00064B59">
              <w:rPr>
                <w:rFonts w:ascii="Times New Roman" w:eastAsia="Times New Roman" w:hAnsi="Times New Roman" w:cs="Times New Roman"/>
                <w:i/>
                <w:iCs/>
                <w:color w:val="000000"/>
                <w:sz w:val="20"/>
                <w:szCs w:val="20"/>
                <w:lang w:eastAsia="fr-FR"/>
              </w:rPr>
              <w:t xml:space="preserve">Xylopiastrum taiense </w:t>
            </w:r>
            <w:r w:rsidRPr="00064B59">
              <w:rPr>
                <w:rFonts w:ascii="Times New Roman" w:eastAsia="Times New Roman" w:hAnsi="Times New Roman" w:cs="Times New Roman"/>
                <w:iCs/>
                <w:color w:val="000000"/>
                <w:sz w:val="20"/>
                <w:szCs w:val="20"/>
                <w:lang w:eastAsia="fr-FR"/>
              </w:rPr>
              <w:t>Aubré.</w:t>
            </w:r>
          </w:p>
        </w:tc>
        <w:tc>
          <w:tcPr>
            <w:tcW w:w="1701" w:type="dxa"/>
            <w:tcBorders>
              <w:top w:val="nil"/>
              <w:left w:val="nil"/>
              <w:bottom w:val="single" w:sz="4" w:space="0" w:color="auto"/>
              <w:right w:val="nil"/>
            </w:tcBorders>
            <w:shd w:val="clear" w:color="auto" w:fill="auto"/>
            <w:noWrap/>
            <w:vAlign w:val="bottom"/>
            <w:hideMark/>
          </w:tcPr>
          <w:p w14:paraId="3FFE3B16"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Annonaceae</w:t>
            </w:r>
          </w:p>
        </w:tc>
        <w:tc>
          <w:tcPr>
            <w:tcW w:w="1241" w:type="dxa"/>
            <w:tcBorders>
              <w:top w:val="nil"/>
              <w:left w:val="nil"/>
              <w:bottom w:val="single" w:sz="4" w:space="0" w:color="auto"/>
              <w:right w:val="nil"/>
            </w:tcBorders>
            <w:shd w:val="clear" w:color="auto" w:fill="auto"/>
            <w:noWrap/>
            <w:vAlign w:val="bottom"/>
            <w:hideMark/>
          </w:tcPr>
          <w:p w14:paraId="172D8BEB" w14:textId="77777777" w:rsidR="007475D1" w:rsidRPr="00064B59" w:rsidRDefault="007475D1" w:rsidP="00752D3B">
            <w:pPr>
              <w:spacing w:after="0" w:line="240" w:lineRule="auto"/>
              <w:rPr>
                <w:rFonts w:ascii="Times New Roman" w:eastAsia="Times New Roman" w:hAnsi="Times New Roman" w:cs="Times New Roman"/>
                <w:color w:val="000000"/>
                <w:sz w:val="20"/>
                <w:szCs w:val="20"/>
                <w:lang w:eastAsia="fr-FR"/>
              </w:rPr>
            </w:pPr>
            <w:r w:rsidRPr="00064B59">
              <w:rPr>
                <w:rFonts w:ascii="Times New Roman" w:eastAsia="Times New Roman" w:hAnsi="Times New Roman" w:cs="Times New Roman"/>
                <w:color w:val="000000"/>
                <w:sz w:val="20"/>
                <w:szCs w:val="20"/>
                <w:lang w:eastAsia="fr-FR"/>
              </w:rPr>
              <w:t>CR </w:t>
            </w:r>
          </w:p>
        </w:tc>
      </w:tr>
    </w:tbl>
    <w:p w14:paraId="20AF7020" w14:textId="77777777" w:rsidR="007475D1" w:rsidRPr="006309FA" w:rsidRDefault="007475D1" w:rsidP="007475D1">
      <w:pPr>
        <w:autoSpaceDE w:val="0"/>
        <w:autoSpaceDN w:val="0"/>
        <w:adjustRightInd w:val="0"/>
        <w:spacing w:after="0" w:line="240" w:lineRule="auto"/>
        <w:jc w:val="both"/>
        <w:rPr>
          <w:rFonts w:ascii="Times New Roman" w:hAnsi="Times New Roman" w:cs="Times New Roman"/>
          <w:b/>
          <w:iCs/>
          <w:kern w:val="22"/>
          <w:sz w:val="24"/>
          <w:szCs w:val="24"/>
          <w:lang w:val="fr-CA"/>
        </w:rPr>
      </w:pPr>
    </w:p>
    <w:p w14:paraId="056D43A3" w14:textId="77777777" w:rsidR="007475D1" w:rsidRDefault="007475D1" w:rsidP="00254C9C">
      <w:pPr>
        <w:spacing w:after="0" w:line="240" w:lineRule="auto"/>
      </w:pPr>
    </w:p>
    <w:sectPr w:rsidR="007475D1" w:rsidSect="00497C9F">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80C219" w14:textId="77777777" w:rsidR="00A14142" w:rsidRDefault="00A14142" w:rsidP="0012450D">
      <w:pPr>
        <w:spacing w:after="0" w:line="240" w:lineRule="auto"/>
      </w:pPr>
      <w:r>
        <w:separator/>
      </w:r>
    </w:p>
  </w:endnote>
  <w:endnote w:type="continuationSeparator" w:id="0">
    <w:p w14:paraId="5A1275E0" w14:textId="77777777" w:rsidR="00A14142" w:rsidRDefault="00A14142" w:rsidP="001245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ileySansITC-Book">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default"/>
    <w:sig w:usb0="E1002EFF" w:usb1="C000605B" w:usb2="00000029" w:usb3="00000000" w:csb0="200101FF" w:csb1="20280000"/>
  </w:font>
  <w:font w:name="Palatino Linotype">
    <w:panose1 w:val="02040502050505030304"/>
    <w:charset w:val="00"/>
    <w:family w:val="roman"/>
    <w:pitch w:val="variable"/>
    <w:sig w:usb0="E0000287" w:usb1="40000013" w:usb2="00000000" w:usb3="00000000" w:csb0="0000019F" w:csb1="00000000"/>
  </w:font>
  <w:font w:name="BatangChe">
    <w:charset w:val="81"/>
    <w:family w:val="modern"/>
    <w:pitch w:val="fixed"/>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Times New Roman Gras">
    <w:panose1 w:val="00000000000000000000"/>
    <w:charset w:val="00"/>
    <w:family w:val="roman"/>
    <w:notTrueType/>
    <w:pitch w:val="default"/>
  </w:font>
  <w:font w:name="Cambria">
    <w:panose1 w:val="02040503050406030204"/>
    <w:charset w:val="00"/>
    <w:family w:val="roman"/>
    <w:pitch w:val="variable"/>
    <w:sig w:usb0="A00002EF" w:usb1="4000004B" w:usb2="00000000" w:usb3="00000000" w:csb0="0000009F" w:csb1="00000000"/>
  </w:font>
  <w:font w:name="Agency FB">
    <w:panose1 w:val="020B0503020202020204"/>
    <w:charset w:val="00"/>
    <w:family w:val="swiss"/>
    <w:pitch w:val="variable"/>
    <w:sig w:usb0="00000003" w:usb1="00000000" w:usb2="00000000" w:usb3="00000000" w:csb0="00000001" w:csb1="00000000"/>
  </w:font>
  <w:font w:name="+mn-ea">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default"/>
    <w:sig w:usb0="00000003" w:usb1="288F0000" w:usb2="00000006" w:usb3="00000000" w:csb0="0004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A172AE" w14:textId="77777777" w:rsidR="005E603D" w:rsidRDefault="005E603D">
    <w:pPr>
      <w:pStyle w:val="Pieddepage"/>
      <w:jc w:val="right"/>
    </w:pPr>
  </w:p>
  <w:p w14:paraId="54B94C56" w14:textId="3F45D559" w:rsidR="005E603D" w:rsidRDefault="005E603D">
    <w:pPr>
      <w:pStyle w:val="Pieddepage"/>
    </w:pPr>
    <w:r w:rsidRPr="00A06661">
      <w:rPr>
        <w:rFonts w:eastAsia="Times New Roman"/>
        <w:noProof/>
        <w:lang w:eastAsia="fr-FR"/>
      </w:rPr>
      <w:drawing>
        <wp:inline distT="0" distB="0" distL="0" distR="0" wp14:anchorId="5BDB640F" wp14:editId="0A9A8C50">
          <wp:extent cx="620200" cy="542371"/>
          <wp:effectExtent l="0" t="0" r="8890" b="0"/>
          <wp:docPr id="453" name="Image 453" descr="Résultat de recherche d'images pour &quot;logo organisation des nations uni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logo organisation des nations unies&quot;"/>
                  <pic:cNvPicPr>
                    <a:picLocks noChangeAspect="1" noChangeArrowheads="1"/>
                  </pic:cNvPicPr>
                </pic:nvPicPr>
                <pic:blipFill rotWithShape="1">
                  <a:blip r:embed="rId1" cstate="email">
                    <a:extLst>
                      <a:ext uri="{28A0092B-C50C-407E-A947-70E740481C1C}">
                        <a14:useLocalDpi xmlns:a14="http://schemas.microsoft.com/office/drawing/2010/main"/>
                      </a:ext>
                    </a:extLst>
                  </a:blip>
                  <a:srcRect/>
                  <a:stretch/>
                </pic:blipFill>
                <pic:spPr bwMode="auto">
                  <a:xfrm>
                    <a:off x="0" y="0"/>
                    <a:ext cx="630789" cy="55163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A06661">
      <w:rPr>
        <w:rFonts w:ascii="Agency FB" w:eastAsia="Times New Roman" w:hAnsi="Agency FB"/>
        <w:b/>
        <w:noProof/>
        <w:color w:val="8D2F9D"/>
        <w:sz w:val="44"/>
        <w:szCs w:val="28"/>
        <w:lang w:eastAsia="fr-FR"/>
      </w:rPr>
      <w:drawing>
        <wp:inline distT="0" distB="0" distL="0" distR="0" wp14:anchorId="44707D66" wp14:editId="3738BE97">
          <wp:extent cx="1122219" cy="636422"/>
          <wp:effectExtent l="0" t="0" r="1905" b="0"/>
          <wp:docPr id="454" name="Image 454" descr="F:\cbd.gi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bd.gif.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4505" cy="637718"/>
                  </a:xfrm>
                  <a:prstGeom prst="rect">
                    <a:avLst/>
                  </a:prstGeom>
                  <a:noFill/>
                  <a:ln>
                    <a:noFill/>
                  </a:ln>
                </pic:spPr>
              </pic:pic>
            </a:graphicData>
          </a:graphic>
        </wp:inline>
      </w:drawing>
    </w:r>
    <w:r>
      <w:t xml:space="preserve">                               </w:t>
    </w:r>
    <w:r w:rsidRPr="00A06661">
      <w:rPr>
        <w:rFonts w:eastAsia="Times New Roman"/>
        <w:noProof/>
        <w:bdr w:val="single" w:sz="4" w:space="0" w:color="auto"/>
        <w:lang w:eastAsia="fr-FR"/>
      </w:rPr>
      <w:drawing>
        <wp:inline distT="0" distB="0" distL="0" distR="0" wp14:anchorId="4590B773" wp14:editId="5BDA993B">
          <wp:extent cx="1673225" cy="539150"/>
          <wp:effectExtent l="0" t="0" r="3175" b="0"/>
          <wp:docPr id="449" name="Image 449" descr="Résultat de recherche d'images pour &quot;logo de la convention pour la biodiversité&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logo de la convention pour la biodiversité&quot;"/>
                  <pic:cNvPicPr>
                    <a:picLocks noChangeAspect="1" noChangeArrowheads="1"/>
                  </pic:cNvPicPr>
                </pic:nvPicPr>
                <pic:blipFill>
                  <a:blip r:embed="rId3" cstate="email">
                    <a:extLst>
                      <a:ext uri="{28A0092B-C50C-407E-A947-70E740481C1C}">
                        <a14:useLocalDpi xmlns:a14="http://schemas.microsoft.com/office/drawing/2010/main"/>
                      </a:ext>
                    </a:extLst>
                  </a:blip>
                  <a:srcRect/>
                  <a:stretch>
                    <a:fillRect/>
                  </a:stretch>
                </pic:blipFill>
                <pic:spPr bwMode="auto">
                  <a:xfrm>
                    <a:off x="0" y="0"/>
                    <a:ext cx="1709221" cy="550749"/>
                  </a:xfrm>
                  <a:prstGeom prst="rect">
                    <a:avLst/>
                  </a:prstGeom>
                  <a:noFill/>
                  <a:ln>
                    <a:noFill/>
                  </a:ln>
                </pic:spPr>
              </pic:pic>
            </a:graphicData>
          </a:graphic>
        </wp:inline>
      </w:drawing>
    </w: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57211"/>
      <w:docPartObj>
        <w:docPartGallery w:val="Page Numbers (Bottom of Page)"/>
        <w:docPartUnique/>
      </w:docPartObj>
    </w:sdtPr>
    <w:sdtEndPr/>
    <w:sdtContent>
      <w:p w14:paraId="4AFC58B7" w14:textId="1456FEAE" w:rsidR="005E603D" w:rsidRDefault="005E603D">
        <w:pPr>
          <w:pStyle w:val="Pieddepage"/>
          <w:jc w:val="right"/>
        </w:pPr>
        <w:r>
          <w:rPr>
            <w:noProof/>
          </w:rPr>
          <w:fldChar w:fldCharType="begin"/>
        </w:r>
        <w:r>
          <w:rPr>
            <w:noProof/>
          </w:rPr>
          <w:instrText>PAGE   \* MERGEFORMAT</w:instrText>
        </w:r>
        <w:r>
          <w:rPr>
            <w:noProof/>
          </w:rPr>
          <w:fldChar w:fldCharType="separate"/>
        </w:r>
        <w:r w:rsidR="00B32D3B">
          <w:rPr>
            <w:noProof/>
          </w:rPr>
          <w:t>vii</w:t>
        </w:r>
        <w:r>
          <w:rPr>
            <w:noProof/>
          </w:rPr>
          <w:fldChar w:fldCharType="end"/>
        </w:r>
      </w:p>
    </w:sdtContent>
  </w:sdt>
  <w:p w14:paraId="4DE449DC" w14:textId="77777777" w:rsidR="005E603D" w:rsidRDefault="005E603D">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3008252"/>
      <w:docPartObj>
        <w:docPartGallery w:val="Page Numbers (Bottom of Page)"/>
        <w:docPartUnique/>
      </w:docPartObj>
    </w:sdtPr>
    <w:sdtEndPr/>
    <w:sdtContent>
      <w:p w14:paraId="7FAF18FA" w14:textId="08909D55" w:rsidR="005E603D" w:rsidRDefault="005E603D">
        <w:pPr>
          <w:pStyle w:val="Pieddepage"/>
          <w:jc w:val="right"/>
        </w:pPr>
        <w:r>
          <w:fldChar w:fldCharType="begin"/>
        </w:r>
        <w:r>
          <w:instrText>PAGE   \* MERGEFORMAT</w:instrText>
        </w:r>
        <w:r>
          <w:fldChar w:fldCharType="separate"/>
        </w:r>
        <w:r w:rsidR="00B32D3B">
          <w:rPr>
            <w:noProof/>
          </w:rPr>
          <w:t>20</w:t>
        </w:r>
        <w:r>
          <w:rPr>
            <w:noProof/>
          </w:rPr>
          <w:fldChar w:fldCharType="end"/>
        </w:r>
      </w:p>
    </w:sdtContent>
  </w:sdt>
  <w:p w14:paraId="7B5E38D6" w14:textId="77777777" w:rsidR="005E603D" w:rsidRDefault="005E603D">
    <w:pPr>
      <w:pStyle w:val="Pieddepag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057212"/>
      <w:docPartObj>
        <w:docPartGallery w:val="Page Numbers (Bottom of Page)"/>
        <w:docPartUnique/>
      </w:docPartObj>
    </w:sdtPr>
    <w:sdtEndPr/>
    <w:sdtContent>
      <w:p w14:paraId="6F95B86B" w14:textId="25B0DF17" w:rsidR="005E603D" w:rsidRDefault="005E603D">
        <w:pPr>
          <w:pStyle w:val="Pieddepage"/>
          <w:jc w:val="right"/>
        </w:pPr>
        <w:r>
          <w:rPr>
            <w:noProof/>
          </w:rPr>
          <w:fldChar w:fldCharType="begin"/>
        </w:r>
        <w:r>
          <w:rPr>
            <w:noProof/>
          </w:rPr>
          <w:instrText>PAGE   \* MERGEFORMAT</w:instrText>
        </w:r>
        <w:r>
          <w:rPr>
            <w:noProof/>
          </w:rPr>
          <w:fldChar w:fldCharType="separate"/>
        </w:r>
        <w:r w:rsidR="00B32D3B">
          <w:rPr>
            <w:noProof/>
          </w:rPr>
          <w:t>61</w:t>
        </w:r>
        <w:r>
          <w:rPr>
            <w:noProof/>
          </w:rPr>
          <w:fldChar w:fldCharType="end"/>
        </w:r>
      </w:p>
    </w:sdtContent>
  </w:sdt>
  <w:p w14:paraId="5DD0C26D" w14:textId="77777777" w:rsidR="005E603D" w:rsidRDefault="005E603D">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2AED7A" w14:textId="77777777" w:rsidR="00A14142" w:rsidRDefault="00A14142" w:rsidP="0012450D">
      <w:pPr>
        <w:spacing w:after="0" w:line="240" w:lineRule="auto"/>
      </w:pPr>
      <w:r>
        <w:separator/>
      </w:r>
    </w:p>
  </w:footnote>
  <w:footnote w:type="continuationSeparator" w:id="0">
    <w:p w14:paraId="427A414C" w14:textId="77777777" w:rsidR="00A14142" w:rsidRDefault="00A14142" w:rsidP="0012450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126E5"/>
    <w:multiLevelType w:val="hybridMultilevel"/>
    <w:tmpl w:val="C62AEF64"/>
    <w:lvl w:ilvl="0" w:tplc="909E631A">
      <w:start w:val="1"/>
      <w:numFmt w:val="lowerLetter"/>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90531AD"/>
    <w:multiLevelType w:val="hybridMultilevel"/>
    <w:tmpl w:val="00DA051C"/>
    <w:lvl w:ilvl="0" w:tplc="EAAE9922">
      <w:start w:val="34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C320EE"/>
    <w:multiLevelType w:val="hybridMultilevel"/>
    <w:tmpl w:val="F5485C76"/>
    <w:lvl w:ilvl="0" w:tplc="BDD6311A">
      <w:start w:val="1"/>
      <w:numFmt w:val="bullet"/>
      <w:pStyle w:val="DFSBulletedlist2"/>
      <w:lvlText w:val="o"/>
      <w:lvlJc w:val="left"/>
      <w:pPr>
        <w:tabs>
          <w:tab w:val="num" w:pos="1134"/>
        </w:tabs>
        <w:ind w:left="1134" w:hanging="567"/>
      </w:pPr>
      <w:rPr>
        <w:rFonts w:ascii="Courier New" w:hAnsi="Courier New" w:cs="Courier New"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start w:val="1"/>
      <w:numFmt w:val="bullet"/>
      <w:lvlText w:val=""/>
      <w:lvlJc w:val="left"/>
      <w:pPr>
        <w:tabs>
          <w:tab w:val="num" w:pos="2160"/>
        </w:tabs>
        <w:ind w:left="2160" w:hanging="360"/>
      </w:pPr>
      <w:rPr>
        <w:rFonts w:ascii="Wingdings" w:hAnsi="Wingdings" w:cs="Wingdings" w:hint="default"/>
      </w:rPr>
    </w:lvl>
    <w:lvl w:ilvl="3" w:tplc="04070001">
      <w:start w:val="1"/>
      <w:numFmt w:val="bullet"/>
      <w:lvlText w:val=""/>
      <w:lvlJc w:val="left"/>
      <w:pPr>
        <w:tabs>
          <w:tab w:val="num" w:pos="2880"/>
        </w:tabs>
        <w:ind w:left="2880" w:hanging="360"/>
      </w:pPr>
      <w:rPr>
        <w:rFonts w:ascii="Symbol" w:hAnsi="Symbol" w:cs="Symbol" w:hint="default"/>
      </w:rPr>
    </w:lvl>
    <w:lvl w:ilvl="4" w:tplc="04070003">
      <w:start w:val="1"/>
      <w:numFmt w:val="bullet"/>
      <w:lvlText w:val="o"/>
      <w:lvlJc w:val="left"/>
      <w:pPr>
        <w:tabs>
          <w:tab w:val="num" w:pos="3600"/>
        </w:tabs>
        <w:ind w:left="3600" w:hanging="360"/>
      </w:pPr>
      <w:rPr>
        <w:rFonts w:ascii="Courier New" w:hAnsi="Courier New" w:cs="Courier New" w:hint="default"/>
      </w:rPr>
    </w:lvl>
    <w:lvl w:ilvl="5" w:tplc="04070005">
      <w:start w:val="1"/>
      <w:numFmt w:val="bullet"/>
      <w:lvlText w:val=""/>
      <w:lvlJc w:val="left"/>
      <w:pPr>
        <w:tabs>
          <w:tab w:val="num" w:pos="4320"/>
        </w:tabs>
        <w:ind w:left="4320" w:hanging="360"/>
      </w:pPr>
      <w:rPr>
        <w:rFonts w:ascii="Wingdings" w:hAnsi="Wingdings" w:cs="Wingdings" w:hint="default"/>
      </w:rPr>
    </w:lvl>
    <w:lvl w:ilvl="6" w:tplc="04070001">
      <w:start w:val="1"/>
      <w:numFmt w:val="bullet"/>
      <w:lvlText w:val=""/>
      <w:lvlJc w:val="left"/>
      <w:pPr>
        <w:tabs>
          <w:tab w:val="num" w:pos="5040"/>
        </w:tabs>
        <w:ind w:left="5040" w:hanging="360"/>
      </w:pPr>
      <w:rPr>
        <w:rFonts w:ascii="Symbol" w:hAnsi="Symbol" w:cs="Symbol" w:hint="default"/>
      </w:rPr>
    </w:lvl>
    <w:lvl w:ilvl="7" w:tplc="04070003">
      <w:start w:val="1"/>
      <w:numFmt w:val="bullet"/>
      <w:lvlText w:val="o"/>
      <w:lvlJc w:val="left"/>
      <w:pPr>
        <w:tabs>
          <w:tab w:val="num" w:pos="5760"/>
        </w:tabs>
        <w:ind w:left="5760" w:hanging="360"/>
      </w:pPr>
      <w:rPr>
        <w:rFonts w:ascii="Courier New" w:hAnsi="Courier New" w:cs="Courier New" w:hint="default"/>
      </w:rPr>
    </w:lvl>
    <w:lvl w:ilvl="8" w:tplc="04070005">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0B80528D"/>
    <w:multiLevelType w:val="hybridMultilevel"/>
    <w:tmpl w:val="7E4ED33C"/>
    <w:lvl w:ilvl="0" w:tplc="93D0F5F6">
      <w:numFmt w:val="bullet"/>
      <w:lvlText w:val="-"/>
      <w:lvlJc w:val="left"/>
      <w:pPr>
        <w:ind w:left="720" w:hanging="360"/>
      </w:pPr>
      <w:rPr>
        <w:rFonts w:ascii="Arial" w:eastAsia="Times New Roman"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C026987"/>
    <w:multiLevelType w:val="hybridMultilevel"/>
    <w:tmpl w:val="542A2A30"/>
    <w:lvl w:ilvl="0" w:tplc="50C28FA0">
      <w:start w:val="2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B06A11"/>
    <w:multiLevelType w:val="hybridMultilevel"/>
    <w:tmpl w:val="A2AC3A18"/>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02B7B13"/>
    <w:multiLevelType w:val="multilevel"/>
    <w:tmpl w:val="BB5AF24A"/>
    <w:lvl w:ilvl="0">
      <w:start w:val="2"/>
      <w:numFmt w:val="bullet"/>
      <w:lvlText w:val="-"/>
      <w:lvlJc w:val="left"/>
      <w:pPr>
        <w:tabs>
          <w:tab w:val="num" w:pos="720"/>
        </w:tabs>
        <w:ind w:left="720" w:hanging="360"/>
      </w:pPr>
      <w:rPr>
        <w:rFonts w:ascii="Calibri" w:eastAsia="Calibri" w:hAnsi="Calibri"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DA6483"/>
    <w:multiLevelType w:val="hybridMultilevel"/>
    <w:tmpl w:val="915609BA"/>
    <w:lvl w:ilvl="0" w:tplc="EAAE9922">
      <w:start w:val="34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88A2300"/>
    <w:multiLevelType w:val="hybridMultilevel"/>
    <w:tmpl w:val="FD184B12"/>
    <w:lvl w:ilvl="0" w:tplc="9F6A16C0">
      <w:start w:val="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AA13942"/>
    <w:multiLevelType w:val="hybridMultilevel"/>
    <w:tmpl w:val="C908ACF0"/>
    <w:lvl w:ilvl="0" w:tplc="3348B486">
      <w:start w:val="1"/>
      <w:numFmt w:val="bullet"/>
      <w:lvlText w:val="•"/>
      <w:lvlJc w:val="left"/>
      <w:pPr>
        <w:ind w:left="720" w:hanging="360"/>
      </w:pPr>
      <w:rPr>
        <w:rFonts w:ascii="Arial" w:hAnsi="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26819E4"/>
    <w:multiLevelType w:val="hybridMultilevel"/>
    <w:tmpl w:val="FA621FD0"/>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6F42482"/>
    <w:multiLevelType w:val="hybridMultilevel"/>
    <w:tmpl w:val="A4FE3408"/>
    <w:lvl w:ilvl="0" w:tplc="F3A45EB2">
      <w:numFmt w:val="bullet"/>
      <w:lvlText w:val="-"/>
      <w:lvlJc w:val="left"/>
      <w:pPr>
        <w:ind w:left="360" w:hanging="360"/>
      </w:pPr>
      <w:rPr>
        <w:rFonts w:ascii="Times New Roman" w:eastAsia="Times New Roman" w:hAnsi="Times New Roman" w:cs="Times New Roman" w:hint="default"/>
      </w:rPr>
    </w:lvl>
    <w:lvl w:ilvl="1" w:tplc="040C0003">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2" w15:restartNumberingAfterBreak="0">
    <w:nsid w:val="2B5F1B52"/>
    <w:multiLevelType w:val="hybridMultilevel"/>
    <w:tmpl w:val="9CA28386"/>
    <w:lvl w:ilvl="0" w:tplc="EAAE9922">
      <w:start w:val="343"/>
      <w:numFmt w:val="bullet"/>
      <w:lvlText w:val="-"/>
      <w:lvlJc w:val="left"/>
      <w:pPr>
        <w:ind w:left="1429" w:hanging="360"/>
      </w:pPr>
      <w:rPr>
        <w:rFonts w:ascii="Arial" w:eastAsiaTheme="minorHAnsi" w:hAnsi="Arial" w:cs="Aria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3" w15:restartNumberingAfterBreak="0">
    <w:nsid w:val="2CE90FC9"/>
    <w:multiLevelType w:val="hybridMultilevel"/>
    <w:tmpl w:val="9B5EEAEE"/>
    <w:lvl w:ilvl="0" w:tplc="B60C9152">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3C70FFD"/>
    <w:multiLevelType w:val="hybridMultilevel"/>
    <w:tmpl w:val="2AC297A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44B65DC"/>
    <w:multiLevelType w:val="hybridMultilevel"/>
    <w:tmpl w:val="94EEF806"/>
    <w:lvl w:ilvl="0" w:tplc="8DF0A78E">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67A1C73"/>
    <w:multiLevelType w:val="hybridMultilevel"/>
    <w:tmpl w:val="364671B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941428C"/>
    <w:multiLevelType w:val="hybridMultilevel"/>
    <w:tmpl w:val="5D26E744"/>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9441785"/>
    <w:multiLevelType w:val="hybridMultilevel"/>
    <w:tmpl w:val="F946824C"/>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B8360E9"/>
    <w:multiLevelType w:val="hybridMultilevel"/>
    <w:tmpl w:val="73AC2352"/>
    <w:lvl w:ilvl="0" w:tplc="133AF70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B9B7B8E"/>
    <w:multiLevelType w:val="hybridMultilevel"/>
    <w:tmpl w:val="A57C2ED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C733A49"/>
    <w:multiLevelType w:val="hybridMultilevel"/>
    <w:tmpl w:val="6F8A7714"/>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FB5526A"/>
    <w:multiLevelType w:val="hybridMultilevel"/>
    <w:tmpl w:val="F1E6A8CC"/>
    <w:lvl w:ilvl="0" w:tplc="84682FB6">
      <w:start w:val="1"/>
      <w:numFmt w:val="bullet"/>
      <w:lvlText w:val="•"/>
      <w:lvlJc w:val="left"/>
      <w:pPr>
        <w:tabs>
          <w:tab w:val="num" w:pos="720"/>
        </w:tabs>
        <w:ind w:left="720" w:hanging="360"/>
      </w:pPr>
      <w:rPr>
        <w:rFonts w:ascii="Arial" w:hAnsi="Arial" w:hint="default"/>
      </w:rPr>
    </w:lvl>
    <w:lvl w:ilvl="1" w:tplc="EAAE9922">
      <w:start w:val="343"/>
      <w:numFmt w:val="bullet"/>
      <w:lvlText w:val="-"/>
      <w:lvlJc w:val="left"/>
      <w:pPr>
        <w:tabs>
          <w:tab w:val="num" w:pos="1440"/>
        </w:tabs>
        <w:ind w:left="1440" w:hanging="360"/>
      </w:pPr>
      <w:rPr>
        <w:rFonts w:ascii="Arial" w:eastAsiaTheme="minorHAnsi" w:hAnsi="Arial" w:cs="Arial" w:hint="default"/>
      </w:rPr>
    </w:lvl>
    <w:lvl w:ilvl="2" w:tplc="1364457E" w:tentative="1">
      <w:start w:val="1"/>
      <w:numFmt w:val="bullet"/>
      <w:lvlText w:val="•"/>
      <w:lvlJc w:val="left"/>
      <w:pPr>
        <w:tabs>
          <w:tab w:val="num" w:pos="2160"/>
        </w:tabs>
        <w:ind w:left="2160" w:hanging="360"/>
      </w:pPr>
      <w:rPr>
        <w:rFonts w:ascii="Arial" w:hAnsi="Arial" w:hint="default"/>
      </w:rPr>
    </w:lvl>
    <w:lvl w:ilvl="3" w:tplc="6A025428" w:tentative="1">
      <w:start w:val="1"/>
      <w:numFmt w:val="bullet"/>
      <w:lvlText w:val="•"/>
      <w:lvlJc w:val="left"/>
      <w:pPr>
        <w:tabs>
          <w:tab w:val="num" w:pos="2880"/>
        </w:tabs>
        <w:ind w:left="2880" w:hanging="360"/>
      </w:pPr>
      <w:rPr>
        <w:rFonts w:ascii="Arial" w:hAnsi="Arial" w:hint="default"/>
      </w:rPr>
    </w:lvl>
    <w:lvl w:ilvl="4" w:tplc="D1F8C30E" w:tentative="1">
      <w:start w:val="1"/>
      <w:numFmt w:val="bullet"/>
      <w:lvlText w:val="•"/>
      <w:lvlJc w:val="left"/>
      <w:pPr>
        <w:tabs>
          <w:tab w:val="num" w:pos="3600"/>
        </w:tabs>
        <w:ind w:left="3600" w:hanging="360"/>
      </w:pPr>
      <w:rPr>
        <w:rFonts w:ascii="Arial" w:hAnsi="Arial" w:hint="default"/>
      </w:rPr>
    </w:lvl>
    <w:lvl w:ilvl="5" w:tplc="942CCD68" w:tentative="1">
      <w:start w:val="1"/>
      <w:numFmt w:val="bullet"/>
      <w:lvlText w:val="•"/>
      <w:lvlJc w:val="left"/>
      <w:pPr>
        <w:tabs>
          <w:tab w:val="num" w:pos="4320"/>
        </w:tabs>
        <w:ind w:left="4320" w:hanging="360"/>
      </w:pPr>
      <w:rPr>
        <w:rFonts w:ascii="Arial" w:hAnsi="Arial" w:hint="default"/>
      </w:rPr>
    </w:lvl>
    <w:lvl w:ilvl="6" w:tplc="ABC67926" w:tentative="1">
      <w:start w:val="1"/>
      <w:numFmt w:val="bullet"/>
      <w:lvlText w:val="•"/>
      <w:lvlJc w:val="left"/>
      <w:pPr>
        <w:tabs>
          <w:tab w:val="num" w:pos="5040"/>
        </w:tabs>
        <w:ind w:left="5040" w:hanging="360"/>
      </w:pPr>
      <w:rPr>
        <w:rFonts w:ascii="Arial" w:hAnsi="Arial" w:hint="default"/>
      </w:rPr>
    </w:lvl>
    <w:lvl w:ilvl="7" w:tplc="240E7CD6" w:tentative="1">
      <w:start w:val="1"/>
      <w:numFmt w:val="bullet"/>
      <w:lvlText w:val="•"/>
      <w:lvlJc w:val="left"/>
      <w:pPr>
        <w:tabs>
          <w:tab w:val="num" w:pos="5760"/>
        </w:tabs>
        <w:ind w:left="5760" w:hanging="360"/>
      </w:pPr>
      <w:rPr>
        <w:rFonts w:ascii="Arial" w:hAnsi="Arial" w:hint="default"/>
      </w:rPr>
    </w:lvl>
    <w:lvl w:ilvl="8" w:tplc="7BDAB83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1CD25F7"/>
    <w:multiLevelType w:val="hybridMultilevel"/>
    <w:tmpl w:val="6ABAD758"/>
    <w:lvl w:ilvl="0" w:tplc="E14E1D1E">
      <w:start w:val="1"/>
      <w:numFmt w:val="bullet"/>
      <w:lvlText w:val="•"/>
      <w:lvlJc w:val="left"/>
      <w:pPr>
        <w:tabs>
          <w:tab w:val="num" w:pos="720"/>
        </w:tabs>
        <w:ind w:left="720" w:hanging="360"/>
      </w:pPr>
      <w:rPr>
        <w:rFonts w:ascii="Arial" w:hAnsi="Arial" w:hint="default"/>
      </w:rPr>
    </w:lvl>
    <w:lvl w:ilvl="1" w:tplc="730026D2" w:tentative="1">
      <w:start w:val="1"/>
      <w:numFmt w:val="bullet"/>
      <w:lvlText w:val="•"/>
      <w:lvlJc w:val="left"/>
      <w:pPr>
        <w:tabs>
          <w:tab w:val="num" w:pos="1440"/>
        </w:tabs>
        <w:ind w:left="1440" w:hanging="360"/>
      </w:pPr>
      <w:rPr>
        <w:rFonts w:ascii="Arial" w:hAnsi="Arial" w:hint="default"/>
      </w:rPr>
    </w:lvl>
    <w:lvl w:ilvl="2" w:tplc="A470078C" w:tentative="1">
      <w:start w:val="1"/>
      <w:numFmt w:val="bullet"/>
      <w:lvlText w:val="•"/>
      <w:lvlJc w:val="left"/>
      <w:pPr>
        <w:tabs>
          <w:tab w:val="num" w:pos="2160"/>
        </w:tabs>
        <w:ind w:left="2160" w:hanging="360"/>
      </w:pPr>
      <w:rPr>
        <w:rFonts w:ascii="Arial" w:hAnsi="Arial" w:hint="default"/>
      </w:rPr>
    </w:lvl>
    <w:lvl w:ilvl="3" w:tplc="D1C4F52A" w:tentative="1">
      <w:start w:val="1"/>
      <w:numFmt w:val="bullet"/>
      <w:lvlText w:val="•"/>
      <w:lvlJc w:val="left"/>
      <w:pPr>
        <w:tabs>
          <w:tab w:val="num" w:pos="2880"/>
        </w:tabs>
        <w:ind w:left="2880" w:hanging="360"/>
      </w:pPr>
      <w:rPr>
        <w:rFonts w:ascii="Arial" w:hAnsi="Arial" w:hint="default"/>
      </w:rPr>
    </w:lvl>
    <w:lvl w:ilvl="4" w:tplc="E440EA6C" w:tentative="1">
      <w:start w:val="1"/>
      <w:numFmt w:val="bullet"/>
      <w:lvlText w:val="•"/>
      <w:lvlJc w:val="left"/>
      <w:pPr>
        <w:tabs>
          <w:tab w:val="num" w:pos="3600"/>
        </w:tabs>
        <w:ind w:left="3600" w:hanging="360"/>
      </w:pPr>
      <w:rPr>
        <w:rFonts w:ascii="Arial" w:hAnsi="Arial" w:hint="default"/>
      </w:rPr>
    </w:lvl>
    <w:lvl w:ilvl="5" w:tplc="DA4075CA" w:tentative="1">
      <w:start w:val="1"/>
      <w:numFmt w:val="bullet"/>
      <w:lvlText w:val="•"/>
      <w:lvlJc w:val="left"/>
      <w:pPr>
        <w:tabs>
          <w:tab w:val="num" w:pos="4320"/>
        </w:tabs>
        <w:ind w:left="4320" w:hanging="360"/>
      </w:pPr>
      <w:rPr>
        <w:rFonts w:ascii="Arial" w:hAnsi="Arial" w:hint="default"/>
      </w:rPr>
    </w:lvl>
    <w:lvl w:ilvl="6" w:tplc="256E3E26" w:tentative="1">
      <w:start w:val="1"/>
      <w:numFmt w:val="bullet"/>
      <w:lvlText w:val="•"/>
      <w:lvlJc w:val="left"/>
      <w:pPr>
        <w:tabs>
          <w:tab w:val="num" w:pos="5040"/>
        </w:tabs>
        <w:ind w:left="5040" w:hanging="360"/>
      </w:pPr>
      <w:rPr>
        <w:rFonts w:ascii="Arial" w:hAnsi="Arial" w:hint="default"/>
      </w:rPr>
    </w:lvl>
    <w:lvl w:ilvl="7" w:tplc="85D82C6C" w:tentative="1">
      <w:start w:val="1"/>
      <w:numFmt w:val="bullet"/>
      <w:lvlText w:val="•"/>
      <w:lvlJc w:val="left"/>
      <w:pPr>
        <w:tabs>
          <w:tab w:val="num" w:pos="5760"/>
        </w:tabs>
        <w:ind w:left="5760" w:hanging="360"/>
      </w:pPr>
      <w:rPr>
        <w:rFonts w:ascii="Arial" w:hAnsi="Arial" w:hint="default"/>
      </w:rPr>
    </w:lvl>
    <w:lvl w:ilvl="8" w:tplc="8D02182E"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44827760"/>
    <w:multiLevelType w:val="hybridMultilevel"/>
    <w:tmpl w:val="F1027098"/>
    <w:lvl w:ilvl="0" w:tplc="17D0CABA">
      <w:start w:val="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57842B0"/>
    <w:multiLevelType w:val="multilevel"/>
    <w:tmpl w:val="FAD8D860"/>
    <w:lvl w:ilvl="0">
      <w:start w:val="1"/>
      <w:numFmt w:val="decimal"/>
      <w:pStyle w:val="IFADparagraphnumbering"/>
      <w:lvlText w:val="%1."/>
      <w:lvlJc w:val="left"/>
      <w:pPr>
        <w:tabs>
          <w:tab w:val="num" w:pos="2127"/>
        </w:tabs>
        <w:ind w:left="2127" w:hanging="567"/>
      </w:pPr>
      <w:rPr>
        <w:rFonts w:ascii="Arial" w:hAnsi="Arial" w:hint="default"/>
        <w:b w:val="0"/>
        <w:bCs w:val="0"/>
        <w:i w:val="0"/>
        <w:iCs w:val="0"/>
        <w:sz w:val="20"/>
        <w:szCs w:val="20"/>
      </w:rPr>
    </w:lvl>
    <w:lvl w:ilvl="1">
      <w:start w:val="1"/>
      <w:numFmt w:val="lowerLetter"/>
      <w:lvlText w:val="(%2)"/>
      <w:lvlJc w:val="left"/>
      <w:pPr>
        <w:tabs>
          <w:tab w:val="num" w:pos="1134"/>
        </w:tabs>
        <w:ind w:left="1134" w:hanging="567"/>
      </w:pPr>
      <w:rPr>
        <w:rFonts w:ascii="Verdana" w:hAnsi="Verdana" w:hint="default"/>
        <w:b w:val="0"/>
        <w:i w:val="0"/>
        <w:sz w:val="20"/>
      </w:rPr>
    </w:lvl>
    <w:lvl w:ilvl="2">
      <w:start w:val="1"/>
      <w:numFmt w:val="lowerRoman"/>
      <w:lvlText w:val="(%3)"/>
      <w:lvlJc w:val="left"/>
      <w:pPr>
        <w:tabs>
          <w:tab w:val="num" w:pos="1701"/>
        </w:tabs>
        <w:ind w:left="1701" w:hanging="567"/>
      </w:pPr>
      <w:rPr>
        <w:rFonts w:ascii="Verdana" w:hAnsi="Verdana" w:hint="default"/>
        <w:b w:val="0"/>
        <w:i w:val="0"/>
        <w:sz w:val="20"/>
      </w:rPr>
    </w:lvl>
    <w:lvl w:ilvl="3">
      <w:start w:val="1"/>
      <w:numFmt w:val="bullet"/>
      <w:lvlText w:val="-"/>
      <w:lvlJc w:val="left"/>
      <w:pPr>
        <w:tabs>
          <w:tab w:val="num" w:pos="1985"/>
        </w:tabs>
        <w:ind w:left="1985" w:hanging="284"/>
      </w:pPr>
      <w:rPr>
        <w:rFonts w:ascii="Verdana" w:hAnsi="Verdana" w:cs="Times New Roman" w:hint="default"/>
        <w:b w:val="0"/>
        <w:i w:val="0"/>
        <w:color w:val="auto"/>
        <w:sz w:val="20"/>
        <w:szCs w:val="2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466A0A7B"/>
    <w:multiLevelType w:val="hybridMultilevel"/>
    <w:tmpl w:val="9014F750"/>
    <w:lvl w:ilvl="0" w:tplc="B60C9152">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49643ACD"/>
    <w:multiLevelType w:val="hybridMultilevel"/>
    <w:tmpl w:val="06D4435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AC8172D"/>
    <w:multiLevelType w:val="hybridMultilevel"/>
    <w:tmpl w:val="7BCCCC50"/>
    <w:lvl w:ilvl="0" w:tplc="B60C9152">
      <w:numFmt w:val="bullet"/>
      <w:lvlText w:val="-"/>
      <w:lvlJc w:val="left"/>
      <w:pPr>
        <w:ind w:left="504" w:hanging="360"/>
      </w:pPr>
      <w:rPr>
        <w:rFonts w:ascii="Calibri" w:eastAsia="Times New Roman" w:hAnsi="Calibri" w:cs="Arial" w:hint="default"/>
      </w:rPr>
    </w:lvl>
    <w:lvl w:ilvl="1" w:tplc="040C0003" w:tentative="1">
      <w:start w:val="1"/>
      <w:numFmt w:val="bullet"/>
      <w:lvlText w:val="o"/>
      <w:lvlJc w:val="left"/>
      <w:pPr>
        <w:ind w:left="1224" w:hanging="360"/>
      </w:pPr>
      <w:rPr>
        <w:rFonts w:ascii="Courier New" w:hAnsi="Courier New" w:cs="Courier New" w:hint="default"/>
      </w:rPr>
    </w:lvl>
    <w:lvl w:ilvl="2" w:tplc="040C0005" w:tentative="1">
      <w:start w:val="1"/>
      <w:numFmt w:val="bullet"/>
      <w:lvlText w:val=""/>
      <w:lvlJc w:val="left"/>
      <w:pPr>
        <w:ind w:left="1944" w:hanging="360"/>
      </w:pPr>
      <w:rPr>
        <w:rFonts w:ascii="Wingdings" w:hAnsi="Wingdings" w:hint="default"/>
      </w:rPr>
    </w:lvl>
    <w:lvl w:ilvl="3" w:tplc="040C0001" w:tentative="1">
      <w:start w:val="1"/>
      <w:numFmt w:val="bullet"/>
      <w:lvlText w:val=""/>
      <w:lvlJc w:val="left"/>
      <w:pPr>
        <w:ind w:left="2664" w:hanging="360"/>
      </w:pPr>
      <w:rPr>
        <w:rFonts w:ascii="Symbol" w:hAnsi="Symbol" w:hint="default"/>
      </w:rPr>
    </w:lvl>
    <w:lvl w:ilvl="4" w:tplc="040C0003" w:tentative="1">
      <w:start w:val="1"/>
      <w:numFmt w:val="bullet"/>
      <w:lvlText w:val="o"/>
      <w:lvlJc w:val="left"/>
      <w:pPr>
        <w:ind w:left="3384" w:hanging="360"/>
      </w:pPr>
      <w:rPr>
        <w:rFonts w:ascii="Courier New" w:hAnsi="Courier New" w:cs="Courier New" w:hint="default"/>
      </w:rPr>
    </w:lvl>
    <w:lvl w:ilvl="5" w:tplc="040C0005" w:tentative="1">
      <w:start w:val="1"/>
      <w:numFmt w:val="bullet"/>
      <w:lvlText w:val=""/>
      <w:lvlJc w:val="left"/>
      <w:pPr>
        <w:ind w:left="4104" w:hanging="360"/>
      </w:pPr>
      <w:rPr>
        <w:rFonts w:ascii="Wingdings" w:hAnsi="Wingdings" w:hint="default"/>
      </w:rPr>
    </w:lvl>
    <w:lvl w:ilvl="6" w:tplc="040C0001" w:tentative="1">
      <w:start w:val="1"/>
      <w:numFmt w:val="bullet"/>
      <w:lvlText w:val=""/>
      <w:lvlJc w:val="left"/>
      <w:pPr>
        <w:ind w:left="4824" w:hanging="360"/>
      </w:pPr>
      <w:rPr>
        <w:rFonts w:ascii="Symbol" w:hAnsi="Symbol" w:hint="default"/>
      </w:rPr>
    </w:lvl>
    <w:lvl w:ilvl="7" w:tplc="040C0003" w:tentative="1">
      <w:start w:val="1"/>
      <w:numFmt w:val="bullet"/>
      <w:lvlText w:val="o"/>
      <w:lvlJc w:val="left"/>
      <w:pPr>
        <w:ind w:left="5544" w:hanging="360"/>
      </w:pPr>
      <w:rPr>
        <w:rFonts w:ascii="Courier New" w:hAnsi="Courier New" w:cs="Courier New" w:hint="default"/>
      </w:rPr>
    </w:lvl>
    <w:lvl w:ilvl="8" w:tplc="040C0005" w:tentative="1">
      <w:start w:val="1"/>
      <w:numFmt w:val="bullet"/>
      <w:lvlText w:val=""/>
      <w:lvlJc w:val="left"/>
      <w:pPr>
        <w:ind w:left="6264" w:hanging="360"/>
      </w:pPr>
      <w:rPr>
        <w:rFonts w:ascii="Wingdings" w:hAnsi="Wingdings" w:hint="default"/>
      </w:rPr>
    </w:lvl>
  </w:abstractNum>
  <w:abstractNum w:abstractNumId="29" w15:restartNumberingAfterBreak="0">
    <w:nsid w:val="4AD62E9A"/>
    <w:multiLevelType w:val="hybridMultilevel"/>
    <w:tmpl w:val="A666FF8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4D3F409C"/>
    <w:multiLevelType w:val="hybridMultilevel"/>
    <w:tmpl w:val="98BA9362"/>
    <w:lvl w:ilvl="0" w:tplc="21FC15E2">
      <w:start w:val="1"/>
      <w:numFmt w:val="bullet"/>
      <w:lvlText w:val=""/>
      <w:lvlJc w:val="left"/>
      <w:pPr>
        <w:tabs>
          <w:tab w:val="num" w:pos="720"/>
        </w:tabs>
        <w:ind w:left="700" w:hanging="340"/>
      </w:pPr>
      <w:rPr>
        <w:rFonts w:ascii="Wingdings" w:hAnsi="Wingdings" w:hint="default"/>
      </w:rPr>
    </w:lvl>
    <w:lvl w:ilvl="1" w:tplc="8E32A6F6">
      <w:start w:val="3"/>
      <w:numFmt w:val="bullet"/>
      <w:lvlText w:val="-"/>
      <w:lvlJc w:val="left"/>
      <w:pPr>
        <w:tabs>
          <w:tab w:val="num" w:pos="1800"/>
        </w:tabs>
        <w:ind w:left="1800" w:hanging="360"/>
      </w:pPr>
      <w:rPr>
        <w:rFonts w:ascii="Times New Roman" w:eastAsia="Times New Roman" w:hAnsi="Times New Roman" w:cs="Times New Roman"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5503259E"/>
    <w:multiLevelType w:val="hybridMultilevel"/>
    <w:tmpl w:val="B7302D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A1700BA"/>
    <w:multiLevelType w:val="hybridMultilevel"/>
    <w:tmpl w:val="F67698A2"/>
    <w:lvl w:ilvl="0" w:tplc="B60C9152">
      <w:numFmt w:val="bullet"/>
      <w:lvlText w:val="-"/>
      <w:lvlJc w:val="left"/>
      <w:pPr>
        <w:ind w:left="720" w:hanging="360"/>
      </w:pPr>
      <w:rPr>
        <w:rFonts w:ascii="Calibri" w:eastAsia="Times New Roman" w:hAnsi="Calibri"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A3E3960"/>
    <w:multiLevelType w:val="hybridMultilevel"/>
    <w:tmpl w:val="8F067A9E"/>
    <w:lvl w:ilvl="0" w:tplc="EAAE9922">
      <w:start w:val="34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B231B7F"/>
    <w:multiLevelType w:val="hybridMultilevel"/>
    <w:tmpl w:val="0D721C82"/>
    <w:lvl w:ilvl="0" w:tplc="50C28FA0">
      <w:start w:val="25"/>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F145E3D"/>
    <w:multiLevelType w:val="hybridMultilevel"/>
    <w:tmpl w:val="24563A9E"/>
    <w:lvl w:ilvl="0" w:tplc="84682FB6">
      <w:start w:val="1"/>
      <w:numFmt w:val="bullet"/>
      <w:lvlText w:val="•"/>
      <w:lvlJc w:val="left"/>
      <w:pPr>
        <w:tabs>
          <w:tab w:val="num" w:pos="720"/>
        </w:tabs>
        <w:ind w:left="720" w:hanging="360"/>
      </w:pPr>
      <w:rPr>
        <w:rFonts w:ascii="Arial" w:hAnsi="Arial" w:hint="default"/>
      </w:rPr>
    </w:lvl>
    <w:lvl w:ilvl="1" w:tplc="EAAE9922">
      <w:start w:val="343"/>
      <w:numFmt w:val="bullet"/>
      <w:lvlText w:val="-"/>
      <w:lvlJc w:val="left"/>
      <w:pPr>
        <w:tabs>
          <w:tab w:val="num" w:pos="1440"/>
        </w:tabs>
        <w:ind w:left="1440" w:hanging="360"/>
      </w:pPr>
      <w:rPr>
        <w:rFonts w:ascii="Arial" w:eastAsiaTheme="minorHAnsi" w:hAnsi="Arial" w:cs="Arial" w:hint="default"/>
      </w:rPr>
    </w:lvl>
    <w:lvl w:ilvl="2" w:tplc="EAAE9922">
      <w:start w:val="343"/>
      <w:numFmt w:val="bullet"/>
      <w:lvlText w:val="-"/>
      <w:lvlJc w:val="left"/>
      <w:pPr>
        <w:ind w:left="2160" w:hanging="360"/>
      </w:pPr>
      <w:rPr>
        <w:rFonts w:ascii="Arial" w:eastAsiaTheme="minorHAnsi" w:hAnsi="Arial" w:cs="Arial" w:hint="default"/>
      </w:rPr>
    </w:lvl>
    <w:lvl w:ilvl="3" w:tplc="6A025428" w:tentative="1">
      <w:start w:val="1"/>
      <w:numFmt w:val="bullet"/>
      <w:lvlText w:val="•"/>
      <w:lvlJc w:val="left"/>
      <w:pPr>
        <w:tabs>
          <w:tab w:val="num" w:pos="2880"/>
        </w:tabs>
        <w:ind w:left="2880" w:hanging="360"/>
      </w:pPr>
      <w:rPr>
        <w:rFonts w:ascii="Arial" w:hAnsi="Arial" w:hint="default"/>
      </w:rPr>
    </w:lvl>
    <w:lvl w:ilvl="4" w:tplc="D1F8C30E" w:tentative="1">
      <w:start w:val="1"/>
      <w:numFmt w:val="bullet"/>
      <w:lvlText w:val="•"/>
      <w:lvlJc w:val="left"/>
      <w:pPr>
        <w:tabs>
          <w:tab w:val="num" w:pos="3600"/>
        </w:tabs>
        <w:ind w:left="3600" w:hanging="360"/>
      </w:pPr>
      <w:rPr>
        <w:rFonts w:ascii="Arial" w:hAnsi="Arial" w:hint="default"/>
      </w:rPr>
    </w:lvl>
    <w:lvl w:ilvl="5" w:tplc="942CCD68" w:tentative="1">
      <w:start w:val="1"/>
      <w:numFmt w:val="bullet"/>
      <w:lvlText w:val="•"/>
      <w:lvlJc w:val="left"/>
      <w:pPr>
        <w:tabs>
          <w:tab w:val="num" w:pos="4320"/>
        </w:tabs>
        <w:ind w:left="4320" w:hanging="360"/>
      </w:pPr>
      <w:rPr>
        <w:rFonts w:ascii="Arial" w:hAnsi="Arial" w:hint="default"/>
      </w:rPr>
    </w:lvl>
    <w:lvl w:ilvl="6" w:tplc="ABC67926" w:tentative="1">
      <w:start w:val="1"/>
      <w:numFmt w:val="bullet"/>
      <w:lvlText w:val="•"/>
      <w:lvlJc w:val="left"/>
      <w:pPr>
        <w:tabs>
          <w:tab w:val="num" w:pos="5040"/>
        </w:tabs>
        <w:ind w:left="5040" w:hanging="360"/>
      </w:pPr>
      <w:rPr>
        <w:rFonts w:ascii="Arial" w:hAnsi="Arial" w:hint="default"/>
      </w:rPr>
    </w:lvl>
    <w:lvl w:ilvl="7" w:tplc="240E7CD6" w:tentative="1">
      <w:start w:val="1"/>
      <w:numFmt w:val="bullet"/>
      <w:lvlText w:val="•"/>
      <w:lvlJc w:val="left"/>
      <w:pPr>
        <w:tabs>
          <w:tab w:val="num" w:pos="5760"/>
        </w:tabs>
        <w:ind w:left="5760" w:hanging="360"/>
      </w:pPr>
      <w:rPr>
        <w:rFonts w:ascii="Arial" w:hAnsi="Arial" w:hint="default"/>
      </w:rPr>
    </w:lvl>
    <w:lvl w:ilvl="8" w:tplc="7BDAB834"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60C07028"/>
    <w:multiLevelType w:val="hybridMultilevel"/>
    <w:tmpl w:val="FFF88D34"/>
    <w:lvl w:ilvl="0" w:tplc="84682FB6">
      <w:start w:val="1"/>
      <w:numFmt w:val="bullet"/>
      <w:lvlText w:val="•"/>
      <w:lvlJc w:val="left"/>
      <w:pPr>
        <w:tabs>
          <w:tab w:val="num" w:pos="720"/>
        </w:tabs>
        <w:ind w:left="720" w:hanging="360"/>
      </w:pPr>
      <w:rPr>
        <w:rFonts w:ascii="Arial" w:hAnsi="Arial" w:hint="default"/>
      </w:rPr>
    </w:lvl>
    <w:lvl w:ilvl="1" w:tplc="EAAE9922">
      <w:start w:val="343"/>
      <w:numFmt w:val="bullet"/>
      <w:lvlText w:val="-"/>
      <w:lvlJc w:val="left"/>
      <w:pPr>
        <w:tabs>
          <w:tab w:val="num" w:pos="1440"/>
        </w:tabs>
        <w:ind w:left="1440" w:hanging="360"/>
      </w:pPr>
      <w:rPr>
        <w:rFonts w:ascii="Arial" w:eastAsiaTheme="minorHAnsi" w:hAnsi="Arial" w:cs="Arial" w:hint="default"/>
      </w:rPr>
    </w:lvl>
    <w:lvl w:ilvl="2" w:tplc="EAAE9922">
      <w:start w:val="343"/>
      <w:numFmt w:val="bullet"/>
      <w:lvlText w:val="-"/>
      <w:lvlJc w:val="left"/>
      <w:pPr>
        <w:ind w:left="2160" w:hanging="360"/>
      </w:pPr>
      <w:rPr>
        <w:rFonts w:ascii="Arial" w:eastAsiaTheme="minorHAnsi" w:hAnsi="Arial" w:cs="Arial" w:hint="default"/>
      </w:rPr>
    </w:lvl>
    <w:lvl w:ilvl="3" w:tplc="6A025428" w:tentative="1">
      <w:start w:val="1"/>
      <w:numFmt w:val="bullet"/>
      <w:lvlText w:val="•"/>
      <w:lvlJc w:val="left"/>
      <w:pPr>
        <w:tabs>
          <w:tab w:val="num" w:pos="2880"/>
        </w:tabs>
        <w:ind w:left="2880" w:hanging="360"/>
      </w:pPr>
      <w:rPr>
        <w:rFonts w:ascii="Arial" w:hAnsi="Arial" w:hint="default"/>
      </w:rPr>
    </w:lvl>
    <w:lvl w:ilvl="4" w:tplc="D1F8C30E" w:tentative="1">
      <w:start w:val="1"/>
      <w:numFmt w:val="bullet"/>
      <w:lvlText w:val="•"/>
      <w:lvlJc w:val="left"/>
      <w:pPr>
        <w:tabs>
          <w:tab w:val="num" w:pos="3600"/>
        </w:tabs>
        <w:ind w:left="3600" w:hanging="360"/>
      </w:pPr>
      <w:rPr>
        <w:rFonts w:ascii="Arial" w:hAnsi="Arial" w:hint="default"/>
      </w:rPr>
    </w:lvl>
    <w:lvl w:ilvl="5" w:tplc="942CCD68" w:tentative="1">
      <w:start w:val="1"/>
      <w:numFmt w:val="bullet"/>
      <w:lvlText w:val="•"/>
      <w:lvlJc w:val="left"/>
      <w:pPr>
        <w:tabs>
          <w:tab w:val="num" w:pos="4320"/>
        </w:tabs>
        <w:ind w:left="4320" w:hanging="360"/>
      </w:pPr>
      <w:rPr>
        <w:rFonts w:ascii="Arial" w:hAnsi="Arial" w:hint="default"/>
      </w:rPr>
    </w:lvl>
    <w:lvl w:ilvl="6" w:tplc="ABC67926" w:tentative="1">
      <w:start w:val="1"/>
      <w:numFmt w:val="bullet"/>
      <w:lvlText w:val="•"/>
      <w:lvlJc w:val="left"/>
      <w:pPr>
        <w:tabs>
          <w:tab w:val="num" w:pos="5040"/>
        </w:tabs>
        <w:ind w:left="5040" w:hanging="360"/>
      </w:pPr>
      <w:rPr>
        <w:rFonts w:ascii="Arial" w:hAnsi="Arial" w:hint="default"/>
      </w:rPr>
    </w:lvl>
    <w:lvl w:ilvl="7" w:tplc="240E7CD6" w:tentative="1">
      <w:start w:val="1"/>
      <w:numFmt w:val="bullet"/>
      <w:lvlText w:val="•"/>
      <w:lvlJc w:val="left"/>
      <w:pPr>
        <w:tabs>
          <w:tab w:val="num" w:pos="5760"/>
        </w:tabs>
        <w:ind w:left="5760" w:hanging="360"/>
      </w:pPr>
      <w:rPr>
        <w:rFonts w:ascii="Arial" w:hAnsi="Arial" w:hint="default"/>
      </w:rPr>
    </w:lvl>
    <w:lvl w:ilvl="8" w:tplc="7BDAB834"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32D75FC"/>
    <w:multiLevelType w:val="hybridMultilevel"/>
    <w:tmpl w:val="237486F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64CB1099"/>
    <w:multiLevelType w:val="hybridMultilevel"/>
    <w:tmpl w:val="07B278B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4DC28AB"/>
    <w:multiLevelType w:val="hybridMultilevel"/>
    <w:tmpl w:val="BCA243E0"/>
    <w:lvl w:ilvl="0" w:tplc="EAAE9922">
      <w:start w:val="34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6615051E"/>
    <w:multiLevelType w:val="hybridMultilevel"/>
    <w:tmpl w:val="24067DBC"/>
    <w:lvl w:ilvl="0" w:tplc="EAAE9922">
      <w:start w:val="343"/>
      <w:numFmt w:val="bullet"/>
      <w:lvlText w:val="-"/>
      <w:lvlJc w:val="left"/>
      <w:pPr>
        <w:tabs>
          <w:tab w:val="num" w:pos="1068"/>
        </w:tabs>
        <w:ind w:left="1068" w:hanging="360"/>
      </w:pPr>
      <w:rPr>
        <w:rFonts w:ascii="Arial" w:eastAsiaTheme="minorHAnsi" w:hAnsi="Arial" w:cs="Arial" w:hint="default"/>
      </w:rPr>
    </w:lvl>
    <w:lvl w:ilvl="1" w:tplc="62BC640A" w:tentative="1">
      <w:start w:val="1"/>
      <w:numFmt w:val="bullet"/>
      <w:lvlText w:val=""/>
      <w:lvlJc w:val="left"/>
      <w:pPr>
        <w:tabs>
          <w:tab w:val="num" w:pos="1788"/>
        </w:tabs>
        <w:ind w:left="1788" w:hanging="360"/>
      </w:pPr>
      <w:rPr>
        <w:rFonts w:ascii="Wingdings" w:hAnsi="Wingdings" w:hint="default"/>
      </w:rPr>
    </w:lvl>
    <w:lvl w:ilvl="2" w:tplc="2DAC7BFC" w:tentative="1">
      <w:start w:val="1"/>
      <w:numFmt w:val="bullet"/>
      <w:lvlText w:val=""/>
      <w:lvlJc w:val="left"/>
      <w:pPr>
        <w:tabs>
          <w:tab w:val="num" w:pos="2508"/>
        </w:tabs>
        <w:ind w:left="2508" w:hanging="360"/>
      </w:pPr>
      <w:rPr>
        <w:rFonts w:ascii="Wingdings" w:hAnsi="Wingdings" w:hint="default"/>
      </w:rPr>
    </w:lvl>
    <w:lvl w:ilvl="3" w:tplc="D280F3FA" w:tentative="1">
      <w:start w:val="1"/>
      <w:numFmt w:val="bullet"/>
      <w:lvlText w:val=""/>
      <w:lvlJc w:val="left"/>
      <w:pPr>
        <w:tabs>
          <w:tab w:val="num" w:pos="3228"/>
        </w:tabs>
        <w:ind w:left="3228" w:hanging="360"/>
      </w:pPr>
      <w:rPr>
        <w:rFonts w:ascii="Wingdings" w:hAnsi="Wingdings" w:hint="default"/>
      </w:rPr>
    </w:lvl>
    <w:lvl w:ilvl="4" w:tplc="4232C27C" w:tentative="1">
      <w:start w:val="1"/>
      <w:numFmt w:val="bullet"/>
      <w:lvlText w:val=""/>
      <w:lvlJc w:val="left"/>
      <w:pPr>
        <w:tabs>
          <w:tab w:val="num" w:pos="3948"/>
        </w:tabs>
        <w:ind w:left="3948" w:hanging="360"/>
      </w:pPr>
      <w:rPr>
        <w:rFonts w:ascii="Wingdings" w:hAnsi="Wingdings" w:hint="default"/>
      </w:rPr>
    </w:lvl>
    <w:lvl w:ilvl="5" w:tplc="A7CA9AEE" w:tentative="1">
      <w:start w:val="1"/>
      <w:numFmt w:val="bullet"/>
      <w:lvlText w:val=""/>
      <w:lvlJc w:val="left"/>
      <w:pPr>
        <w:tabs>
          <w:tab w:val="num" w:pos="4668"/>
        </w:tabs>
        <w:ind w:left="4668" w:hanging="360"/>
      </w:pPr>
      <w:rPr>
        <w:rFonts w:ascii="Wingdings" w:hAnsi="Wingdings" w:hint="default"/>
      </w:rPr>
    </w:lvl>
    <w:lvl w:ilvl="6" w:tplc="2EBC31A6" w:tentative="1">
      <w:start w:val="1"/>
      <w:numFmt w:val="bullet"/>
      <w:lvlText w:val=""/>
      <w:lvlJc w:val="left"/>
      <w:pPr>
        <w:tabs>
          <w:tab w:val="num" w:pos="5388"/>
        </w:tabs>
        <w:ind w:left="5388" w:hanging="360"/>
      </w:pPr>
      <w:rPr>
        <w:rFonts w:ascii="Wingdings" w:hAnsi="Wingdings" w:hint="default"/>
      </w:rPr>
    </w:lvl>
    <w:lvl w:ilvl="7" w:tplc="39DE695C" w:tentative="1">
      <w:start w:val="1"/>
      <w:numFmt w:val="bullet"/>
      <w:lvlText w:val=""/>
      <w:lvlJc w:val="left"/>
      <w:pPr>
        <w:tabs>
          <w:tab w:val="num" w:pos="6108"/>
        </w:tabs>
        <w:ind w:left="6108" w:hanging="360"/>
      </w:pPr>
      <w:rPr>
        <w:rFonts w:ascii="Wingdings" w:hAnsi="Wingdings" w:hint="default"/>
      </w:rPr>
    </w:lvl>
    <w:lvl w:ilvl="8" w:tplc="65DC2458" w:tentative="1">
      <w:start w:val="1"/>
      <w:numFmt w:val="bullet"/>
      <w:lvlText w:val=""/>
      <w:lvlJc w:val="left"/>
      <w:pPr>
        <w:tabs>
          <w:tab w:val="num" w:pos="6828"/>
        </w:tabs>
        <w:ind w:left="6828" w:hanging="360"/>
      </w:pPr>
      <w:rPr>
        <w:rFonts w:ascii="Wingdings" w:hAnsi="Wingdings" w:hint="default"/>
      </w:rPr>
    </w:lvl>
  </w:abstractNum>
  <w:abstractNum w:abstractNumId="41" w15:restartNumberingAfterBreak="0">
    <w:nsid w:val="663E2A2B"/>
    <w:multiLevelType w:val="hybridMultilevel"/>
    <w:tmpl w:val="DDD6E92C"/>
    <w:lvl w:ilvl="0" w:tplc="EAAE9922">
      <w:start w:val="343"/>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6AD42E4"/>
    <w:multiLevelType w:val="hybridMultilevel"/>
    <w:tmpl w:val="BC849562"/>
    <w:lvl w:ilvl="0" w:tplc="83980062">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7B60AD1"/>
    <w:multiLevelType w:val="hybridMultilevel"/>
    <w:tmpl w:val="31A61F64"/>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6A370B0E"/>
    <w:multiLevelType w:val="hybridMultilevel"/>
    <w:tmpl w:val="67989430"/>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6BB84FAC"/>
    <w:multiLevelType w:val="singleLevel"/>
    <w:tmpl w:val="9CA4D576"/>
    <w:lvl w:ilvl="0">
      <w:start w:val="5"/>
      <w:numFmt w:val="bullet"/>
      <w:lvlText w:val="-"/>
      <w:lvlJc w:val="left"/>
      <w:pPr>
        <w:tabs>
          <w:tab w:val="num" w:pos="360"/>
        </w:tabs>
        <w:ind w:left="360" w:hanging="360"/>
      </w:pPr>
      <w:rPr>
        <w:rFonts w:hint="default"/>
      </w:rPr>
    </w:lvl>
  </w:abstractNum>
  <w:abstractNum w:abstractNumId="46" w15:restartNumberingAfterBreak="0">
    <w:nsid w:val="6E520496"/>
    <w:multiLevelType w:val="hybridMultilevel"/>
    <w:tmpl w:val="6100AE74"/>
    <w:lvl w:ilvl="0" w:tplc="C1461214">
      <w:start w:val="13"/>
      <w:numFmt w:val="bullet"/>
      <w:lvlText w:val="-"/>
      <w:lvlJc w:val="left"/>
      <w:pPr>
        <w:ind w:left="720"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70860E07"/>
    <w:multiLevelType w:val="hybridMultilevel"/>
    <w:tmpl w:val="536A83F8"/>
    <w:lvl w:ilvl="0" w:tplc="E800E2A4">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8" w15:restartNumberingAfterBreak="0">
    <w:nsid w:val="714C3D96"/>
    <w:multiLevelType w:val="hybridMultilevel"/>
    <w:tmpl w:val="08AADE56"/>
    <w:lvl w:ilvl="0" w:tplc="22EAB7AC">
      <w:start w:val="1"/>
      <w:numFmt w:val="bullet"/>
      <w:lvlText w:val="-"/>
      <w:lvlJc w:val="left"/>
      <w:pPr>
        <w:ind w:left="644" w:hanging="360"/>
      </w:pPr>
      <w:rPr>
        <w:rFonts w:hint="default"/>
      </w:rPr>
    </w:lvl>
    <w:lvl w:ilvl="1" w:tplc="040C0003">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9" w15:restartNumberingAfterBreak="0">
    <w:nsid w:val="740667DE"/>
    <w:multiLevelType w:val="hybridMultilevel"/>
    <w:tmpl w:val="7FAC57E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74D71B84"/>
    <w:multiLevelType w:val="hybridMultilevel"/>
    <w:tmpl w:val="72246638"/>
    <w:lvl w:ilvl="0" w:tplc="51B4C078">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776D5366"/>
    <w:multiLevelType w:val="hybridMultilevel"/>
    <w:tmpl w:val="893E7928"/>
    <w:lvl w:ilvl="0" w:tplc="C1461214">
      <w:start w:val="13"/>
      <w:numFmt w:val="bullet"/>
      <w:lvlText w:val="-"/>
      <w:lvlJc w:val="left"/>
      <w:pPr>
        <w:ind w:left="504" w:hanging="360"/>
      </w:pPr>
      <w:rPr>
        <w:rFonts w:ascii="BaileySansITC-Book" w:eastAsia="Times New Roman" w:hAnsi="BaileySansITC-Book" w:cs="BaileySansITC-Book" w:hint="default"/>
        <w:color w:val="000000"/>
        <w:sz w:val="20"/>
      </w:rPr>
    </w:lvl>
    <w:lvl w:ilvl="1" w:tplc="040C0003" w:tentative="1">
      <w:start w:val="1"/>
      <w:numFmt w:val="bullet"/>
      <w:lvlText w:val="o"/>
      <w:lvlJc w:val="left"/>
      <w:pPr>
        <w:ind w:left="1224" w:hanging="360"/>
      </w:pPr>
      <w:rPr>
        <w:rFonts w:ascii="Courier New" w:hAnsi="Courier New" w:cs="Courier New" w:hint="default"/>
      </w:rPr>
    </w:lvl>
    <w:lvl w:ilvl="2" w:tplc="040C0005" w:tentative="1">
      <w:start w:val="1"/>
      <w:numFmt w:val="bullet"/>
      <w:lvlText w:val=""/>
      <w:lvlJc w:val="left"/>
      <w:pPr>
        <w:ind w:left="1944" w:hanging="360"/>
      </w:pPr>
      <w:rPr>
        <w:rFonts w:ascii="Wingdings" w:hAnsi="Wingdings" w:hint="default"/>
      </w:rPr>
    </w:lvl>
    <w:lvl w:ilvl="3" w:tplc="040C0001" w:tentative="1">
      <w:start w:val="1"/>
      <w:numFmt w:val="bullet"/>
      <w:lvlText w:val=""/>
      <w:lvlJc w:val="left"/>
      <w:pPr>
        <w:ind w:left="2664" w:hanging="360"/>
      </w:pPr>
      <w:rPr>
        <w:rFonts w:ascii="Symbol" w:hAnsi="Symbol" w:hint="default"/>
      </w:rPr>
    </w:lvl>
    <w:lvl w:ilvl="4" w:tplc="040C0003" w:tentative="1">
      <w:start w:val="1"/>
      <w:numFmt w:val="bullet"/>
      <w:lvlText w:val="o"/>
      <w:lvlJc w:val="left"/>
      <w:pPr>
        <w:ind w:left="3384" w:hanging="360"/>
      </w:pPr>
      <w:rPr>
        <w:rFonts w:ascii="Courier New" w:hAnsi="Courier New" w:cs="Courier New" w:hint="default"/>
      </w:rPr>
    </w:lvl>
    <w:lvl w:ilvl="5" w:tplc="040C0005" w:tentative="1">
      <w:start w:val="1"/>
      <w:numFmt w:val="bullet"/>
      <w:lvlText w:val=""/>
      <w:lvlJc w:val="left"/>
      <w:pPr>
        <w:ind w:left="4104" w:hanging="360"/>
      </w:pPr>
      <w:rPr>
        <w:rFonts w:ascii="Wingdings" w:hAnsi="Wingdings" w:hint="default"/>
      </w:rPr>
    </w:lvl>
    <w:lvl w:ilvl="6" w:tplc="040C0001" w:tentative="1">
      <w:start w:val="1"/>
      <w:numFmt w:val="bullet"/>
      <w:lvlText w:val=""/>
      <w:lvlJc w:val="left"/>
      <w:pPr>
        <w:ind w:left="4824" w:hanging="360"/>
      </w:pPr>
      <w:rPr>
        <w:rFonts w:ascii="Symbol" w:hAnsi="Symbol" w:hint="default"/>
      </w:rPr>
    </w:lvl>
    <w:lvl w:ilvl="7" w:tplc="040C0003" w:tentative="1">
      <w:start w:val="1"/>
      <w:numFmt w:val="bullet"/>
      <w:lvlText w:val="o"/>
      <w:lvlJc w:val="left"/>
      <w:pPr>
        <w:ind w:left="5544" w:hanging="360"/>
      </w:pPr>
      <w:rPr>
        <w:rFonts w:ascii="Courier New" w:hAnsi="Courier New" w:cs="Courier New" w:hint="default"/>
      </w:rPr>
    </w:lvl>
    <w:lvl w:ilvl="8" w:tplc="040C0005" w:tentative="1">
      <w:start w:val="1"/>
      <w:numFmt w:val="bullet"/>
      <w:lvlText w:val=""/>
      <w:lvlJc w:val="left"/>
      <w:pPr>
        <w:ind w:left="6264" w:hanging="360"/>
      </w:pPr>
      <w:rPr>
        <w:rFonts w:ascii="Wingdings" w:hAnsi="Wingdings" w:hint="default"/>
      </w:rPr>
    </w:lvl>
  </w:abstractNum>
  <w:abstractNum w:abstractNumId="52" w15:restartNumberingAfterBreak="0">
    <w:nsid w:val="791F6D93"/>
    <w:multiLevelType w:val="hybridMultilevel"/>
    <w:tmpl w:val="BD3AC9E0"/>
    <w:lvl w:ilvl="0" w:tplc="ACFA7FCA">
      <w:numFmt w:val="bullet"/>
      <w:lvlText w:val="-"/>
      <w:lvlJc w:val="left"/>
      <w:pPr>
        <w:ind w:left="720" w:hanging="360"/>
      </w:pPr>
      <w:rPr>
        <w:rFonts w:ascii="Times New Roman" w:eastAsia="Calibri"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7ADA4EC8"/>
    <w:multiLevelType w:val="singleLevel"/>
    <w:tmpl w:val="284E7E68"/>
    <w:lvl w:ilvl="0">
      <w:start w:val="4"/>
      <w:numFmt w:val="bullet"/>
      <w:lvlText w:val="-"/>
      <w:lvlJc w:val="left"/>
      <w:pPr>
        <w:tabs>
          <w:tab w:val="num" w:pos="360"/>
        </w:tabs>
        <w:ind w:left="360" w:hanging="360"/>
      </w:pPr>
      <w:rPr>
        <w:rFonts w:hint="default"/>
      </w:rPr>
    </w:lvl>
  </w:abstractNum>
  <w:abstractNum w:abstractNumId="54" w15:restartNumberingAfterBreak="0">
    <w:nsid w:val="7B5F3934"/>
    <w:multiLevelType w:val="hybridMultilevel"/>
    <w:tmpl w:val="681C5AD2"/>
    <w:lvl w:ilvl="0" w:tplc="EAAE9922">
      <w:start w:val="343"/>
      <w:numFmt w:val="bullet"/>
      <w:lvlText w:val="-"/>
      <w:lvlJc w:val="left"/>
      <w:pPr>
        <w:ind w:left="1429" w:hanging="360"/>
      </w:pPr>
      <w:rPr>
        <w:rFonts w:ascii="Arial" w:eastAsiaTheme="minorHAnsi" w:hAnsi="Arial" w:cs="Aria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5" w15:restartNumberingAfterBreak="0">
    <w:nsid w:val="7D7E1447"/>
    <w:multiLevelType w:val="hybridMultilevel"/>
    <w:tmpl w:val="B1D6FC1E"/>
    <w:lvl w:ilvl="0" w:tplc="7A18690C">
      <w:start w:val="1"/>
      <w:numFmt w:val="bullet"/>
      <w:pStyle w:val="Liste2"/>
      <w:lvlText w:val=""/>
      <w:lvlJc w:val="left"/>
      <w:pPr>
        <w:tabs>
          <w:tab w:val="num" w:pos="2340"/>
        </w:tabs>
        <w:ind w:left="2340" w:hanging="360"/>
      </w:pPr>
      <w:rPr>
        <w:rFonts w:ascii="Symbol" w:hAnsi="Symbol" w:hint="default"/>
      </w:rPr>
    </w:lvl>
    <w:lvl w:ilvl="1" w:tplc="B6B4A652">
      <w:start w:val="1"/>
      <w:numFmt w:val="bullet"/>
      <w:pStyle w:val="Liste3"/>
      <w:lvlText w:val=""/>
      <w:lvlJc w:val="left"/>
      <w:pPr>
        <w:tabs>
          <w:tab w:val="num" w:pos="1440"/>
        </w:tabs>
        <w:ind w:left="1440" w:hanging="360"/>
      </w:pPr>
      <w:rPr>
        <w:rFonts w:ascii="Symbol" w:hAnsi="Symbol" w:hint="default"/>
      </w:rPr>
    </w:lvl>
    <w:lvl w:ilvl="2" w:tplc="0809001B">
      <w:start w:val="1"/>
      <w:numFmt w:val="bullet"/>
      <w:lvlText w:val=""/>
      <w:lvlJc w:val="left"/>
      <w:pPr>
        <w:tabs>
          <w:tab w:val="num" w:pos="2160"/>
        </w:tabs>
        <w:ind w:left="2160" w:hanging="360"/>
      </w:pPr>
      <w:rPr>
        <w:rFonts w:ascii="Wingdings" w:hAnsi="Wingdings" w:hint="default"/>
      </w:rPr>
    </w:lvl>
    <w:lvl w:ilvl="3" w:tplc="0809000F" w:tentative="1">
      <w:start w:val="1"/>
      <w:numFmt w:val="bullet"/>
      <w:lvlText w:val=""/>
      <w:lvlJc w:val="left"/>
      <w:pPr>
        <w:tabs>
          <w:tab w:val="num" w:pos="2880"/>
        </w:tabs>
        <w:ind w:left="2880" w:hanging="360"/>
      </w:pPr>
      <w:rPr>
        <w:rFonts w:ascii="Symbol" w:hAnsi="Symbol" w:hint="default"/>
      </w:rPr>
    </w:lvl>
    <w:lvl w:ilvl="4" w:tplc="08090019" w:tentative="1">
      <w:start w:val="1"/>
      <w:numFmt w:val="bullet"/>
      <w:lvlText w:val="o"/>
      <w:lvlJc w:val="left"/>
      <w:pPr>
        <w:tabs>
          <w:tab w:val="num" w:pos="3600"/>
        </w:tabs>
        <w:ind w:left="3600" w:hanging="360"/>
      </w:pPr>
      <w:rPr>
        <w:rFonts w:ascii="Courier New" w:hAnsi="Courier New" w:hint="default"/>
      </w:rPr>
    </w:lvl>
    <w:lvl w:ilvl="5" w:tplc="0809001B" w:tentative="1">
      <w:start w:val="1"/>
      <w:numFmt w:val="bullet"/>
      <w:lvlText w:val=""/>
      <w:lvlJc w:val="left"/>
      <w:pPr>
        <w:tabs>
          <w:tab w:val="num" w:pos="4320"/>
        </w:tabs>
        <w:ind w:left="4320" w:hanging="360"/>
      </w:pPr>
      <w:rPr>
        <w:rFonts w:ascii="Wingdings" w:hAnsi="Wingdings" w:hint="default"/>
      </w:rPr>
    </w:lvl>
    <w:lvl w:ilvl="6" w:tplc="0809000F" w:tentative="1">
      <w:start w:val="1"/>
      <w:numFmt w:val="bullet"/>
      <w:lvlText w:val=""/>
      <w:lvlJc w:val="left"/>
      <w:pPr>
        <w:tabs>
          <w:tab w:val="num" w:pos="5040"/>
        </w:tabs>
        <w:ind w:left="5040" w:hanging="360"/>
      </w:pPr>
      <w:rPr>
        <w:rFonts w:ascii="Symbol" w:hAnsi="Symbol" w:hint="default"/>
      </w:rPr>
    </w:lvl>
    <w:lvl w:ilvl="7" w:tplc="08090019" w:tentative="1">
      <w:start w:val="1"/>
      <w:numFmt w:val="bullet"/>
      <w:lvlText w:val="o"/>
      <w:lvlJc w:val="left"/>
      <w:pPr>
        <w:tabs>
          <w:tab w:val="num" w:pos="5760"/>
        </w:tabs>
        <w:ind w:left="5760" w:hanging="360"/>
      </w:pPr>
      <w:rPr>
        <w:rFonts w:ascii="Courier New" w:hAnsi="Courier New" w:hint="default"/>
      </w:rPr>
    </w:lvl>
    <w:lvl w:ilvl="8" w:tplc="0809001B" w:tentative="1">
      <w:start w:val="1"/>
      <w:numFmt w:val="bullet"/>
      <w:lvlText w:val=""/>
      <w:lvlJc w:val="left"/>
      <w:pPr>
        <w:tabs>
          <w:tab w:val="num" w:pos="6480"/>
        </w:tabs>
        <w:ind w:left="6480" w:hanging="360"/>
      </w:pPr>
      <w:rPr>
        <w:rFonts w:ascii="Wingdings" w:hAnsi="Wingdings" w:hint="default"/>
      </w:rPr>
    </w:lvl>
  </w:abstractNum>
  <w:num w:numId="1">
    <w:abstractNumId w:val="23"/>
  </w:num>
  <w:num w:numId="2">
    <w:abstractNumId w:val="16"/>
  </w:num>
  <w:num w:numId="3">
    <w:abstractNumId w:val="52"/>
  </w:num>
  <w:num w:numId="4">
    <w:abstractNumId w:val="24"/>
  </w:num>
  <w:num w:numId="5">
    <w:abstractNumId w:val="48"/>
  </w:num>
  <w:num w:numId="6">
    <w:abstractNumId w:val="11"/>
  </w:num>
  <w:num w:numId="7">
    <w:abstractNumId w:val="29"/>
  </w:num>
  <w:num w:numId="8">
    <w:abstractNumId w:val="19"/>
  </w:num>
  <w:num w:numId="9">
    <w:abstractNumId w:val="37"/>
  </w:num>
  <w:num w:numId="10">
    <w:abstractNumId w:val="49"/>
  </w:num>
  <w:num w:numId="11">
    <w:abstractNumId w:val="38"/>
  </w:num>
  <w:num w:numId="12">
    <w:abstractNumId w:val="28"/>
  </w:num>
  <w:num w:numId="13">
    <w:abstractNumId w:val="55"/>
  </w:num>
  <w:num w:numId="14">
    <w:abstractNumId w:val="25"/>
  </w:num>
  <w:num w:numId="15">
    <w:abstractNumId w:val="4"/>
  </w:num>
  <w:num w:numId="16">
    <w:abstractNumId w:val="9"/>
  </w:num>
  <w:num w:numId="17">
    <w:abstractNumId w:val="5"/>
  </w:num>
  <w:num w:numId="18">
    <w:abstractNumId w:val="51"/>
  </w:num>
  <w:num w:numId="19">
    <w:abstractNumId w:val="3"/>
  </w:num>
  <w:num w:numId="20">
    <w:abstractNumId w:val="34"/>
  </w:num>
  <w:num w:numId="21">
    <w:abstractNumId w:val="15"/>
  </w:num>
  <w:num w:numId="22">
    <w:abstractNumId w:val="2"/>
  </w:num>
  <w:num w:numId="23">
    <w:abstractNumId w:val="30"/>
  </w:num>
  <w:num w:numId="24">
    <w:abstractNumId w:val="44"/>
  </w:num>
  <w:num w:numId="25">
    <w:abstractNumId w:val="10"/>
  </w:num>
  <w:num w:numId="26">
    <w:abstractNumId w:val="21"/>
  </w:num>
  <w:num w:numId="27">
    <w:abstractNumId w:val="18"/>
  </w:num>
  <w:num w:numId="28">
    <w:abstractNumId w:val="43"/>
  </w:num>
  <w:num w:numId="29">
    <w:abstractNumId w:val="47"/>
  </w:num>
  <w:num w:numId="30">
    <w:abstractNumId w:val="46"/>
  </w:num>
  <w:num w:numId="31">
    <w:abstractNumId w:val="17"/>
  </w:num>
  <w:num w:numId="32">
    <w:abstractNumId w:val="50"/>
  </w:num>
  <w:num w:numId="33">
    <w:abstractNumId w:val="27"/>
  </w:num>
  <w:num w:numId="34">
    <w:abstractNumId w:val="31"/>
  </w:num>
  <w:num w:numId="35">
    <w:abstractNumId w:val="53"/>
  </w:num>
  <w:num w:numId="36">
    <w:abstractNumId w:val="45"/>
  </w:num>
  <w:num w:numId="37">
    <w:abstractNumId w:val="0"/>
  </w:num>
  <w:num w:numId="38">
    <w:abstractNumId w:val="6"/>
  </w:num>
  <w:num w:numId="39">
    <w:abstractNumId w:val="8"/>
  </w:num>
  <w:num w:numId="40">
    <w:abstractNumId w:val="20"/>
  </w:num>
  <w:num w:numId="41">
    <w:abstractNumId w:val="42"/>
  </w:num>
  <w:num w:numId="42">
    <w:abstractNumId w:val="14"/>
  </w:num>
  <w:num w:numId="43">
    <w:abstractNumId w:val="32"/>
  </w:num>
  <w:num w:numId="44">
    <w:abstractNumId w:val="13"/>
  </w:num>
  <w:num w:numId="45">
    <w:abstractNumId w:val="26"/>
  </w:num>
  <w:num w:numId="46">
    <w:abstractNumId w:val="33"/>
  </w:num>
  <w:num w:numId="47">
    <w:abstractNumId w:val="40"/>
  </w:num>
  <w:num w:numId="48">
    <w:abstractNumId w:val="54"/>
  </w:num>
  <w:num w:numId="49">
    <w:abstractNumId w:val="22"/>
  </w:num>
  <w:num w:numId="50">
    <w:abstractNumId w:val="12"/>
  </w:num>
  <w:num w:numId="51">
    <w:abstractNumId w:val="35"/>
  </w:num>
  <w:num w:numId="52">
    <w:abstractNumId w:val="36"/>
  </w:num>
  <w:num w:numId="53">
    <w:abstractNumId w:val="7"/>
  </w:num>
  <w:num w:numId="54">
    <w:abstractNumId w:val="41"/>
  </w:num>
  <w:num w:numId="55">
    <w:abstractNumId w:val="1"/>
  </w:num>
  <w:num w:numId="56">
    <w:abstractNumId w:val="3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23A3"/>
    <w:rsid w:val="0000036B"/>
    <w:rsid w:val="00001037"/>
    <w:rsid w:val="00006A5D"/>
    <w:rsid w:val="000110A1"/>
    <w:rsid w:val="00012AA7"/>
    <w:rsid w:val="00013727"/>
    <w:rsid w:val="000144E7"/>
    <w:rsid w:val="000147B9"/>
    <w:rsid w:val="00016E1E"/>
    <w:rsid w:val="00017384"/>
    <w:rsid w:val="00020118"/>
    <w:rsid w:val="0002035D"/>
    <w:rsid w:val="0002186E"/>
    <w:rsid w:val="00021C07"/>
    <w:rsid w:val="00022C42"/>
    <w:rsid w:val="0002642D"/>
    <w:rsid w:val="00026D41"/>
    <w:rsid w:val="00027B70"/>
    <w:rsid w:val="00031485"/>
    <w:rsid w:val="00032367"/>
    <w:rsid w:val="00033F9E"/>
    <w:rsid w:val="00036E2D"/>
    <w:rsid w:val="00037634"/>
    <w:rsid w:val="00037C1F"/>
    <w:rsid w:val="000401E7"/>
    <w:rsid w:val="00042D78"/>
    <w:rsid w:val="00044D69"/>
    <w:rsid w:val="00044E6C"/>
    <w:rsid w:val="0004660A"/>
    <w:rsid w:val="000470AC"/>
    <w:rsid w:val="00047D65"/>
    <w:rsid w:val="00051483"/>
    <w:rsid w:val="0005198E"/>
    <w:rsid w:val="0005293B"/>
    <w:rsid w:val="00054BC4"/>
    <w:rsid w:val="00056E29"/>
    <w:rsid w:val="00056FF2"/>
    <w:rsid w:val="00057C2D"/>
    <w:rsid w:val="00064B59"/>
    <w:rsid w:val="00067541"/>
    <w:rsid w:val="00070EF4"/>
    <w:rsid w:val="000711D2"/>
    <w:rsid w:val="00071404"/>
    <w:rsid w:val="00072A44"/>
    <w:rsid w:val="00072AA5"/>
    <w:rsid w:val="0007301F"/>
    <w:rsid w:val="000733CD"/>
    <w:rsid w:val="00073EDC"/>
    <w:rsid w:val="000754BE"/>
    <w:rsid w:val="00075DFA"/>
    <w:rsid w:val="000761EB"/>
    <w:rsid w:val="00077B88"/>
    <w:rsid w:val="00080A46"/>
    <w:rsid w:val="00081271"/>
    <w:rsid w:val="000814D9"/>
    <w:rsid w:val="0008181F"/>
    <w:rsid w:val="00084980"/>
    <w:rsid w:val="00085986"/>
    <w:rsid w:val="00086A52"/>
    <w:rsid w:val="00087AA1"/>
    <w:rsid w:val="00087FF9"/>
    <w:rsid w:val="00090C00"/>
    <w:rsid w:val="00090E29"/>
    <w:rsid w:val="00092D2B"/>
    <w:rsid w:val="0009643E"/>
    <w:rsid w:val="0009718B"/>
    <w:rsid w:val="000A05E6"/>
    <w:rsid w:val="000A0A46"/>
    <w:rsid w:val="000A1C55"/>
    <w:rsid w:val="000A301B"/>
    <w:rsid w:val="000A4C5D"/>
    <w:rsid w:val="000B16F2"/>
    <w:rsid w:val="000B2684"/>
    <w:rsid w:val="000B4EAF"/>
    <w:rsid w:val="000B60AB"/>
    <w:rsid w:val="000B6635"/>
    <w:rsid w:val="000B67BA"/>
    <w:rsid w:val="000C1B26"/>
    <w:rsid w:val="000C2292"/>
    <w:rsid w:val="000C23A3"/>
    <w:rsid w:val="000C52EA"/>
    <w:rsid w:val="000C6491"/>
    <w:rsid w:val="000C79AB"/>
    <w:rsid w:val="000D12D7"/>
    <w:rsid w:val="000D1B10"/>
    <w:rsid w:val="000D2081"/>
    <w:rsid w:val="000D2E12"/>
    <w:rsid w:val="000D2FDF"/>
    <w:rsid w:val="000D3C16"/>
    <w:rsid w:val="000D41AF"/>
    <w:rsid w:val="000D6671"/>
    <w:rsid w:val="000D7719"/>
    <w:rsid w:val="000D7F4A"/>
    <w:rsid w:val="000E3204"/>
    <w:rsid w:val="000E4961"/>
    <w:rsid w:val="000E5ED9"/>
    <w:rsid w:val="000E66C9"/>
    <w:rsid w:val="000E69F5"/>
    <w:rsid w:val="000E7F4D"/>
    <w:rsid w:val="000F35B9"/>
    <w:rsid w:val="000F3912"/>
    <w:rsid w:val="000F4089"/>
    <w:rsid w:val="000F5085"/>
    <w:rsid w:val="000F7443"/>
    <w:rsid w:val="0010045D"/>
    <w:rsid w:val="00101C47"/>
    <w:rsid w:val="00104E96"/>
    <w:rsid w:val="001054D8"/>
    <w:rsid w:val="00107D5F"/>
    <w:rsid w:val="001125A4"/>
    <w:rsid w:val="001127E6"/>
    <w:rsid w:val="0011400C"/>
    <w:rsid w:val="00115CE6"/>
    <w:rsid w:val="00120117"/>
    <w:rsid w:val="001211E5"/>
    <w:rsid w:val="00121411"/>
    <w:rsid w:val="0012450D"/>
    <w:rsid w:val="001247CB"/>
    <w:rsid w:val="00125E7D"/>
    <w:rsid w:val="00126255"/>
    <w:rsid w:val="00127F84"/>
    <w:rsid w:val="00130734"/>
    <w:rsid w:val="00131823"/>
    <w:rsid w:val="0013293A"/>
    <w:rsid w:val="001340B8"/>
    <w:rsid w:val="0013649C"/>
    <w:rsid w:val="00136BA5"/>
    <w:rsid w:val="00140738"/>
    <w:rsid w:val="0014346B"/>
    <w:rsid w:val="001434C3"/>
    <w:rsid w:val="001435CC"/>
    <w:rsid w:val="00144E83"/>
    <w:rsid w:val="001532E3"/>
    <w:rsid w:val="001557BB"/>
    <w:rsid w:val="0015597D"/>
    <w:rsid w:val="00155C9B"/>
    <w:rsid w:val="00161E46"/>
    <w:rsid w:val="00163223"/>
    <w:rsid w:val="001662FB"/>
    <w:rsid w:val="001711FB"/>
    <w:rsid w:val="00173EDC"/>
    <w:rsid w:val="0017560E"/>
    <w:rsid w:val="00175ED5"/>
    <w:rsid w:val="00176D5F"/>
    <w:rsid w:val="00176DE2"/>
    <w:rsid w:val="00177B77"/>
    <w:rsid w:val="00184E85"/>
    <w:rsid w:val="00185369"/>
    <w:rsid w:val="00185CAD"/>
    <w:rsid w:val="0019126B"/>
    <w:rsid w:val="001A3677"/>
    <w:rsid w:val="001A457E"/>
    <w:rsid w:val="001A4C32"/>
    <w:rsid w:val="001A5365"/>
    <w:rsid w:val="001A57C7"/>
    <w:rsid w:val="001B16F2"/>
    <w:rsid w:val="001B2211"/>
    <w:rsid w:val="001B40DF"/>
    <w:rsid w:val="001B78B9"/>
    <w:rsid w:val="001C18E3"/>
    <w:rsid w:val="001C1A04"/>
    <w:rsid w:val="001C6EC6"/>
    <w:rsid w:val="001D1965"/>
    <w:rsid w:val="001D3996"/>
    <w:rsid w:val="001D3CA9"/>
    <w:rsid w:val="001D5C21"/>
    <w:rsid w:val="001D6603"/>
    <w:rsid w:val="001E4060"/>
    <w:rsid w:val="001E4CCD"/>
    <w:rsid w:val="001E4E71"/>
    <w:rsid w:val="001E6F01"/>
    <w:rsid w:val="001F0BE2"/>
    <w:rsid w:val="001F1EC8"/>
    <w:rsid w:val="001F2184"/>
    <w:rsid w:val="001F49C7"/>
    <w:rsid w:val="001F53AC"/>
    <w:rsid w:val="001F643C"/>
    <w:rsid w:val="001F684D"/>
    <w:rsid w:val="00201824"/>
    <w:rsid w:val="00202D29"/>
    <w:rsid w:val="0020345A"/>
    <w:rsid w:val="0020432B"/>
    <w:rsid w:val="00204AFD"/>
    <w:rsid w:val="00206A24"/>
    <w:rsid w:val="0020709C"/>
    <w:rsid w:val="00207AC1"/>
    <w:rsid w:val="00210FB4"/>
    <w:rsid w:val="00211CD4"/>
    <w:rsid w:val="0021437A"/>
    <w:rsid w:val="0021482B"/>
    <w:rsid w:val="00216219"/>
    <w:rsid w:val="002179FF"/>
    <w:rsid w:val="00220FCE"/>
    <w:rsid w:val="00221FE8"/>
    <w:rsid w:val="002303F0"/>
    <w:rsid w:val="00230B5D"/>
    <w:rsid w:val="00232DFB"/>
    <w:rsid w:val="00235ABF"/>
    <w:rsid w:val="00240674"/>
    <w:rsid w:val="002409BD"/>
    <w:rsid w:val="00241650"/>
    <w:rsid w:val="002418BB"/>
    <w:rsid w:val="00247221"/>
    <w:rsid w:val="00247C6C"/>
    <w:rsid w:val="0025478E"/>
    <w:rsid w:val="00254C9C"/>
    <w:rsid w:val="00254D83"/>
    <w:rsid w:val="00255B5E"/>
    <w:rsid w:val="00256E0E"/>
    <w:rsid w:val="002604D5"/>
    <w:rsid w:val="0026486A"/>
    <w:rsid w:val="00267264"/>
    <w:rsid w:val="00271889"/>
    <w:rsid w:val="00272416"/>
    <w:rsid w:val="00272582"/>
    <w:rsid w:val="00273C57"/>
    <w:rsid w:val="002750E4"/>
    <w:rsid w:val="00280046"/>
    <w:rsid w:val="002813A1"/>
    <w:rsid w:val="00281B56"/>
    <w:rsid w:val="002832A3"/>
    <w:rsid w:val="0028555F"/>
    <w:rsid w:val="00286E99"/>
    <w:rsid w:val="00293734"/>
    <w:rsid w:val="0029401E"/>
    <w:rsid w:val="00294A72"/>
    <w:rsid w:val="0029548C"/>
    <w:rsid w:val="00295D1A"/>
    <w:rsid w:val="00297ED9"/>
    <w:rsid w:val="002A335B"/>
    <w:rsid w:val="002A3A3C"/>
    <w:rsid w:val="002A727B"/>
    <w:rsid w:val="002A7C89"/>
    <w:rsid w:val="002B208E"/>
    <w:rsid w:val="002B2FCF"/>
    <w:rsid w:val="002B4C2A"/>
    <w:rsid w:val="002B60CA"/>
    <w:rsid w:val="002B6797"/>
    <w:rsid w:val="002B6BA5"/>
    <w:rsid w:val="002C0119"/>
    <w:rsid w:val="002C1ABA"/>
    <w:rsid w:val="002C20C7"/>
    <w:rsid w:val="002C24B8"/>
    <w:rsid w:val="002C2A3E"/>
    <w:rsid w:val="002C74FE"/>
    <w:rsid w:val="002D159B"/>
    <w:rsid w:val="002D294C"/>
    <w:rsid w:val="002D322B"/>
    <w:rsid w:val="002D49A0"/>
    <w:rsid w:val="002D7935"/>
    <w:rsid w:val="002E4FF7"/>
    <w:rsid w:val="002E523A"/>
    <w:rsid w:val="002E6287"/>
    <w:rsid w:val="002F1428"/>
    <w:rsid w:val="002F64A9"/>
    <w:rsid w:val="002F77B5"/>
    <w:rsid w:val="002F78B3"/>
    <w:rsid w:val="00301A0A"/>
    <w:rsid w:val="0030202B"/>
    <w:rsid w:val="00302036"/>
    <w:rsid w:val="0030645D"/>
    <w:rsid w:val="00311E1D"/>
    <w:rsid w:val="00312627"/>
    <w:rsid w:val="003141F6"/>
    <w:rsid w:val="003164E3"/>
    <w:rsid w:val="00316F22"/>
    <w:rsid w:val="00317EC2"/>
    <w:rsid w:val="0032015A"/>
    <w:rsid w:val="00322B73"/>
    <w:rsid w:val="00322E5E"/>
    <w:rsid w:val="003240EF"/>
    <w:rsid w:val="0032558C"/>
    <w:rsid w:val="00326BCD"/>
    <w:rsid w:val="00330250"/>
    <w:rsid w:val="00331248"/>
    <w:rsid w:val="003337B4"/>
    <w:rsid w:val="00337420"/>
    <w:rsid w:val="0034233F"/>
    <w:rsid w:val="00344194"/>
    <w:rsid w:val="00344DEF"/>
    <w:rsid w:val="003454DF"/>
    <w:rsid w:val="003467CD"/>
    <w:rsid w:val="00350B16"/>
    <w:rsid w:val="00351DF0"/>
    <w:rsid w:val="00352900"/>
    <w:rsid w:val="00352A6B"/>
    <w:rsid w:val="00353CD6"/>
    <w:rsid w:val="00354B1D"/>
    <w:rsid w:val="003605C7"/>
    <w:rsid w:val="0036411D"/>
    <w:rsid w:val="00364BB9"/>
    <w:rsid w:val="003652A8"/>
    <w:rsid w:val="0036687F"/>
    <w:rsid w:val="00373D15"/>
    <w:rsid w:val="003741C8"/>
    <w:rsid w:val="003754C6"/>
    <w:rsid w:val="0038037D"/>
    <w:rsid w:val="00385DCD"/>
    <w:rsid w:val="0038693A"/>
    <w:rsid w:val="00392814"/>
    <w:rsid w:val="00395010"/>
    <w:rsid w:val="00396E18"/>
    <w:rsid w:val="00397AB4"/>
    <w:rsid w:val="003A07AB"/>
    <w:rsid w:val="003A1836"/>
    <w:rsid w:val="003A30A8"/>
    <w:rsid w:val="003A6A00"/>
    <w:rsid w:val="003A74BD"/>
    <w:rsid w:val="003A78C9"/>
    <w:rsid w:val="003B141C"/>
    <w:rsid w:val="003B3B16"/>
    <w:rsid w:val="003B7051"/>
    <w:rsid w:val="003B7089"/>
    <w:rsid w:val="003B7E0E"/>
    <w:rsid w:val="003C0F7E"/>
    <w:rsid w:val="003C3065"/>
    <w:rsid w:val="003C327D"/>
    <w:rsid w:val="003C3977"/>
    <w:rsid w:val="003C7DF1"/>
    <w:rsid w:val="003D29B8"/>
    <w:rsid w:val="003D3557"/>
    <w:rsid w:val="003D3D32"/>
    <w:rsid w:val="003D46B7"/>
    <w:rsid w:val="003D4DBF"/>
    <w:rsid w:val="003E0676"/>
    <w:rsid w:val="003E1053"/>
    <w:rsid w:val="003E1E08"/>
    <w:rsid w:val="003E2AAA"/>
    <w:rsid w:val="003E4280"/>
    <w:rsid w:val="003E44F3"/>
    <w:rsid w:val="003E685A"/>
    <w:rsid w:val="003E6FA9"/>
    <w:rsid w:val="003E7982"/>
    <w:rsid w:val="003E7A7D"/>
    <w:rsid w:val="003F1822"/>
    <w:rsid w:val="003F2AA5"/>
    <w:rsid w:val="003F2D37"/>
    <w:rsid w:val="003F5ECF"/>
    <w:rsid w:val="003F7E61"/>
    <w:rsid w:val="00406D06"/>
    <w:rsid w:val="00410EF3"/>
    <w:rsid w:val="004170D4"/>
    <w:rsid w:val="00417382"/>
    <w:rsid w:val="00417916"/>
    <w:rsid w:val="00417B1F"/>
    <w:rsid w:val="00420697"/>
    <w:rsid w:val="004221E0"/>
    <w:rsid w:val="004232FC"/>
    <w:rsid w:val="0042482E"/>
    <w:rsid w:val="00432D3E"/>
    <w:rsid w:val="00440DA6"/>
    <w:rsid w:val="00442AAA"/>
    <w:rsid w:val="00446951"/>
    <w:rsid w:val="00447AB8"/>
    <w:rsid w:val="00451644"/>
    <w:rsid w:val="00455130"/>
    <w:rsid w:val="00455783"/>
    <w:rsid w:val="00456430"/>
    <w:rsid w:val="00457721"/>
    <w:rsid w:val="00462A74"/>
    <w:rsid w:val="00467BE6"/>
    <w:rsid w:val="00470DF4"/>
    <w:rsid w:val="00471974"/>
    <w:rsid w:val="004731C1"/>
    <w:rsid w:val="004757EA"/>
    <w:rsid w:val="00475918"/>
    <w:rsid w:val="00475C7C"/>
    <w:rsid w:val="00477654"/>
    <w:rsid w:val="004777DC"/>
    <w:rsid w:val="004778A7"/>
    <w:rsid w:val="004802A5"/>
    <w:rsid w:val="00480905"/>
    <w:rsid w:val="00483676"/>
    <w:rsid w:val="0048531F"/>
    <w:rsid w:val="004876DA"/>
    <w:rsid w:val="00490005"/>
    <w:rsid w:val="00491C56"/>
    <w:rsid w:val="00493891"/>
    <w:rsid w:val="004944C9"/>
    <w:rsid w:val="0049457A"/>
    <w:rsid w:val="004958C6"/>
    <w:rsid w:val="00496886"/>
    <w:rsid w:val="00496E53"/>
    <w:rsid w:val="00497398"/>
    <w:rsid w:val="004974F2"/>
    <w:rsid w:val="00497C9F"/>
    <w:rsid w:val="004A38FE"/>
    <w:rsid w:val="004A4B62"/>
    <w:rsid w:val="004A71D5"/>
    <w:rsid w:val="004B0808"/>
    <w:rsid w:val="004B371C"/>
    <w:rsid w:val="004B51B8"/>
    <w:rsid w:val="004C04F0"/>
    <w:rsid w:val="004C6C22"/>
    <w:rsid w:val="004C7097"/>
    <w:rsid w:val="004D1360"/>
    <w:rsid w:val="004D13FE"/>
    <w:rsid w:val="004D382A"/>
    <w:rsid w:val="004D72E7"/>
    <w:rsid w:val="004D742C"/>
    <w:rsid w:val="004D7B85"/>
    <w:rsid w:val="004E0C33"/>
    <w:rsid w:val="004E19E6"/>
    <w:rsid w:val="004E3787"/>
    <w:rsid w:val="004F04FB"/>
    <w:rsid w:val="004F4455"/>
    <w:rsid w:val="004F6283"/>
    <w:rsid w:val="005001F0"/>
    <w:rsid w:val="00510333"/>
    <w:rsid w:val="00510C9A"/>
    <w:rsid w:val="005112A4"/>
    <w:rsid w:val="0051216C"/>
    <w:rsid w:val="00512BED"/>
    <w:rsid w:val="00515D4C"/>
    <w:rsid w:val="005171B6"/>
    <w:rsid w:val="00517668"/>
    <w:rsid w:val="00523F98"/>
    <w:rsid w:val="0052419A"/>
    <w:rsid w:val="005247CF"/>
    <w:rsid w:val="00525F7B"/>
    <w:rsid w:val="00527978"/>
    <w:rsid w:val="00531399"/>
    <w:rsid w:val="00532680"/>
    <w:rsid w:val="005329DE"/>
    <w:rsid w:val="00540EC8"/>
    <w:rsid w:val="005414FE"/>
    <w:rsid w:val="00542A1C"/>
    <w:rsid w:val="005433A7"/>
    <w:rsid w:val="00543641"/>
    <w:rsid w:val="00543754"/>
    <w:rsid w:val="005440E7"/>
    <w:rsid w:val="00544C87"/>
    <w:rsid w:val="00545CA2"/>
    <w:rsid w:val="005503CF"/>
    <w:rsid w:val="00550E9D"/>
    <w:rsid w:val="00550EC9"/>
    <w:rsid w:val="00551E2D"/>
    <w:rsid w:val="00551E40"/>
    <w:rsid w:val="00552B25"/>
    <w:rsid w:val="005537F9"/>
    <w:rsid w:val="005546FE"/>
    <w:rsid w:val="00555426"/>
    <w:rsid w:val="00555571"/>
    <w:rsid w:val="00555B83"/>
    <w:rsid w:val="00556881"/>
    <w:rsid w:val="00557CCA"/>
    <w:rsid w:val="00562923"/>
    <w:rsid w:val="0056375B"/>
    <w:rsid w:val="00563A5D"/>
    <w:rsid w:val="005646BB"/>
    <w:rsid w:val="00565EF0"/>
    <w:rsid w:val="0056654C"/>
    <w:rsid w:val="00566A62"/>
    <w:rsid w:val="00571D8D"/>
    <w:rsid w:val="00572D6B"/>
    <w:rsid w:val="0057321E"/>
    <w:rsid w:val="00573A21"/>
    <w:rsid w:val="00574392"/>
    <w:rsid w:val="00575A3B"/>
    <w:rsid w:val="0057607C"/>
    <w:rsid w:val="005760DE"/>
    <w:rsid w:val="00577CDE"/>
    <w:rsid w:val="005814B3"/>
    <w:rsid w:val="00581CBA"/>
    <w:rsid w:val="00583D11"/>
    <w:rsid w:val="00587E80"/>
    <w:rsid w:val="00591ED8"/>
    <w:rsid w:val="00594657"/>
    <w:rsid w:val="0059706D"/>
    <w:rsid w:val="005977BA"/>
    <w:rsid w:val="005A001A"/>
    <w:rsid w:val="005A2A3E"/>
    <w:rsid w:val="005A319E"/>
    <w:rsid w:val="005A65CC"/>
    <w:rsid w:val="005A66F3"/>
    <w:rsid w:val="005A7551"/>
    <w:rsid w:val="005A7778"/>
    <w:rsid w:val="005B0092"/>
    <w:rsid w:val="005B7093"/>
    <w:rsid w:val="005B7AAD"/>
    <w:rsid w:val="005C0254"/>
    <w:rsid w:val="005C38C7"/>
    <w:rsid w:val="005C72D2"/>
    <w:rsid w:val="005D2658"/>
    <w:rsid w:val="005D3CA2"/>
    <w:rsid w:val="005D5092"/>
    <w:rsid w:val="005D527B"/>
    <w:rsid w:val="005D71D2"/>
    <w:rsid w:val="005D7E7E"/>
    <w:rsid w:val="005E28B2"/>
    <w:rsid w:val="005E362F"/>
    <w:rsid w:val="005E3B25"/>
    <w:rsid w:val="005E590C"/>
    <w:rsid w:val="005E603D"/>
    <w:rsid w:val="005E65D7"/>
    <w:rsid w:val="005E7566"/>
    <w:rsid w:val="005F0281"/>
    <w:rsid w:val="005F0296"/>
    <w:rsid w:val="005F14FE"/>
    <w:rsid w:val="005F6422"/>
    <w:rsid w:val="005F68B4"/>
    <w:rsid w:val="005F6B28"/>
    <w:rsid w:val="0060104B"/>
    <w:rsid w:val="0060125E"/>
    <w:rsid w:val="00602223"/>
    <w:rsid w:val="00603492"/>
    <w:rsid w:val="0060511C"/>
    <w:rsid w:val="00606381"/>
    <w:rsid w:val="006071B1"/>
    <w:rsid w:val="00610766"/>
    <w:rsid w:val="006114A8"/>
    <w:rsid w:val="00614CB3"/>
    <w:rsid w:val="00616B67"/>
    <w:rsid w:val="00620BEA"/>
    <w:rsid w:val="00622D0E"/>
    <w:rsid w:val="00624299"/>
    <w:rsid w:val="006263A2"/>
    <w:rsid w:val="006309FA"/>
    <w:rsid w:val="0063205F"/>
    <w:rsid w:val="006322F6"/>
    <w:rsid w:val="00633731"/>
    <w:rsid w:val="00637E65"/>
    <w:rsid w:val="00637F9C"/>
    <w:rsid w:val="006424CB"/>
    <w:rsid w:val="00645487"/>
    <w:rsid w:val="00650F49"/>
    <w:rsid w:val="00651D0C"/>
    <w:rsid w:val="00653AFF"/>
    <w:rsid w:val="006569B6"/>
    <w:rsid w:val="00660FC8"/>
    <w:rsid w:val="00662806"/>
    <w:rsid w:val="00662E25"/>
    <w:rsid w:val="006744B9"/>
    <w:rsid w:val="0067494C"/>
    <w:rsid w:val="00676F5A"/>
    <w:rsid w:val="00677985"/>
    <w:rsid w:val="00686969"/>
    <w:rsid w:val="00690470"/>
    <w:rsid w:val="006904C3"/>
    <w:rsid w:val="00690539"/>
    <w:rsid w:val="00690ADA"/>
    <w:rsid w:val="0069265F"/>
    <w:rsid w:val="00694C73"/>
    <w:rsid w:val="00697321"/>
    <w:rsid w:val="006A0C36"/>
    <w:rsid w:val="006A11ED"/>
    <w:rsid w:val="006A204D"/>
    <w:rsid w:val="006A2F22"/>
    <w:rsid w:val="006A3163"/>
    <w:rsid w:val="006A619F"/>
    <w:rsid w:val="006A6E14"/>
    <w:rsid w:val="006B03CB"/>
    <w:rsid w:val="006B16E3"/>
    <w:rsid w:val="006B28E9"/>
    <w:rsid w:val="006B5992"/>
    <w:rsid w:val="006C062B"/>
    <w:rsid w:val="006C125E"/>
    <w:rsid w:val="006C1676"/>
    <w:rsid w:val="006C1EB5"/>
    <w:rsid w:val="006C311C"/>
    <w:rsid w:val="006C388F"/>
    <w:rsid w:val="006C3EE7"/>
    <w:rsid w:val="006C4CA5"/>
    <w:rsid w:val="006C5AAD"/>
    <w:rsid w:val="006C678F"/>
    <w:rsid w:val="006C70F5"/>
    <w:rsid w:val="006C71CB"/>
    <w:rsid w:val="006C74C5"/>
    <w:rsid w:val="006D0410"/>
    <w:rsid w:val="006D1105"/>
    <w:rsid w:val="006D3EA0"/>
    <w:rsid w:val="006D7E22"/>
    <w:rsid w:val="006E1CE6"/>
    <w:rsid w:val="006E2E11"/>
    <w:rsid w:val="006E3328"/>
    <w:rsid w:val="006E4494"/>
    <w:rsid w:val="006E647D"/>
    <w:rsid w:val="006E7031"/>
    <w:rsid w:val="006E77C1"/>
    <w:rsid w:val="006F5C9A"/>
    <w:rsid w:val="006F5FD3"/>
    <w:rsid w:val="006F704C"/>
    <w:rsid w:val="006F708B"/>
    <w:rsid w:val="006F7AE8"/>
    <w:rsid w:val="00700710"/>
    <w:rsid w:val="0070182E"/>
    <w:rsid w:val="007067A4"/>
    <w:rsid w:val="00707830"/>
    <w:rsid w:val="00710B95"/>
    <w:rsid w:val="00711AC7"/>
    <w:rsid w:val="00713B18"/>
    <w:rsid w:val="007153E3"/>
    <w:rsid w:val="00716434"/>
    <w:rsid w:val="00716CC6"/>
    <w:rsid w:val="00717026"/>
    <w:rsid w:val="007207CA"/>
    <w:rsid w:val="00720D07"/>
    <w:rsid w:val="0072587F"/>
    <w:rsid w:val="007270BC"/>
    <w:rsid w:val="00730900"/>
    <w:rsid w:val="007312C2"/>
    <w:rsid w:val="00732130"/>
    <w:rsid w:val="0073299F"/>
    <w:rsid w:val="00733A91"/>
    <w:rsid w:val="0074081E"/>
    <w:rsid w:val="0074315E"/>
    <w:rsid w:val="00745756"/>
    <w:rsid w:val="007475D1"/>
    <w:rsid w:val="007518E6"/>
    <w:rsid w:val="00752D3B"/>
    <w:rsid w:val="00753293"/>
    <w:rsid w:val="00753B0F"/>
    <w:rsid w:val="00757AD5"/>
    <w:rsid w:val="00757FC1"/>
    <w:rsid w:val="00761841"/>
    <w:rsid w:val="00766554"/>
    <w:rsid w:val="00767221"/>
    <w:rsid w:val="00767C27"/>
    <w:rsid w:val="00772113"/>
    <w:rsid w:val="00773023"/>
    <w:rsid w:val="0077349C"/>
    <w:rsid w:val="007737C9"/>
    <w:rsid w:val="0077507D"/>
    <w:rsid w:val="00775596"/>
    <w:rsid w:val="0077616C"/>
    <w:rsid w:val="007814D0"/>
    <w:rsid w:val="007816C2"/>
    <w:rsid w:val="00782437"/>
    <w:rsid w:val="00784D93"/>
    <w:rsid w:val="00785630"/>
    <w:rsid w:val="00785BA5"/>
    <w:rsid w:val="0078625F"/>
    <w:rsid w:val="00796C83"/>
    <w:rsid w:val="007A0CD4"/>
    <w:rsid w:val="007A17EC"/>
    <w:rsid w:val="007A4C3E"/>
    <w:rsid w:val="007A5613"/>
    <w:rsid w:val="007A5C7F"/>
    <w:rsid w:val="007A5E91"/>
    <w:rsid w:val="007A605E"/>
    <w:rsid w:val="007B17EA"/>
    <w:rsid w:val="007B1A0A"/>
    <w:rsid w:val="007B3EC2"/>
    <w:rsid w:val="007B41EE"/>
    <w:rsid w:val="007B62B9"/>
    <w:rsid w:val="007B6EA5"/>
    <w:rsid w:val="007C0AD7"/>
    <w:rsid w:val="007C0C06"/>
    <w:rsid w:val="007C44D6"/>
    <w:rsid w:val="007C5F06"/>
    <w:rsid w:val="007C72AE"/>
    <w:rsid w:val="007C7508"/>
    <w:rsid w:val="007D1035"/>
    <w:rsid w:val="007D165E"/>
    <w:rsid w:val="007D4365"/>
    <w:rsid w:val="007D506A"/>
    <w:rsid w:val="007E0E55"/>
    <w:rsid w:val="007E192E"/>
    <w:rsid w:val="007E2155"/>
    <w:rsid w:val="007E2D76"/>
    <w:rsid w:val="007E55BC"/>
    <w:rsid w:val="007E56FB"/>
    <w:rsid w:val="007E5C55"/>
    <w:rsid w:val="007E5DE4"/>
    <w:rsid w:val="007E6F58"/>
    <w:rsid w:val="007E75DC"/>
    <w:rsid w:val="007F1782"/>
    <w:rsid w:val="007F39B6"/>
    <w:rsid w:val="008019B9"/>
    <w:rsid w:val="00801EC2"/>
    <w:rsid w:val="00804018"/>
    <w:rsid w:val="00804C8B"/>
    <w:rsid w:val="008063D4"/>
    <w:rsid w:val="00806B0D"/>
    <w:rsid w:val="00806ECD"/>
    <w:rsid w:val="008070E2"/>
    <w:rsid w:val="00810B5C"/>
    <w:rsid w:val="0081313C"/>
    <w:rsid w:val="00814DCA"/>
    <w:rsid w:val="00817369"/>
    <w:rsid w:val="00817ED3"/>
    <w:rsid w:val="00820157"/>
    <w:rsid w:val="008253C1"/>
    <w:rsid w:val="0082571B"/>
    <w:rsid w:val="00825B02"/>
    <w:rsid w:val="00834A15"/>
    <w:rsid w:val="00836E80"/>
    <w:rsid w:val="00845BE3"/>
    <w:rsid w:val="0084615A"/>
    <w:rsid w:val="0084636E"/>
    <w:rsid w:val="00847548"/>
    <w:rsid w:val="00850D68"/>
    <w:rsid w:val="00855F67"/>
    <w:rsid w:val="008561F9"/>
    <w:rsid w:val="00863719"/>
    <w:rsid w:val="008651FF"/>
    <w:rsid w:val="00865539"/>
    <w:rsid w:val="0086573E"/>
    <w:rsid w:val="008671A3"/>
    <w:rsid w:val="00870548"/>
    <w:rsid w:val="00871989"/>
    <w:rsid w:val="00871B0F"/>
    <w:rsid w:val="008727F1"/>
    <w:rsid w:val="00872980"/>
    <w:rsid w:val="00873E99"/>
    <w:rsid w:val="00875562"/>
    <w:rsid w:val="00875B41"/>
    <w:rsid w:val="00880B5D"/>
    <w:rsid w:val="00880DE7"/>
    <w:rsid w:val="0088160D"/>
    <w:rsid w:val="00883799"/>
    <w:rsid w:val="00885FA6"/>
    <w:rsid w:val="00887E3C"/>
    <w:rsid w:val="008902D0"/>
    <w:rsid w:val="008905C2"/>
    <w:rsid w:val="00890706"/>
    <w:rsid w:val="00891520"/>
    <w:rsid w:val="008920CD"/>
    <w:rsid w:val="00892190"/>
    <w:rsid w:val="0089374E"/>
    <w:rsid w:val="00893926"/>
    <w:rsid w:val="00893992"/>
    <w:rsid w:val="008974A2"/>
    <w:rsid w:val="00897716"/>
    <w:rsid w:val="008A271A"/>
    <w:rsid w:val="008A7B11"/>
    <w:rsid w:val="008B0BEF"/>
    <w:rsid w:val="008B1C5E"/>
    <w:rsid w:val="008B1C6D"/>
    <w:rsid w:val="008B42A7"/>
    <w:rsid w:val="008B71E6"/>
    <w:rsid w:val="008C258A"/>
    <w:rsid w:val="008C4580"/>
    <w:rsid w:val="008C5DFA"/>
    <w:rsid w:val="008D0014"/>
    <w:rsid w:val="008D08A5"/>
    <w:rsid w:val="008D0F47"/>
    <w:rsid w:val="008D13F6"/>
    <w:rsid w:val="008D2C43"/>
    <w:rsid w:val="008D3966"/>
    <w:rsid w:val="008D3CB3"/>
    <w:rsid w:val="008D552C"/>
    <w:rsid w:val="008D6167"/>
    <w:rsid w:val="008D7A29"/>
    <w:rsid w:val="008E07EB"/>
    <w:rsid w:val="008E2019"/>
    <w:rsid w:val="008E30C3"/>
    <w:rsid w:val="008E463B"/>
    <w:rsid w:val="008E4D0A"/>
    <w:rsid w:val="008E5168"/>
    <w:rsid w:val="008E6343"/>
    <w:rsid w:val="008E7470"/>
    <w:rsid w:val="008F0034"/>
    <w:rsid w:val="008F265B"/>
    <w:rsid w:val="008F4AAB"/>
    <w:rsid w:val="008F662D"/>
    <w:rsid w:val="008F677D"/>
    <w:rsid w:val="00904688"/>
    <w:rsid w:val="0090672F"/>
    <w:rsid w:val="00911BAB"/>
    <w:rsid w:val="00915429"/>
    <w:rsid w:val="0091655F"/>
    <w:rsid w:val="009168F3"/>
    <w:rsid w:val="009201B0"/>
    <w:rsid w:val="00924523"/>
    <w:rsid w:val="00925ED9"/>
    <w:rsid w:val="00927613"/>
    <w:rsid w:val="00931D84"/>
    <w:rsid w:val="00931E67"/>
    <w:rsid w:val="00932074"/>
    <w:rsid w:val="00932E65"/>
    <w:rsid w:val="0093346D"/>
    <w:rsid w:val="00933BB6"/>
    <w:rsid w:val="009344E7"/>
    <w:rsid w:val="00935F90"/>
    <w:rsid w:val="00936E02"/>
    <w:rsid w:val="00941EB4"/>
    <w:rsid w:val="0094365D"/>
    <w:rsid w:val="00943D99"/>
    <w:rsid w:val="009465C8"/>
    <w:rsid w:val="009540C9"/>
    <w:rsid w:val="00955BB7"/>
    <w:rsid w:val="00961450"/>
    <w:rsid w:val="00961BBC"/>
    <w:rsid w:val="00961C68"/>
    <w:rsid w:val="009626B8"/>
    <w:rsid w:val="00963FD6"/>
    <w:rsid w:val="00970943"/>
    <w:rsid w:val="00973FF7"/>
    <w:rsid w:val="00976B9C"/>
    <w:rsid w:val="009777ED"/>
    <w:rsid w:val="00977D42"/>
    <w:rsid w:val="009821E4"/>
    <w:rsid w:val="00982240"/>
    <w:rsid w:val="0098360C"/>
    <w:rsid w:val="00983B1F"/>
    <w:rsid w:val="009845D6"/>
    <w:rsid w:val="00984C1C"/>
    <w:rsid w:val="009851F3"/>
    <w:rsid w:val="00986D95"/>
    <w:rsid w:val="00987B73"/>
    <w:rsid w:val="00991639"/>
    <w:rsid w:val="009964BD"/>
    <w:rsid w:val="009A11C5"/>
    <w:rsid w:val="009A27C1"/>
    <w:rsid w:val="009B23F7"/>
    <w:rsid w:val="009B4146"/>
    <w:rsid w:val="009B43ED"/>
    <w:rsid w:val="009C0565"/>
    <w:rsid w:val="009C2412"/>
    <w:rsid w:val="009C289D"/>
    <w:rsid w:val="009C4094"/>
    <w:rsid w:val="009C4F5E"/>
    <w:rsid w:val="009C6641"/>
    <w:rsid w:val="009C7085"/>
    <w:rsid w:val="009D0423"/>
    <w:rsid w:val="009D17A9"/>
    <w:rsid w:val="009D69D6"/>
    <w:rsid w:val="009E039C"/>
    <w:rsid w:val="009E0514"/>
    <w:rsid w:val="009E12F6"/>
    <w:rsid w:val="009E1E35"/>
    <w:rsid w:val="009E71C7"/>
    <w:rsid w:val="009F0570"/>
    <w:rsid w:val="009F1E3C"/>
    <w:rsid w:val="009F379C"/>
    <w:rsid w:val="009F6DB0"/>
    <w:rsid w:val="009F6FBF"/>
    <w:rsid w:val="009F7763"/>
    <w:rsid w:val="00A0181A"/>
    <w:rsid w:val="00A01CE1"/>
    <w:rsid w:val="00A02AD3"/>
    <w:rsid w:val="00A03C36"/>
    <w:rsid w:val="00A04865"/>
    <w:rsid w:val="00A05444"/>
    <w:rsid w:val="00A06661"/>
    <w:rsid w:val="00A104AA"/>
    <w:rsid w:val="00A12628"/>
    <w:rsid w:val="00A12AB9"/>
    <w:rsid w:val="00A13C0B"/>
    <w:rsid w:val="00A14142"/>
    <w:rsid w:val="00A157AF"/>
    <w:rsid w:val="00A21CA7"/>
    <w:rsid w:val="00A26EC2"/>
    <w:rsid w:val="00A2729E"/>
    <w:rsid w:val="00A3290B"/>
    <w:rsid w:val="00A34D2A"/>
    <w:rsid w:val="00A35D9F"/>
    <w:rsid w:val="00A37D68"/>
    <w:rsid w:val="00A40E10"/>
    <w:rsid w:val="00A40F9C"/>
    <w:rsid w:val="00A437D3"/>
    <w:rsid w:val="00A4567C"/>
    <w:rsid w:val="00A45AA0"/>
    <w:rsid w:val="00A4758B"/>
    <w:rsid w:val="00A478A7"/>
    <w:rsid w:val="00A47A04"/>
    <w:rsid w:val="00A50434"/>
    <w:rsid w:val="00A50C1B"/>
    <w:rsid w:val="00A554A0"/>
    <w:rsid w:val="00A55B2B"/>
    <w:rsid w:val="00A5631E"/>
    <w:rsid w:val="00A56CCD"/>
    <w:rsid w:val="00A612B7"/>
    <w:rsid w:val="00A6201B"/>
    <w:rsid w:val="00A64BC9"/>
    <w:rsid w:val="00A65B84"/>
    <w:rsid w:val="00A66194"/>
    <w:rsid w:val="00A66527"/>
    <w:rsid w:val="00A6751A"/>
    <w:rsid w:val="00A67F68"/>
    <w:rsid w:val="00A71A01"/>
    <w:rsid w:val="00A72ACE"/>
    <w:rsid w:val="00A76B9A"/>
    <w:rsid w:val="00A775C2"/>
    <w:rsid w:val="00A77740"/>
    <w:rsid w:val="00A77DCB"/>
    <w:rsid w:val="00A77FC5"/>
    <w:rsid w:val="00A804AC"/>
    <w:rsid w:val="00A8219C"/>
    <w:rsid w:val="00A83B02"/>
    <w:rsid w:val="00A85E10"/>
    <w:rsid w:val="00A9140E"/>
    <w:rsid w:val="00A9192F"/>
    <w:rsid w:val="00A91EB3"/>
    <w:rsid w:val="00A941DF"/>
    <w:rsid w:val="00A94C2A"/>
    <w:rsid w:val="00A955D8"/>
    <w:rsid w:val="00A95A36"/>
    <w:rsid w:val="00A96DBF"/>
    <w:rsid w:val="00A97467"/>
    <w:rsid w:val="00AA0DCD"/>
    <w:rsid w:val="00AA2EED"/>
    <w:rsid w:val="00AA5050"/>
    <w:rsid w:val="00AA55DF"/>
    <w:rsid w:val="00AA5F6B"/>
    <w:rsid w:val="00AA6E47"/>
    <w:rsid w:val="00AB027F"/>
    <w:rsid w:val="00AB0C0A"/>
    <w:rsid w:val="00AB1122"/>
    <w:rsid w:val="00AB13A3"/>
    <w:rsid w:val="00AB2682"/>
    <w:rsid w:val="00AB7843"/>
    <w:rsid w:val="00AC13F9"/>
    <w:rsid w:val="00AC2EC5"/>
    <w:rsid w:val="00AC3D37"/>
    <w:rsid w:val="00AC5954"/>
    <w:rsid w:val="00AC5BA0"/>
    <w:rsid w:val="00AD078A"/>
    <w:rsid w:val="00AD1C6E"/>
    <w:rsid w:val="00AD3A6B"/>
    <w:rsid w:val="00AD4D09"/>
    <w:rsid w:val="00AD5DA9"/>
    <w:rsid w:val="00AD6040"/>
    <w:rsid w:val="00AD6D69"/>
    <w:rsid w:val="00AE224F"/>
    <w:rsid w:val="00AE3253"/>
    <w:rsid w:val="00AE6C2B"/>
    <w:rsid w:val="00AF1263"/>
    <w:rsid w:val="00AF4A14"/>
    <w:rsid w:val="00AF5416"/>
    <w:rsid w:val="00AF76C5"/>
    <w:rsid w:val="00B0200A"/>
    <w:rsid w:val="00B02B78"/>
    <w:rsid w:val="00B036CA"/>
    <w:rsid w:val="00B03F28"/>
    <w:rsid w:val="00B11638"/>
    <w:rsid w:val="00B13350"/>
    <w:rsid w:val="00B14E9E"/>
    <w:rsid w:val="00B178FD"/>
    <w:rsid w:val="00B202E0"/>
    <w:rsid w:val="00B22D8D"/>
    <w:rsid w:val="00B2576A"/>
    <w:rsid w:val="00B25AC8"/>
    <w:rsid w:val="00B26B7F"/>
    <w:rsid w:val="00B31930"/>
    <w:rsid w:val="00B32D39"/>
    <w:rsid w:val="00B32D3B"/>
    <w:rsid w:val="00B3342D"/>
    <w:rsid w:val="00B346A4"/>
    <w:rsid w:val="00B37551"/>
    <w:rsid w:val="00B416AF"/>
    <w:rsid w:val="00B43358"/>
    <w:rsid w:val="00B4348F"/>
    <w:rsid w:val="00B44ABB"/>
    <w:rsid w:val="00B44C87"/>
    <w:rsid w:val="00B44E58"/>
    <w:rsid w:val="00B46BB8"/>
    <w:rsid w:val="00B47F51"/>
    <w:rsid w:val="00B50FE0"/>
    <w:rsid w:val="00B532B6"/>
    <w:rsid w:val="00B53D9A"/>
    <w:rsid w:val="00B55663"/>
    <w:rsid w:val="00B557E4"/>
    <w:rsid w:val="00B579E7"/>
    <w:rsid w:val="00B57B83"/>
    <w:rsid w:val="00B628B5"/>
    <w:rsid w:val="00B63218"/>
    <w:rsid w:val="00B659AA"/>
    <w:rsid w:val="00B66725"/>
    <w:rsid w:val="00B708BB"/>
    <w:rsid w:val="00B7119F"/>
    <w:rsid w:val="00B73355"/>
    <w:rsid w:val="00B7361F"/>
    <w:rsid w:val="00B74DEB"/>
    <w:rsid w:val="00B75F05"/>
    <w:rsid w:val="00B80638"/>
    <w:rsid w:val="00B80EA1"/>
    <w:rsid w:val="00B83192"/>
    <w:rsid w:val="00B83C85"/>
    <w:rsid w:val="00B84336"/>
    <w:rsid w:val="00B8534B"/>
    <w:rsid w:val="00B8641F"/>
    <w:rsid w:val="00B8749A"/>
    <w:rsid w:val="00B90CC9"/>
    <w:rsid w:val="00B92214"/>
    <w:rsid w:val="00B94FDA"/>
    <w:rsid w:val="00B967B3"/>
    <w:rsid w:val="00B974FC"/>
    <w:rsid w:val="00BA084D"/>
    <w:rsid w:val="00BA156D"/>
    <w:rsid w:val="00BA368E"/>
    <w:rsid w:val="00BA527D"/>
    <w:rsid w:val="00BA5444"/>
    <w:rsid w:val="00BA6E6D"/>
    <w:rsid w:val="00BB05B1"/>
    <w:rsid w:val="00BB0C8C"/>
    <w:rsid w:val="00BB1960"/>
    <w:rsid w:val="00BB2A3C"/>
    <w:rsid w:val="00BB2C19"/>
    <w:rsid w:val="00BB4F21"/>
    <w:rsid w:val="00BB64E9"/>
    <w:rsid w:val="00BC249A"/>
    <w:rsid w:val="00BC24F7"/>
    <w:rsid w:val="00BC296F"/>
    <w:rsid w:val="00BC40F3"/>
    <w:rsid w:val="00BC42B3"/>
    <w:rsid w:val="00BC572F"/>
    <w:rsid w:val="00BC5C18"/>
    <w:rsid w:val="00BC689A"/>
    <w:rsid w:val="00BD07AC"/>
    <w:rsid w:val="00BD0E90"/>
    <w:rsid w:val="00BD572F"/>
    <w:rsid w:val="00BE216A"/>
    <w:rsid w:val="00BE4506"/>
    <w:rsid w:val="00BE487B"/>
    <w:rsid w:val="00BE4EC2"/>
    <w:rsid w:val="00BE59C7"/>
    <w:rsid w:val="00BF187D"/>
    <w:rsid w:val="00BF276E"/>
    <w:rsid w:val="00BF443E"/>
    <w:rsid w:val="00BF4A30"/>
    <w:rsid w:val="00BF65B1"/>
    <w:rsid w:val="00BF727D"/>
    <w:rsid w:val="00C01579"/>
    <w:rsid w:val="00C02200"/>
    <w:rsid w:val="00C03308"/>
    <w:rsid w:val="00C059F3"/>
    <w:rsid w:val="00C06E8E"/>
    <w:rsid w:val="00C07BCE"/>
    <w:rsid w:val="00C100EA"/>
    <w:rsid w:val="00C11920"/>
    <w:rsid w:val="00C11BD7"/>
    <w:rsid w:val="00C13127"/>
    <w:rsid w:val="00C16464"/>
    <w:rsid w:val="00C2054A"/>
    <w:rsid w:val="00C20794"/>
    <w:rsid w:val="00C235EE"/>
    <w:rsid w:val="00C23E0C"/>
    <w:rsid w:val="00C31CC3"/>
    <w:rsid w:val="00C329BE"/>
    <w:rsid w:val="00C34471"/>
    <w:rsid w:val="00C35C3A"/>
    <w:rsid w:val="00C3737F"/>
    <w:rsid w:val="00C42CB6"/>
    <w:rsid w:val="00C435F7"/>
    <w:rsid w:val="00C43706"/>
    <w:rsid w:val="00C455B7"/>
    <w:rsid w:val="00C46D01"/>
    <w:rsid w:val="00C47BFF"/>
    <w:rsid w:val="00C47F5F"/>
    <w:rsid w:val="00C47FF8"/>
    <w:rsid w:val="00C52943"/>
    <w:rsid w:val="00C543FE"/>
    <w:rsid w:val="00C5458F"/>
    <w:rsid w:val="00C550E3"/>
    <w:rsid w:val="00C559FE"/>
    <w:rsid w:val="00C5672B"/>
    <w:rsid w:val="00C56944"/>
    <w:rsid w:val="00C607D0"/>
    <w:rsid w:val="00C61D8F"/>
    <w:rsid w:val="00C627EF"/>
    <w:rsid w:val="00C66A64"/>
    <w:rsid w:val="00C70F0E"/>
    <w:rsid w:val="00C7108E"/>
    <w:rsid w:val="00C76061"/>
    <w:rsid w:val="00C7717C"/>
    <w:rsid w:val="00C771D1"/>
    <w:rsid w:val="00C77532"/>
    <w:rsid w:val="00C82D28"/>
    <w:rsid w:val="00C83C01"/>
    <w:rsid w:val="00C83F91"/>
    <w:rsid w:val="00C85E05"/>
    <w:rsid w:val="00C86371"/>
    <w:rsid w:val="00C8758E"/>
    <w:rsid w:val="00C90FC0"/>
    <w:rsid w:val="00C90FF8"/>
    <w:rsid w:val="00C91390"/>
    <w:rsid w:val="00C914A0"/>
    <w:rsid w:val="00C9175D"/>
    <w:rsid w:val="00C917DF"/>
    <w:rsid w:val="00C932CC"/>
    <w:rsid w:val="00C94788"/>
    <w:rsid w:val="00C9638A"/>
    <w:rsid w:val="00C964D0"/>
    <w:rsid w:val="00C96614"/>
    <w:rsid w:val="00C96A22"/>
    <w:rsid w:val="00CA0AD4"/>
    <w:rsid w:val="00CA2529"/>
    <w:rsid w:val="00CA2A90"/>
    <w:rsid w:val="00CA469D"/>
    <w:rsid w:val="00CA6300"/>
    <w:rsid w:val="00CA6E6A"/>
    <w:rsid w:val="00CA7432"/>
    <w:rsid w:val="00CB2749"/>
    <w:rsid w:val="00CB2A0A"/>
    <w:rsid w:val="00CB533A"/>
    <w:rsid w:val="00CB54D6"/>
    <w:rsid w:val="00CB615D"/>
    <w:rsid w:val="00CB6292"/>
    <w:rsid w:val="00CB6D31"/>
    <w:rsid w:val="00CC27B3"/>
    <w:rsid w:val="00CC39AB"/>
    <w:rsid w:val="00CD0979"/>
    <w:rsid w:val="00CD2A49"/>
    <w:rsid w:val="00CD4B9B"/>
    <w:rsid w:val="00CD7BDE"/>
    <w:rsid w:val="00CE5B1C"/>
    <w:rsid w:val="00CE7C1D"/>
    <w:rsid w:val="00CF04EC"/>
    <w:rsid w:val="00CF3DF5"/>
    <w:rsid w:val="00CF418F"/>
    <w:rsid w:val="00D00EB8"/>
    <w:rsid w:val="00D02234"/>
    <w:rsid w:val="00D03344"/>
    <w:rsid w:val="00D04E16"/>
    <w:rsid w:val="00D065DB"/>
    <w:rsid w:val="00D07454"/>
    <w:rsid w:val="00D07B01"/>
    <w:rsid w:val="00D12B4F"/>
    <w:rsid w:val="00D13A37"/>
    <w:rsid w:val="00D16971"/>
    <w:rsid w:val="00D17195"/>
    <w:rsid w:val="00D20670"/>
    <w:rsid w:val="00D24C33"/>
    <w:rsid w:val="00D26845"/>
    <w:rsid w:val="00D304FD"/>
    <w:rsid w:val="00D31C6C"/>
    <w:rsid w:val="00D32398"/>
    <w:rsid w:val="00D327BE"/>
    <w:rsid w:val="00D33C06"/>
    <w:rsid w:val="00D35C8A"/>
    <w:rsid w:val="00D3655D"/>
    <w:rsid w:val="00D447F6"/>
    <w:rsid w:val="00D46540"/>
    <w:rsid w:val="00D47411"/>
    <w:rsid w:val="00D47DD6"/>
    <w:rsid w:val="00D51271"/>
    <w:rsid w:val="00D53160"/>
    <w:rsid w:val="00D534BF"/>
    <w:rsid w:val="00D61FC5"/>
    <w:rsid w:val="00D624C0"/>
    <w:rsid w:val="00D64710"/>
    <w:rsid w:val="00D66117"/>
    <w:rsid w:val="00D66250"/>
    <w:rsid w:val="00D67970"/>
    <w:rsid w:val="00D71AC4"/>
    <w:rsid w:val="00D71BE0"/>
    <w:rsid w:val="00D72B10"/>
    <w:rsid w:val="00D73782"/>
    <w:rsid w:val="00D73D01"/>
    <w:rsid w:val="00D761D1"/>
    <w:rsid w:val="00D7672C"/>
    <w:rsid w:val="00D76F21"/>
    <w:rsid w:val="00D80CC7"/>
    <w:rsid w:val="00D867CB"/>
    <w:rsid w:val="00D92029"/>
    <w:rsid w:val="00D92065"/>
    <w:rsid w:val="00D923A3"/>
    <w:rsid w:val="00D93309"/>
    <w:rsid w:val="00D93E29"/>
    <w:rsid w:val="00D95B34"/>
    <w:rsid w:val="00D96F7F"/>
    <w:rsid w:val="00D9727E"/>
    <w:rsid w:val="00D97C1B"/>
    <w:rsid w:val="00DA0A52"/>
    <w:rsid w:val="00DA1970"/>
    <w:rsid w:val="00DA3DF1"/>
    <w:rsid w:val="00DA4345"/>
    <w:rsid w:val="00DA63BF"/>
    <w:rsid w:val="00DA6C04"/>
    <w:rsid w:val="00DB2A24"/>
    <w:rsid w:val="00DB3BEA"/>
    <w:rsid w:val="00DB5949"/>
    <w:rsid w:val="00DB5C3A"/>
    <w:rsid w:val="00DC141E"/>
    <w:rsid w:val="00DC154A"/>
    <w:rsid w:val="00DC355E"/>
    <w:rsid w:val="00DC4DF5"/>
    <w:rsid w:val="00DC5F58"/>
    <w:rsid w:val="00DC6783"/>
    <w:rsid w:val="00DD03D3"/>
    <w:rsid w:val="00DD5D9B"/>
    <w:rsid w:val="00DD6457"/>
    <w:rsid w:val="00DD67E3"/>
    <w:rsid w:val="00DD6C26"/>
    <w:rsid w:val="00DD7927"/>
    <w:rsid w:val="00DE266F"/>
    <w:rsid w:val="00DE388E"/>
    <w:rsid w:val="00DE4A6A"/>
    <w:rsid w:val="00DE618E"/>
    <w:rsid w:val="00DF1EDF"/>
    <w:rsid w:val="00DF3D7B"/>
    <w:rsid w:val="00DF53D7"/>
    <w:rsid w:val="00DF57C4"/>
    <w:rsid w:val="00DF6BE8"/>
    <w:rsid w:val="00DF7235"/>
    <w:rsid w:val="00E00425"/>
    <w:rsid w:val="00E029F3"/>
    <w:rsid w:val="00E056B1"/>
    <w:rsid w:val="00E05DF0"/>
    <w:rsid w:val="00E072DB"/>
    <w:rsid w:val="00E077DE"/>
    <w:rsid w:val="00E11FB4"/>
    <w:rsid w:val="00E13963"/>
    <w:rsid w:val="00E13C2D"/>
    <w:rsid w:val="00E1712F"/>
    <w:rsid w:val="00E17A45"/>
    <w:rsid w:val="00E219CE"/>
    <w:rsid w:val="00E21BAB"/>
    <w:rsid w:val="00E23162"/>
    <w:rsid w:val="00E24279"/>
    <w:rsid w:val="00E27C80"/>
    <w:rsid w:val="00E33CC2"/>
    <w:rsid w:val="00E4370C"/>
    <w:rsid w:val="00E4490C"/>
    <w:rsid w:val="00E4570E"/>
    <w:rsid w:val="00E46483"/>
    <w:rsid w:val="00E5025B"/>
    <w:rsid w:val="00E50666"/>
    <w:rsid w:val="00E522D4"/>
    <w:rsid w:val="00E5299A"/>
    <w:rsid w:val="00E546EC"/>
    <w:rsid w:val="00E5517C"/>
    <w:rsid w:val="00E5735E"/>
    <w:rsid w:val="00E60918"/>
    <w:rsid w:val="00E60E16"/>
    <w:rsid w:val="00E60FE0"/>
    <w:rsid w:val="00E63818"/>
    <w:rsid w:val="00E64715"/>
    <w:rsid w:val="00E673EB"/>
    <w:rsid w:val="00E67C5E"/>
    <w:rsid w:val="00E73030"/>
    <w:rsid w:val="00E73B81"/>
    <w:rsid w:val="00E73E52"/>
    <w:rsid w:val="00E75DEF"/>
    <w:rsid w:val="00E7609B"/>
    <w:rsid w:val="00E76A8E"/>
    <w:rsid w:val="00E77723"/>
    <w:rsid w:val="00E77934"/>
    <w:rsid w:val="00E77CF3"/>
    <w:rsid w:val="00E809EF"/>
    <w:rsid w:val="00E83309"/>
    <w:rsid w:val="00E856AC"/>
    <w:rsid w:val="00E87D7E"/>
    <w:rsid w:val="00E90093"/>
    <w:rsid w:val="00E915F8"/>
    <w:rsid w:val="00E97502"/>
    <w:rsid w:val="00EA0F38"/>
    <w:rsid w:val="00EA10BD"/>
    <w:rsid w:val="00EA301E"/>
    <w:rsid w:val="00EA4752"/>
    <w:rsid w:val="00EA4B21"/>
    <w:rsid w:val="00EA68B3"/>
    <w:rsid w:val="00EA6E99"/>
    <w:rsid w:val="00EA7792"/>
    <w:rsid w:val="00EB00B9"/>
    <w:rsid w:val="00EB1A09"/>
    <w:rsid w:val="00EB2919"/>
    <w:rsid w:val="00EB6255"/>
    <w:rsid w:val="00EB76AB"/>
    <w:rsid w:val="00EB77D9"/>
    <w:rsid w:val="00EC0965"/>
    <w:rsid w:val="00EC1098"/>
    <w:rsid w:val="00EC17E3"/>
    <w:rsid w:val="00EC2E7C"/>
    <w:rsid w:val="00EC67DE"/>
    <w:rsid w:val="00ED0199"/>
    <w:rsid w:val="00ED0DFE"/>
    <w:rsid w:val="00ED29C7"/>
    <w:rsid w:val="00ED2E7E"/>
    <w:rsid w:val="00ED5A7D"/>
    <w:rsid w:val="00ED5B35"/>
    <w:rsid w:val="00ED6632"/>
    <w:rsid w:val="00ED69AE"/>
    <w:rsid w:val="00EE11BE"/>
    <w:rsid w:val="00EE306F"/>
    <w:rsid w:val="00EE3B26"/>
    <w:rsid w:val="00EE672E"/>
    <w:rsid w:val="00EE7A74"/>
    <w:rsid w:val="00EF3212"/>
    <w:rsid w:val="00EF3812"/>
    <w:rsid w:val="00EF3F2C"/>
    <w:rsid w:val="00EF6854"/>
    <w:rsid w:val="00F00DB1"/>
    <w:rsid w:val="00F00E5A"/>
    <w:rsid w:val="00F036AC"/>
    <w:rsid w:val="00F03C52"/>
    <w:rsid w:val="00F051A0"/>
    <w:rsid w:val="00F05A20"/>
    <w:rsid w:val="00F06686"/>
    <w:rsid w:val="00F07EA7"/>
    <w:rsid w:val="00F10AE5"/>
    <w:rsid w:val="00F1172D"/>
    <w:rsid w:val="00F11C0D"/>
    <w:rsid w:val="00F13DC9"/>
    <w:rsid w:val="00F1587D"/>
    <w:rsid w:val="00F20498"/>
    <w:rsid w:val="00F21651"/>
    <w:rsid w:val="00F30E79"/>
    <w:rsid w:val="00F34F1F"/>
    <w:rsid w:val="00F35346"/>
    <w:rsid w:val="00F377DD"/>
    <w:rsid w:val="00F432CB"/>
    <w:rsid w:val="00F450E0"/>
    <w:rsid w:val="00F463D0"/>
    <w:rsid w:val="00F46E7D"/>
    <w:rsid w:val="00F51C60"/>
    <w:rsid w:val="00F52EF3"/>
    <w:rsid w:val="00F545CC"/>
    <w:rsid w:val="00F554C3"/>
    <w:rsid w:val="00F60485"/>
    <w:rsid w:val="00F60F3D"/>
    <w:rsid w:val="00F63825"/>
    <w:rsid w:val="00F70EC6"/>
    <w:rsid w:val="00F712A2"/>
    <w:rsid w:val="00F72598"/>
    <w:rsid w:val="00F726BD"/>
    <w:rsid w:val="00F72AC1"/>
    <w:rsid w:val="00F738D9"/>
    <w:rsid w:val="00F73A1D"/>
    <w:rsid w:val="00F744EC"/>
    <w:rsid w:val="00F754CF"/>
    <w:rsid w:val="00F775A1"/>
    <w:rsid w:val="00F814C8"/>
    <w:rsid w:val="00F816BA"/>
    <w:rsid w:val="00F81D8A"/>
    <w:rsid w:val="00F8261A"/>
    <w:rsid w:val="00F8527D"/>
    <w:rsid w:val="00F86A39"/>
    <w:rsid w:val="00F874A7"/>
    <w:rsid w:val="00F917EB"/>
    <w:rsid w:val="00F9388C"/>
    <w:rsid w:val="00F95817"/>
    <w:rsid w:val="00F9674D"/>
    <w:rsid w:val="00F96EF1"/>
    <w:rsid w:val="00F971D4"/>
    <w:rsid w:val="00FA1CD5"/>
    <w:rsid w:val="00FA2C39"/>
    <w:rsid w:val="00FB09DC"/>
    <w:rsid w:val="00FB4C02"/>
    <w:rsid w:val="00FB4E53"/>
    <w:rsid w:val="00FB5F21"/>
    <w:rsid w:val="00FC1E83"/>
    <w:rsid w:val="00FC2428"/>
    <w:rsid w:val="00FC410B"/>
    <w:rsid w:val="00FC4947"/>
    <w:rsid w:val="00FC4D0C"/>
    <w:rsid w:val="00FD1DDA"/>
    <w:rsid w:val="00FD2225"/>
    <w:rsid w:val="00FD299E"/>
    <w:rsid w:val="00FD5D26"/>
    <w:rsid w:val="00FD639E"/>
    <w:rsid w:val="00FD7CD9"/>
    <w:rsid w:val="00FE00F5"/>
    <w:rsid w:val="00FE24C6"/>
    <w:rsid w:val="00FE5CA8"/>
    <w:rsid w:val="00FF04F3"/>
    <w:rsid w:val="00FF3BAC"/>
    <w:rsid w:val="00FF41AA"/>
    <w:rsid w:val="00FF5271"/>
    <w:rsid w:val="00FF5EF3"/>
    <w:rsid w:val="00FF7ADF"/>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049"/>
    <o:shapelayout v:ext="edit">
      <o:idmap v:ext="edit" data="1"/>
    </o:shapelayout>
  </w:shapeDefaults>
  <w:decimalSymbol w:val=","/>
  <w:listSeparator w:val=";"/>
  <w14:docId w14:val="1060ED38"/>
  <w15:docId w15:val="{7C0E761E-08BE-4753-AD89-27F2C2DAE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F0296"/>
  </w:style>
  <w:style w:type="paragraph" w:styleId="Titre1">
    <w:name w:val="heading 1"/>
    <w:basedOn w:val="Normal"/>
    <w:next w:val="Normal"/>
    <w:link w:val="Titre1Car"/>
    <w:uiPriority w:val="9"/>
    <w:qFormat/>
    <w:rsid w:val="00BC572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itre2">
    <w:name w:val="heading 2"/>
    <w:aliases w:val="Paranum,an,(1.1),Heading 2 Char3,Heading 2 Char1 Char,Heading 2 Char Char Char,Heading 2 Char1 Char Char Char,Heading 2 Char Char Char Char Char,Heading 2 Char1 Char Char Char Char Char,Heading 2 Char Char Char Char Char Char Char2,Chapitre 2"/>
    <w:basedOn w:val="Normal"/>
    <w:next w:val="Normal"/>
    <w:link w:val="Titre2Car"/>
    <w:unhideWhenUsed/>
    <w:qFormat/>
    <w:rsid w:val="00F96EF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3">
    <w:name w:val="heading 3"/>
    <w:basedOn w:val="Normal"/>
    <w:next w:val="Normal"/>
    <w:link w:val="Titre3Car"/>
    <w:unhideWhenUsed/>
    <w:qFormat/>
    <w:rsid w:val="000754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semiHidden/>
    <w:unhideWhenUsed/>
    <w:qFormat/>
    <w:rsid w:val="007F1782"/>
    <w:pPr>
      <w:keepNext/>
      <w:keepLines/>
      <w:spacing w:before="200" w:after="0"/>
      <w:outlineLvl w:val="3"/>
    </w:pPr>
    <w:rPr>
      <w:rFonts w:asciiTheme="majorHAnsi" w:eastAsiaTheme="majorEastAsia" w:hAnsiTheme="majorHAnsi" w:cstheme="majorBidi"/>
      <w:b/>
      <w:bCs/>
      <w:i/>
      <w:iCs/>
      <w:color w:val="5B9BD5" w:themeColor="accent1"/>
      <w:lang w:val="en-US"/>
    </w:rPr>
  </w:style>
  <w:style w:type="paragraph" w:styleId="Titre5">
    <w:name w:val="heading 5"/>
    <w:basedOn w:val="Normal"/>
    <w:next w:val="Normal"/>
    <w:link w:val="Titre5Car"/>
    <w:uiPriority w:val="9"/>
    <w:unhideWhenUsed/>
    <w:qFormat/>
    <w:rsid w:val="00984C1C"/>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0C23A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0C23A3"/>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Paragraphedeliste">
    <w:name w:val="List Paragraph"/>
    <w:aliases w:val="References,RM1,lp1,Bullets,Liste de points,List Paragraph (numbered (a)),Table/Figure Heading,List Bullet Mary,Numbered Paragraph,Main numbered paragraph,Numbered List Paragraph,123 List Paragraph,List Paragraph nowy,Liste 1,1,Puce"/>
    <w:basedOn w:val="Normal"/>
    <w:link w:val="ParagraphedelisteCar"/>
    <w:uiPriority w:val="34"/>
    <w:qFormat/>
    <w:rsid w:val="00AA2EED"/>
    <w:pPr>
      <w:spacing w:after="200" w:line="276" w:lineRule="auto"/>
      <w:ind w:left="720"/>
      <w:contextualSpacing/>
    </w:pPr>
  </w:style>
  <w:style w:type="character" w:customStyle="1" w:styleId="spipsurligne">
    <w:name w:val="spip_surligne"/>
    <w:rsid w:val="00801EC2"/>
  </w:style>
  <w:style w:type="paragraph" w:styleId="Notedebasdepage">
    <w:name w:val="footnote text"/>
    <w:aliases w:val="Geneva 9,Font: Geneva 9,Boston 10,f,ft,Fotnotstext Char,ft Char,single space,footnote text,FOOTNOTES,ADB,single space1,footnote text1,FOOTNOTES1,fn1,ADB1,single space2,footnote text2,FOOTNOTES2,fn2,ADB2,single space3,footnote text3"/>
    <w:basedOn w:val="Normal"/>
    <w:link w:val="NotedebasdepageCar"/>
    <w:qFormat/>
    <w:rsid w:val="0012450D"/>
    <w:pPr>
      <w:keepLines/>
      <w:spacing w:after="60" w:line="240" w:lineRule="auto"/>
      <w:ind w:firstLine="720"/>
      <w:jc w:val="both"/>
    </w:pPr>
    <w:rPr>
      <w:rFonts w:ascii="Times New Roman" w:eastAsia="Times New Roman" w:hAnsi="Times New Roman" w:cs="Times New Roman"/>
      <w:sz w:val="18"/>
      <w:szCs w:val="24"/>
      <w:lang w:val="en-GB"/>
    </w:rPr>
  </w:style>
  <w:style w:type="character" w:customStyle="1" w:styleId="NotedebasdepageCar">
    <w:name w:val="Note de bas de page Car"/>
    <w:aliases w:val="Geneva 9 Car,Font: Geneva 9 Car,Boston 10 Car,f Car,ft Car,Fotnotstext Char Car,ft Char Car,single space Car,footnote text Car,FOOTNOTES Car,ADB Car,single space1 Car,footnote text1 Car,FOOTNOTES1 Car,fn1 Car,ADB1 Car,fn2 Car"/>
    <w:basedOn w:val="Policepardfaut"/>
    <w:link w:val="Notedebasdepage"/>
    <w:qFormat/>
    <w:rsid w:val="0012450D"/>
    <w:rPr>
      <w:rFonts w:ascii="Times New Roman" w:eastAsia="Times New Roman" w:hAnsi="Times New Roman" w:cs="Times New Roman"/>
      <w:sz w:val="18"/>
      <w:szCs w:val="24"/>
      <w:lang w:val="en-GB"/>
    </w:rPr>
  </w:style>
  <w:style w:type="character" w:styleId="Appelnotedebasdep">
    <w:name w:val="footnote reference"/>
    <w:aliases w:val="number,Footnote Reference Superscript,-E Fußnotenzeichen,(Diplomarbeit FZ),(Diplomarbeit FZ)1,(Diplomarbeit FZ)2,(Diplomarbeit FZ)3,(Diplomarbeit FZ)4,(Diplomarbeit FZ)5,(Diplomarbeit FZ)6,(Diplomarbeit FZ)7,(Diplomarbeit FZ)8"/>
    <w:link w:val="BVIfnrCarCarCarCarChar"/>
    <w:uiPriority w:val="99"/>
    <w:qFormat/>
    <w:rsid w:val="0012450D"/>
    <w:rPr>
      <w:sz w:val="18"/>
      <w:u w:val="single"/>
      <w:vertAlign w:val="baseline"/>
    </w:rPr>
  </w:style>
  <w:style w:type="character" w:styleId="Marquedecommentaire">
    <w:name w:val="annotation reference"/>
    <w:basedOn w:val="Policepardfaut"/>
    <w:uiPriority w:val="99"/>
    <w:semiHidden/>
    <w:unhideWhenUsed/>
    <w:rsid w:val="00D51271"/>
    <w:rPr>
      <w:sz w:val="16"/>
      <w:szCs w:val="16"/>
    </w:rPr>
  </w:style>
  <w:style w:type="paragraph" w:styleId="Commentaire">
    <w:name w:val="annotation text"/>
    <w:basedOn w:val="Normal"/>
    <w:link w:val="CommentaireCar"/>
    <w:uiPriority w:val="99"/>
    <w:unhideWhenUsed/>
    <w:rsid w:val="00D51271"/>
    <w:pPr>
      <w:spacing w:line="240" w:lineRule="auto"/>
    </w:pPr>
    <w:rPr>
      <w:sz w:val="20"/>
      <w:szCs w:val="20"/>
    </w:rPr>
  </w:style>
  <w:style w:type="character" w:customStyle="1" w:styleId="CommentaireCar">
    <w:name w:val="Commentaire Car"/>
    <w:basedOn w:val="Policepardfaut"/>
    <w:link w:val="Commentaire"/>
    <w:uiPriority w:val="99"/>
    <w:rsid w:val="00D51271"/>
    <w:rPr>
      <w:sz w:val="20"/>
      <w:szCs w:val="20"/>
    </w:rPr>
  </w:style>
  <w:style w:type="paragraph" w:styleId="Objetducommentaire">
    <w:name w:val="annotation subject"/>
    <w:basedOn w:val="Commentaire"/>
    <w:next w:val="Commentaire"/>
    <w:link w:val="ObjetducommentaireCar"/>
    <w:uiPriority w:val="99"/>
    <w:semiHidden/>
    <w:unhideWhenUsed/>
    <w:rsid w:val="00D51271"/>
    <w:rPr>
      <w:b/>
      <w:bCs/>
    </w:rPr>
  </w:style>
  <w:style w:type="character" w:customStyle="1" w:styleId="ObjetducommentaireCar">
    <w:name w:val="Objet du commentaire Car"/>
    <w:basedOn w:val="CommentaireCar"/>
    <w:link w:val="Objetducommentaire"/>
    <w:uiPriority w:val="99"/>
    <w:semiHidden/>
    <w:rsid w:val="00D51271"/>
    <w:rPr>
      <w:b/>
      <w:bCs/>
      <w:sz w:val="20"/>
      <w:szCs w:val="20"/>
    </w:rPr>
  </w:style>
  <w:style w:type="paragraph" w:styleId="Textedebulles">
    <w:name w:val="Balloon Text"/>
    <w:basedOn w:val="Normal"/>
    <w:link w:val="TextedebullesCar"/>
    <w:uiPriority w:val="99"/>
    <w:semiHidden/>
    <w:unhideWhenUsed/>
    <w:rsid w:val="00D512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51271"/>
    <w:rPr>
      <w:rFonts w:ascii="Tahoma" w:hAnsi="Tahoma" w:cs="Tahoma"/>
      <w:sz w:val="16"/>
      <w:szCs w:val="16"/>
    </w:rPr>
  </w:style>
  <w:style w:type="paragraph" w:styleId="Rvision">
    <w:name w:val="Revision"/>
    <w:hidden/>
    <w:uiPriority w:val="99"/>
    <w:semiHidden/>
    <w:rsid w:val="00120117"/>
    <w:pPr>
      <w:spacing w:after="0" w:line="240" w:lineRule="auto"/>
    </w:pPr>
  </w:style>
  <w:style w:type="character" w:styleId="Lienhypertexte">
    <w:name w:val="Hyperlink"/>
    <w:uiPriority w:val="99"/>
    <w:unhideWhenUsed/>
    <w:rsid w:val="001F53AC"/>
    <w:rPr>
      <w:color w:val="0000FF"/>
      <w:u w:val="single"/>
    </w:rPr>
  </w:style>
  <w:style w:type="character" w:customStyle="1" w:styleId="Titre3Car">
    <w:name w:val="Titre 3 Car"/>
    <w:basedOn w:val="Policepardfaut"/>
    <w:link w:val="Titre3"/>
    <w:rsid w:val="000754BE"/>
    <w:rPr>
      <w:rFonts w:asciiTheme="majorHAnsi" w:eastAsiaTheme="majorEastAsia" w:hAnsiTheme="majorHAnsi" w:cstheme="majorBidi"/>
      <w:color w:val="1F4D78" w:themeColor="accent1" w:themeShade="7F"/>
      <w:sz w:val="24"/>
      <w:szCs w:val="24"/>
    </w:rPr>
  </w:style>
  <w:style w:type="character" w:customStyle="1" w:styleId="ParagraphedelisteCar">
    <w:name w:val="Paragraphe de liste Car"/>
    <w:aliases w:val="References Car,RM1 Car,lp1 Car,Bullets Car,Liste de points Car,List Paragraph (numbered (a)) Car,Table/Figure Heading Car,List Bullet Mary Car,Numbered Paragraph Car,Main numbered paragraph Car,Numbered List Paragraph Car,1 Car"/>
    <w:link w:val="Paragraphedeliste"/>
    <w:uiPriority w:val="34"/>
    <w:qFormat/>
    <w:locked/>
    <w:rsid w:val="00AF1263"/>
  </w:style>
  <w:style w:type="character" w:styleId="lev">
    <w:name w:val="Strong"/>
    <w:basedOn w:val="Policepardfaut"/>
    <w:uiPriority w:val="22"/>
    <w:qFormat/>
    <w:rsid w:val="00A34D2A"/>
    <w:rPr>
      <w:b/>
      <w:bCs/>
    </w:rPr>
  </w:style>
  <w:style w:type="character" w:customStyle="1" w:styleId="Titre5Car">
    <w:name w:val="Titre 5 Car"/>
    <w:basedOn w:val="Policepardfaut"/>
    <w:link w:val="Titre5"/>
    <w:uiPriority w:val="9"/>
    <w:rsid w:val="00984C1C"/>
    <w:rPr>
      <w:rFonts w:asciiTheme="majorHAnsi" w:eastAsiaTheme="majorEastAsia" w:hAnsiTheme="majorHAnsi" w:cstheme="majorBidi"/>
      <w:color w:val="1F4D78" w:themeColor="accent1" w:themeShade="7F"/>
    </w:rPr>
  </w:style>
  <w:style w:type="paragraph" w:styleId="NormalWeb">
    <w:name w:val="Normal (Web)"/>
    <w:basedOn w:val="Normal"/>
    <w:uiPriority w:val="99"/>
    <w:unhideWhenUsed/>
    <w:rsid w:val="00984C1C"/>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2Car">
    <w:name w:val="Titre 2 Car"/>
    <w:aliases w:val="Paranum Car,an Car,(1.1) Car,Heading 2 Char3 Car,Heading 2 Char1 Char Car,Heading 2 Char Char Char Car,Heading 2 Char1 Char Char Char Car,Heading 2 Char Char Char Char Char Car,Heading 2 Char1 Char Char Char Char Char Car,Chapitre 2 Car"/>
    <w:basedOn w:val="Policepardfaut"/>
    <w:link w:val="Titre2"/>
    <w:rsid w:val="00F96EF1"/>
    <w:rPr>
      <w:rFonts w:asciiTheme="majorHAnsi" w:eastAsiaTheme="majorEastAsia" w:hAnsiTheme="majorHAnsi" w:cstheme="majorBidi"/>
      <w:b/>
      <w:bCs/>
      <w:color w:val="5B9BD5" w:themeColor="accent1"/>
      <w:sz w:val="26"/>
      <w:szCs w:val="26"/>
    </w:rPr>
  </w:style>
  <w:style w:type="character" w:customStyle="1" w:styleId="Titre1Car">
    <w:name w:val="Titre 1 Car"/>
    <w:basedOn w:val="Policepardfaut"/>
    <w:link w:val="Titre1"/>
    <w:uiPriority w:val="9"/>
    <w:rsid w:val="00BC572F"/>
    <w:rPr>
      <w:rFonts w:asciiTheme="majorHAnsi" w:eastAsiaTheme="majorEastAsia" w:hAnsiTheme="majorHAnsi" w:cstheme="majorBidi"/>
      <w:b/>
      <w:bCs/>
      <w:color w:val="2E74B5" w:themeColor="accent1" w:themeShade="BF"/>
      <w:sz w:val="28"/>
      <w:szCs w:val="28"/>
    </w:rPr>
  </w:style>
  <w:style w:type="character" w:customStyle="1" w:styleId="fullarticletexte">
    <w:name w:val="fullarticletexte"/>
    <w:basedOn w:val="Policepardfaut"/>
    <w:rsid w:val="00026D41"/>
  </w:style>
  <w:style w:type="paragraph" w:styleId="Lgende">
    <w:name w:val="caption"/>
    <w:aliases w:val="Figures"/>
    <w:basedOn w:val="Normal"/>
    <w:next w:val="Normal"/>
    <w:link w:val="LgendeCar"/>
    <w:qFormat/>
    <w:rsid w:val="00A77DCB"/>
    <w:pPr>
      <w:spacing w:after="200" w:line="276" w:lineRule="auto"/>
    </w:pPr>
    <w:rPr>
      <w:rFonts w:ascii="Calibri" w:eastAsia="Calibri" w:hAnsi="Calibri" w:cs="Times New Roman"/>
      <w:b/>
      <w:bCs/>
      <w:sz w:val="20"/>
      <w:szCs w:val="20"/>
    </w:rPr>
  </w:style>
  <w:style w:type="paragraph" w:styleId="Corpsdetexte">
    <w:name w:val="Body Text"/>
    <w:basedOn w:val="Normal"/>
    <w:link w:val="CorpsdetexteCar"/>
    <w:rsid w:val="00E13C2D"/>
    <w:pPr>
      <w:spacing w:after="0" w:line="240" w:lineRule="auto"/>
      <w:jc w:val="both"/>
    </w:pPr>
    <w:rPr>
      <w:rFonts w:ascii="Times New Roman" w:eastAsia="Times New Roman" w:hAnsi="Times New Roman" w:cs="Times New Roman"/>
      <w:sz w:val="24"/>
      <w:szCs w:val="24"/>
      <w:lang w:eastAsia="fr-FR"/>
    </w:rPr>
  </w:style>
  <w:style w:type="character" w:customStyle="1" w:styleId="CorpsdetexteCar">
    <w:name w:val="Corps de texte Car"/>
    <w:basedOn w:val="Policepardfaut"/>
    <w:link w:val="Corpsdetexte"/>
    <w:rsid w:val="00E13C2D"/>
    <w:rPr>
      <w:rFonts w:ascii="Times New Roman" w:eastAsia="Times New Roman" w:hAnsi="Times New Roman" w:cs="Times New Roman"/>
      <w:sz w:val="24"/>
      <w:szCs w:val="24"/>
      <w:lang w:eastAsia="fr-FR"/>
    </w:rPr>
  </w:style>
  <w:style w:type="paragraph" w:styleId="Corpsdetexte2">
    <w:name w:val="Body Text 2"/>
    <w:basedOn w:val="Normal"/>
    <w:link w:val="Corpsdetexte2Car"/>
    <w:rsid w:val="00E13C2D"/>
    <w:pPr>
      <w:spacing w:after="0" w:line="240" w:lineRule="auto"/>
      <w:jc w:val="both"/>
    </w:pPr>
    <w:rPr>
      <w:rFonts w:ascii="Times New Roman" w:eastAsia="Times New Roman" w:hAnsi="Times New Roman" w:cs="Times New Roman"/>
      <w:sz w:val="28"/>
      <w:szCs w:val="24"/>
      <w:lang w:eastAsia="fr-FR"/>
    </w:rPr>
  </w:style>
  <w:style w:type="character" w:customStyle="1" w:styleId="Corpsdetexte2Car">
    <w:name w:val="Corps de texte 2 Car"/>
    <w:basedOn w:val="Policepardfaut"/>
    <w:link w:val="Corpsdetexte2"/>
    <w:rsid w:val="00E13C2D"/>
    <w:rPr>
      <w:rFonts w:ascii="Times New Roman" w:eastAsia="Times New Roman" w:hAnsi="Times New Roman" w:cs="Times New Roman"/>
      <w:sz w:val="28"/>
      <w:szCs w:val="24"/>
      <w:lang w:eastAsia="fr-FR"/>
    </w:rPr>
  </w:style>
  <w:style w:type="character" w:customStyle="1" w:styleId="LgendeCar">
    <w:name w:val="Légende Car"/>
    <w:aliases w:val="Figures Car"/>
    <w:link w:val="Lgende"/>
    <w:qFormat/>
    <w:locked/>
    <w:rsid w:val="00E13C2D"/>
    <w:rPr>
      <w:rFonts w:ascii="Calibri" w:eastAsia="Calibri" w:hAnsi="Calibri" w:cs="Times New Roman"/>
      <w:b/>
      <w:bCs/>
      <w:sz w:val="20"/>
      <w:szCs w:val="20"/>
    </w:rPr>
  </w:style>
  <w:style w:type="paragraph" w:customStyle="1" w:styleId="Pa14">
    <w:name w:val="Pa14"/>
    <w:basedOn w:val="Normal"/>
    <w:next w:val="Normal"/>
    <w:rsid w:val="00064B59"/>
    <w:pPr>
      <w:autoSpaceDE w:val="0"/>
      <w:autoSpaceDN w:val="0"/>
      <w:adjustRightInd w:val="0"/>
      <w:spacing w:after="100" w:line="160" w:lineRule="atLeast"/>
    </w:pPr>
    <w:rPr>
      <w:rFonts w:ascii="Palatino Linotype" w:eastAsia="Times New Roman" w:hAnsi="Palatino Linotype" w:cs="Times New Roman"/>
      <w:sz w:val="24"/>
      <w:szCs w:val="24"/>
      <w:lang w:val="en-US" w:bidi="en-US"/>
    </w:rPr>
  </w:style>
  <w:style w:type="paragraph" w:customStyle="1" w:styleId="Annexe1lgendeannexe">
    <w:name w:val="Annexe 1 légende annexe"/>
    <w:basedOn w:val="Normal"/>
    <w:rsid w:val="00064B59"/>
    <w:pPr>
      <w:spacing w:after="0" w:line="240" w:lineRule="auto"/>
    </w:pPr>
    <w:rPr>
      <w:rFonts w:ascii="Times New Roman" w:eastAsia="Times New Roman" w:hAnsi="Times New Roman" w:cs="Times New Roman"/>
      <w:sz w:val="24"/>
      <w:szCs w:val="24"/>
      <w:lang w:eastAsia="fr-FR"/>
    </w:rPr>
  </w:style>
  <w:style w:type="paragraph" w:customStyle="1" w:styleId="PARFEMNUM">
    <w:name w:val="PAR FEM NUM"/>
    <w:basedOn w:val="Normal"/>
    <w:autoRedefine/>
    <w:rsid w:val="00883799"/>
    <w:pPr>
      <w:widowControl w:val="0"/>
      <w:tabs>
        <w:tab w:val="left" w:pos="142"/>
        <w:tab w:val="left" w:pos="567"/>
      </w:tabs>
      <w:autoSpaceDE w:val="0"/>
      <w:autoSpaceDN w:val="0"/>
      <w:adjustRightInd w:val="0"/>
      <w:spacing w:before="120" w:after="0" w:line="240" w:lineRule="auto"/>
      <w:ind w:left="142"/>
      <w:jc w:val="both"/>
    </w:pPr>
    <w:rPr>
      <w:rFonts w:ascii="Times New Roman" w:eastAsia="BatangChe" w:hAnsi="Times New Roman" w:cs="Times New Roman"/>
      <w:bCs/>
      <w:snapToGrid w:val="0"/>
      <w:sz w:val="24"/>
      <w:szCs w:val="24"/>
    </w:rPr>
  </w:style>
  <w:style w:type="paragraph" w:customStyle="1" w:styleId="Style19">
    <w:name w:val="Style19"/>
    <w:basedOn w:val="Normal"/>
    <w:uiPriority w:val="99"/>
    <w:rsid w:val="00DD6C26"/>
    <w:pPr>
      <w:widowControl w:val="0"/>
      <w:autoSpaceDE w:val="0"/>
      <w:autoSpaceDN w:val="0"/>
      <w:adjustRightInd w:val="0"/>
      <w:spacing w:after="0" w:line="274" w:lineRule="exact"/>
      <w:jc w:val="both"/>
    </w:pPr>
    <w:rPr>
      <w:rFonts w:ascii="Arial Unicode MS" w:eastAsia="Arial Unicode MS" w:hAnsi="Calibri" w:cs="Arial Unicode MS"/>
      <w:sz w:val="24"/>
      <w:szCs w:val="24"/>
      <w:lang w:eastAsia="fr-FR"/>
    </w:rPr>
  </w:style>
  <w:style w:type="character" w:customStyle="1" w:styleId="FontStyle147">
    <w:name w:val="Font Style147"/>
    <w:uiPriority w:val="99"/>
    <w:rsid w:val="00DD6C26"/>
    <w:rPr>
      <w:rFonts w:ascii="Times New Roman" w:hAnsi="Times New Roman" w:cs="Times New Roman"/>
      <w:color w:val="000000"/>
      <w:sz w:val="22"/>
      <w:szCs w:val="22"/>
    </w:rPr>
  </w:style>
  <w:style w:type="character" w:customStyle="1" w:styleId="citation">
    <w:name w:val="citation"/>
    <w:basedOn w:val="Policepardfaut"/>
    <w:rsid w:val="00DD6C26"/>
  </w:style>
  <w:style w:type="paragraph" w:customStyle="1" w:styleId="Bullet6">
    <w:name w:val="Bullet 6"/>
    <w:basedOn w:val="Normal"/>
    <w:rsid w:val="00DD6C26"/>
    <w:pPr>
      <w:tabs>
        <w:tab w:val="num" w:pos="720"/>
      </w:tabs>
      <w:spacing w:before="120" w:after="0" w:line="240" w:lineRule="auto"/>
      <w:ind w:left="720" w:hanging="720"/>
      <w:jc w:val="both"/>
    </w:pPr>
    <w:rPr>
      <w:rFonts w:ascii="Book Antiqua" w:eastAsia="Times New Roman" w:hAnsi="Book Antiqua" w:cs="Times New Roman"/>
      <w:sz w:val="20"/>
      <w:szCs w:val="20"/>
      <w:lang w:val="en-US" w:eastAsia="fr-FR" w:bidi="en-US"/>
    </w:rPr>
  </w:style>
  <w:style w:type="character" w:customStyle="1" w:styleId="FontStyle85">
    <w:name w:val="Font Style85"/>
    <w:uiPriority w:val="99"/>
    <w:rsid w:val="00DD6C26"/>
    <w:rPr>
      <w:rFonts w:ascii="Arial" w:hAnsi="Arial" w:cs="Arial"/>
      <w:b/>
      <w:bCs/>
      <w:color w:val="000000"/>
      <w:sz w:val="30"/>
      <w:szCs w:val="30"/>
    </w:rPr>
  </w:style>
  <w:style w:type="paragraph" w:customStyle="1" w:styleId="PNEcorps">
    <w:name w:val="PNE corps"/>
    <w:basedOn w:val="Normal"/>
    <w:link w:val="PNEcorpsCar"/>
    <w:uiPriority w:val="99"/>
    <w:qFormat/>
    <w:rsid w:val="00DD6C26"/>
    <w:pPr>
      <w:widowControl w:val="0"/>
      <w:autoSpaceDE w:val="0"/>
      <w:autoSpaceDN w:val="0"/>
      <w:adjustRightInd w:val="0"/>
      <w:spacing w:before="120" w:after="120" w:line="240" w:lineRule="auto"/>
      <w:jc w:val="both"/>
    </w:pPr>
    <w:rPr>
      <w:rFonts w:ascii="Calibri" w:eastAsia="Times New Roman" w:hAnsi="Calibri" w:cs="Times New Roman"/>
      <w:sz w:val="20"/>
      <w:szCs w:val="24"/>
      <w:lang w:eastAsia="fr-FR"/>
    </w:rPr>
  </w:style>
  <w:style w:type="character" w:customStyle="1" w:styleId="PNEcorpsCar">
    <w:name w:val="PNE corps Car"/>
    <w:link w:val="PNEcorps"/>
    <w:uiPriority w:val="99"/>
    <w:rsid w:val="00DD6C26"/>
    <w:rPr>
      <w:rFonts w:ascii="Calibri" w:eastAsia="Times New Roman" w:hAnsi="Calibri" w:cs="Times New Roman"/>
      <w:sz w:val="20"/>
      <w:szCs w:val="24"/>
      <w:lang w:eastAsia="fr-FR"/>
    </w:rPr>
  </w:style>
  <w:style w:type="character" w:customStyle="1" w:styleId="sciname">
    <w:name w:val="sciname"/>
    <w:rsid w:val="00DD6C26"/>
  </w:style>
  <w:style w:type="character" w:customStyle="1" w:styleId="st">
    <w:name w:val="st"/>
    <w:rsid w:val="00DD6C26"/>
  </w:style>
  <w:style w:type="character" w:styleId="Accentuation">
    <w:name w:val="Emphasis"/>
    <w:uiPriority w:val="20"/>
    <w:qFormat/>
    <w:rsid w:val="00DD6C26"/>
    <w:rPr>
      <w:i/>
      <w:iCs/>
    </w:rPr>
  </w:style>
  <w:style w:type="paragraph" w:styleId="En-tte">
    <w:name w:val="header"/>
    <w:basedOn w:val="Normal"/>
    <w:link w:val="En-tteCar"/>
    <w:uiPriority w:val="99"/>
    <w:unhideWhenUsed/>
    <w:rsid w:val="00F52EF3"/>
    <w:pPr>
      <w:tabs>
        <w:tab w:val="center" w:pos="4536"/>
        <w:tab w:val="right" w:pos="9072"/>
      </w:tabs>
    </w:pPr>
    <w:rPr>
      <w:rFonts w:ascii="Calibri" w:eastAsia="Calibri" w:hAnsi="Calibri" w:cs="Times New Roman"/>
    </w:rPr>
  </w:style>
  <w:style w:type="character" w:customStyle="1" w:styleId="En-tteCar">
    <w:name w:val="En-tête Car"/>
    <w:basedOn w:val="Policepardfaut"/>
    <w:link w:val="En-tte"/>
    <w:uiPriority w:val="99"/>
    <w:rsid w:val="00F52EF3"/>
    <w:rPr>
      <w:rFonts w:ascii="Calibri" w:eastAsia="Calibri" w:hAnsi="Calibri" w:cs="Times New Roman"/>
    </w:rPr>
  </w:style>
  <w:style w:type="paragraph" w:styleId="Pieddepage">
    <w:name w:val="footer"/>
    <w:basedOn w:val="Normal"/>
    <w:link w:val="PieddepageCar"/>
    <w:uiPriority w:val="99"/>
    <w:unhideWhenUsed/>
    <w:rsid w:val="00F52EF3"/>
    <w:pPr>
      <w:tabs>
        <w:tab w:val="center" w:pos="4536"/>
        <w:tab w:val="right" w:pos="9072"/>
      </w:tabs>
    </w:pPr>
    <w:rPr>
      <w:rFonts w:ascii="Calibri" w:eastAsia="Calibri" w:hAnsi="Calibri" w:cs="Times New Roman"/>
    </w:rPr>
  </w:style>
  <w:style w:type="character" w:customStyle="1" w:styleId="PieddepageCar">
    <w:name w:val="Pied de page Car"/>
    <w:basedOn w:val="Policepardfaut"/>
    <w:link w:val="Pieddepage"/>
    <w:uiPriority w:val="99"/>
    <w:rsid w:val="00F52EF3"/>
    <w:rPr>
      <w:rFonts w:ascii="Calibri" w:eastAsia="Calibri" w:hAnsi="Calibri" w:cs="Times New Roman"/>
    </w:rPr>
  </w:style>
  <w:style w:type="paragraph" w:customStyle="1" w:styleId="Standard">
    <w:name w:val="Standard"/>
    <w:rsid w:val="00F52EF3"/>
    <w:pPr>
      <w:suppressAutoHyphens/>
      <w:spacing w:after="200" w:line="276" w:lineRule="auto"/>
    </w:pPr>
    <w:rPr>
      <w:rFonts w:ascii="Calibri" w:eastAsia="Calibri" w:hAnsi="Calibri" w:cs="Calibri"/>
      <w:lang w:eastAsia="ar-SA"/>
    </w:rPr>
  </w:style>
  <w:style w:type="paragraph" w:customStyle="1" w:styleId="BVIfnrCarCarCarCarChar">
    <w:name w:val="BVI fnr Car Car Car Car Char"/>
    <w:basedOn w:val="Normal"/>
    <w:link w:val="Appelnotedebasdep"/>
    <w:uiPriority w:val="99"/>
    <w:rsid w:val="00F52EF3"/>
    <w:pPr>
      <w:spacing w:line="240" w:lineRule="exact"/>
    </w:pPr>
    <w:rPr>
      <w:sz w:val="18"/>
      <w:u w:val="single"/>
    </w:rPr>
  </w:style>
  <w:style w:type="paragraph" w:customStyle="1" w:styleId="Normal1">
    <w:name w:val="Normal1"/>
    <w:rsid w:val="00070EF4"/>
    <w:pPr>
      <w:spacing w:after="0" w:line="276" w:lineRule="auto"/>
    </w:pPr>
    <w:rPr>
      <w:rFonts w:ascii="Calibri" w:eastAsia="Calibri" w:hAnsi="Calibri" w:cs="Calibri"/>
      <w:lang w:eastAsia="fr-FR"/>
    </w:rPr>
  </w:style>
  <w:style w:type="paragraph" w:customStyle="1" w:styleId="IFADparagraphnumbering">
    <w:name w:val="IFAD paragraph numbering"/>
    <w:basedOn w:val="Normal"/>
    <w:link w:val="IFADparagraphnumberingChar"/>
    <w:uiPriority w:val="99"/>
    <w:qFormat/>
    <w:rsid w:val="00104E96"/>
    <w:pPr>
      <w:numPr>
        <w:numId w:val="14"/>
      </w:numPr>
      <w:tabs>
        <w:tab w:val="left" w:pos="510"/>
      </w:tabs>
      <w:suppressAutoHyphens/>
      <w:spacing w:before="80" w:after="120" w:line="240" w:lineRule="auto"/>
      <w:jc w:val="both"/>
    </w:pPr>
    <w:rPr>
      <w:rFonts w:ascii="Arial" w:eastAsia="MS Mincho" w:hAnsi="Arial" w:cs="Arial"/>
      <w:kern w:val="2"/>
      <w:sz w:val="20"/>
      <w:szCs w:val="20"/>
    </w:rPr>
  </w:style>
  <w:style w:type="paragraph" w:styleId="Liste3">
    <w:name w:val="List 3"/>
    <w:basedOn w:val="Normal"/>
    <w:rsid w:val="00104E96"/>
    <w:pPr>
      <w:numPr>
        <w:ilvl w:val="1"/>
        <w:numId w:val="13"/>
      </w:numPr>
      <w:tabs>
        <w:tab w:val="clear" w:pos="1440"/>
        <w:tab w:val="left" w:pos="993"/>
      </w:tabs>
      <w:spacing w:after="60" w:line="240" w:lineRule="auto"/>
      <w:ind w:left="993" w:hanging="215"/>
      <w:jc w:val="both"/>
    </w:pPr>
    <w:rPr>
      <w:rFonts w:ascii="Arial" w:eastAsia="Arial" w:hAnsi="Arial" w:cs="Times New Roman"/>
      <w:sz w:val="20"/>
      <w:szCs w:val="20"/>
    </w:rPr>
  </w:style>
  <w:style w:type="paragraph" w:styleId="Liste2">
    <w:name w:val="List 2"/>
    <w:basedOn w:val="Normal"/>
    <w:uiPriority w:val="99"/>
    <w:rsid w:val="00104E96"/>
    <w:pPr>
      <w:numPr>
        <w:numId w:val="13"/>
      </w:numPr>
      <w:tabs>
        <w:tab w:val="clear" w:pos="2340"/>
        <w:tab w:val="num" w:pos="851"/>
      </w:tabs>
      <w:spacing w:after="60" w:line="240" w:lineRule="auto"/>
      <w:ind w:left="709"/>
      <w:jc w:val="both"/>
    </w:pPr>
    <w:rPr>
      <w:rFonts w:ascii="Arial" w:eastAsia="Times New Roman" w:hAnsi="Arial" w:cs="Times New Roman"/>
      <w:bCs/>
      <w:sz w:val="20"/>
    </w:rPr>
  </w:style>
  <w:style w:type="character" w:customStyle="1" w:styleId="IFADparagraphnumberingChar">
    <w:name w:val="IFAD paragraph numbering Char"/>
    <w:link w:val="IFADparagraphnumbering"/>
    <w:uiPriority w:val="99"/>
    <w:locked/>
    <w:rsid w:val="00104E96"/>
    <w:rPr>
      <w:rFonts w:ascii="Arial" w:eastAsia="MS Mincho" w:hAnsi="Arial" w:cs="Arial"/>
      <w:kern w:val="2"/>
      <w:sz w:val="20"/>
      <w:szCs w:val="20"/>
    </w:rPr>
  </w:style>
  <w:style w:type="character" w:customStyle="1" w:styleId="yiv9380274170ydp9672db03fontstyle0">
    <w:name w:val="yiv9380274170ydp9672db03fontstyle0"/>
    <w:rsid w:val="00104E96"/>
  </w:style>
  <w:style w:type="character" w:customStyle="1" w:styleId="fontstyle01">
    <w:name w:val="fontstyle01"/>
    <w:rsid w:val="00104E96"/>
    <w:rPr>
      <w:rFonts w:ascii="Times-Roman" w:hAnsi="Times-Roman" w:hint="default"/>
      <w:b w:val="0"/>
      <w:bCs w:val="0"/>
      <w:i w:val="0"/>
      <w:iCs w:val="0"/>
      <w:color w:val="000000"/>
      <w:sz w:val="24"/>
      <w:szCs w:val="24"/>
    </w:rPr>
  </w:style>
  <w:style w:type="paragraph" w:styleId="Sansinterligne">
    <w:name w:val="No Spacing"/>
    <w:uiPriority w:val="1"/>
    <w:qFormat/>
    <w:rsid w:val="002B2FCF"/>
    <w:pPr>
      <w:spacing w:after="0" w:line="240" w:lineRule="auto"/>
    </w:pPr>
    <w:rPr>
      <w:rFonts w:ascii="Calibri" w:eastAsia="Times New Roman" w:hAnsi="Calibri" w:cs="Times New Roman"/>
      <w:lang w:eastAsia="fr-FR"/>
    </w:rPr>
  </w:style>
  <w:style w:type="character" w:customStyle="1" w:styleId="ilfuvd">
    <w:name w:val="ilfuvd"/>
    <w:basedOn w:val="Policepardfaut"/>
    <w:rsid w:val="004876DA"/>
  </w:style>
  <w:style w:type="character" w:styleId="Lienhypertextesuivivisit">
    <w:name w:val="FollowedHyperlink"/>
    <w:basedOn w:val="Policepardfaut"/>
    <w:uiPriority w:val="99"/>
    <w:semiHidden/>
    <w:unhideWhenUsed/>
    <w:rsid w:val="00E23162"/>
    <w:rPr>
      <w:color w:val="954F72" w:themeColor="followedHyperlink"/>
      <w:u w:val="single"/>
    </w:rPr>
  </w:style>
  <w:style w:type="paragraph" w:customStyle="1" w:styleId="DFSStandard">
    <w:name w:val="__DFS Standard"/>
    <w:link w:val="DFSStandardChar"/>
    <w:uiPriority w:val="99"/>
    <w:qFormat/>
    <w:rsid w:val="00D31C6C"/>
    <w:pPr>
      <w:spacing w:after="0" w:line="300" w:lineRule="atLeast"/>
      <w:jc w:val="both"/>
    </w:pPr>
    <w:rPr>
      <w:rFonts w:ascii="Arial" w:eastAsia="Times New Roman" w:hAnsi="Arial" w:cs="Times New Roman"/>
      <w:lang w:eastAsia="fr-FR"/>
    </w:rPr>
  </w:style>
  <w:style w:type="character" w:customStyle="1" w:styleId="DFSStandardChar">
    <w:name w:val="__DFS Standard Char"/>
    <w:link w:val="DFSStandard"/>
    <w:uiPriority w:val="99"/>
    <w:locked/>
    <w:rsid w:val="00D31C6C"/>
    <w:rPr>
      <w:rFonts w:ascii="Arial" w:eastAsia="Times New Roman" w:hAnsi="Arial" w:cs="Times New Roman"/>
      <w:lang w:eastAsia="fr-FR"/>
    </w:rPr>
  </w:style>
  <w:style w:type="paragraph" w:customStyle="1" w:styleId="DFSBulletedlist2">
    <w:name w:val="_DFS Bulleted list 2"/>
    <w:basedOn w:val="DFSStandard"/>
    <w:next w:val="Normal"/>
    <w:uiPriority w:val="99"/>
    <w:rsid w:val="00D31C6C"/>
    <w:pPr>
      <w:numPr>
        <w:numId w:val="22"/>
      </w:numPr>
      <w:tabs>
        <w:tab w:val="clear" w:pos="1134"/>
        <w:tab w:val="num" w:pos="360"/>
        <w:tab w:val="num" w:pos="1068"/>
      </w:tabs>
      <w:spacing w:before="60" w:after="60"/>
      <w:ind w:left="0" w:firstLine="0"/>
    </w:pPr>
    <w:rPr>
      <w:lang w:val="en-GB" w:eastAsia="de-DE"/>
    </w:rPr>
  </w:style>
  <w:style w:type="paragraph" w:customStyle="1" w:styleId="DFSTablecontent">
    <w:name w:val="_DFS Table content"/>
    <w:basedOn w:val="DFSStandard"/>
    <w:uiPriority w:val="99"/>
    <w:rsid w:val="00D31C6C"/>
    <w:pPr>
      <w:spacing w:before="40" w:after="40" w:line="240" w:lineRule="auto"/>
    </w:pPr>
    <w:rPr>
      <w:rFonts w:ascii="Arial Narrow" w:hAnsi="Arial Narrow" w:cs="Arial Narrow"/>
      <w:sz w:val="20"/>
      <w:szCs w:val="20"/>
      <w:lang w:eastAsia="de-DE"/>
    </w:rPr>
  </w:style>
  <w:style w:type="character" w:customStyle="1" w:styleId="sdfn1">
    <w:name w:val="s_dfn1"/>
    <w:rsid w:val="00D31C6C"/>
    <w:rPr>
      <w:b w:val="0"/>
      <w:bCs w:val="0"/>
      <w:i w:val="0"/>
      <w:iCs w:val="0"/>
      <w:color w:val="333399"/>
    </w:rPr>
  </w:style>
  <w:style w:type="paragraph" w:styleId="Retraitcorpsdetexte">
    <w:name w:val="Body Text Indent"/>
    <w:basedOn w:val="Normal"/>
    <w:link w:val="RetraitcorpsdetexteCar"/>
    <w:uiPriority w:val="99"/>
    <w:semiHidden/>
    <w:unhideWhenUsed/>
    <w:rsid w:val="007270BC"/>
    <w:pPr>
      <w:spacing w:after="120"/>
      <w:ind w:left="283"/>
    </w:pPr>
  </w:style>
  <w:style w:type="character" w:customStyle="1" w:styleId="RetraitcorpsdetexteCar">
    <w:name w:val="Retrait corps de texte Car"/>
    <w:basedOn w:val="Policepardfaut"/>
    <w:link w:val="Retraitcorpsdetexte"/>
    <w:rsid w:val="007270BC"/>
  </w:style>
  <w:style w:type="character" w:customStyle="1" w:styleId="Titre4Car">
    <w:name w:val="Titre 4 Car"/>
    <w:basedOn w:val="Policepardfaut"/>
    <w:link w:val="Titre4"/>
    <w:uiPriority w:val="9"/>
    <w:semiHidden/>
    <w:rsid w:val="007F1782"/>
    <w:rPr>
      <w:rFonts w:asciiTheme="majorHAnsi" w:eastAsiaTheme="majorEastAsia" w:hAnsiTheme="majorHAnsi" w:cstheme="majorBidi"/>
      <w:b/>
      <w:bCs/>
      <w:i/>
      <w:iCs/>
      <w:color w:val="5B9BD5" w:themeColor="accent1"/>
      <w:lang w:val="en-US"/>
    </w:rPr>
  </w:style>
  <w:style w:type="character" w:customStyle="1" w:styleId="tlid-translation">
    <w:name w:val="tlid-translation"/>
    <w:basedOn w:val="Policepardfaut"/>
    <w:rsid w:val="007F1782"/>
  </w:style>
  <w:style w:type="paragraph" w:styleId="Tabledesillustrations">
    <w:name w:val="table of figures"/>
    <w:basedOn w:val="Normal"/>
    <w:next w:val="Normal"/>
    <w:uiPriority w:val="99"/>
    <w:unhideWhenUsed/>
    <w:rsid w:val="00A02AD3"/>
    <w:pPr>
      <w:spacing w:after="0"/>
    </w:pPr>
  </w:style>
  <w:style w:type="paragraph" w:styleId="En-ttedetabledesmatires">
    <w:name w:val="TOC Heading"/>
    <w:basedOn w:val="Titre1"/>
    <w:next w:val="Normal"/>
    <w:uiPriority w:val="39"/>
    <w:unhideWhenUsed/>
    <w:qFormat/>
    <w:rsid w:val="00A02AD3"/>
    <w:pPr>
      <w:spacing w:line="276" w:lineRule="auto"/>
      <w:outlineLvl w:val="9"/>
    </w:pPr>
  </w:style>
  <w:style w:type="paragraph" w:styleId="TM1">
    <w:name w:val="toc 1"/>
    <w:basedOn w:val="Normal"/>
    <w:next w:val="Normal"/>
    <w:autoRedefine/>
    <w:uiPriority w:val="39"/>
    <w:unhideWhenUsed/>
    <w:rsid w:val="00A02AD3"/>
    <w:pPr>
      <w:spacing w:after="100"/>
    </w:pPr>
  </w:style>
  <w:style w:type="paragraph" w:styleId="TM2">
    <w:name w:val="toc 2"/>
    <w:basedOn w:val="Normal"/>
    <w:next w:val="Normal"/>
    <w:autoRedefine/>
    <w:uiPriority w:val="39"/>
    <w:unhideWhenUsed/>
    <w:rsid w:val="00A02AD3"/>
    <w:pPr>
      <w:spacing w:after="100"/>
      <w:ind w:left="220"/>
    </w:pPr>
  </w:style>
  <w:style w:type="paragraph" w:styleId="TM3">
    <w:name w:val="toc 3"/>
    <w:basedOn w:val="Normal"/>
    <w:next w:val="Normal"/>
    <w:autoRedefine/>
    <w:uiPriority w:val="39"/>
    <w:unhideWhenUsed/>
    <w:rsid w:val="00A02AD3"/>
    <w:pPr>
      <w:spacing w:after="100"/>
      <w:ind w:left="440"/>
    </w:pPr>
  </w:style>
  <w:style w:type="paragraph" w:styleId="Citationintense">
    <w:name w:val="Intense Quote"/>
    <w:basedOn w:val="Normal"/>
    <w:next w:val="Normal"/>
    <w:link w:val="CitationintenseCar"/>
    <w:uiPriority w:val="30"/>
    <w:qFormat/>
    <w:rsid w:val="00C20794"/>
    <w:pPr>
      <w:pBdr>
        <w:bottom w:val="single" w:sz="4" w:space="4" w:color="5B9BD5" w:themeColor="accent1"/>
      </w:pBdr>
      <w:spacing w:before="200" w:after="280"/>
      <w:ind w:left="936" w:right="936"/>
    </w:pPr>
    <w:rPr>
      <w:rFonts w:ascii="Calibri" w:eastAsia="Calibri" w:hAnsi="Calibri" w:cs="Times New Roman"/>
      <w:b/>
      <w:bCs/>
      <w:i/>
      <w:iCs/>
      <w:color w:val="5B9BD5" w:themeColor="accent1"/>
    </w:rPr>
  </w:style>
  <w:style w:type="character" w:customStyle="1" w:styleId="CitationintenseCar">
    <w:name w:val="Citation intense Car"/>
    <w:basedOn w:val="Policepardfaut"/>
    <w:link w:val="Citationintense"/>
    <w:uiPriority w:val="30"/>
    <w:rsid w:val="00C20794"/>
    <w:rPr>
      <w:rFonts w:ascii="Calibri" w:eastAsia="Calibri" w:hAnsi="Calibri" w:cs="Times New Roman"/>
      <w:b/>
      <w:bCs/>
      <w:i/>
      <w:iCs/>
      <w:color w:val="5B9BD5" w:themeColor="accent1"/>
    </w:rPr>
  </w:style>
  <w:style w:type="table" w:customStyle="1" w:styleId="Grilledutableau1">
    <w:name w:val="Grille du tableau1"/>
    <w:basedOn w:val="TableauNormal"/>
    <w:next w:val="Grilledutableau"/>
    <w:uiPriority w:val="39"/>
    <w:rsid w:val="003F7E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905554">
      <w:bodyDiv w:val="1"/>
      <w:marLeft w:val="0"/>
      <w:marRight w:val="0"/>
      <w:marTop w:val="0"/>
      <w:marBottom w:val="0"/>
      <w:divBdr>
        <w:top w:val="none" w:sz="0" w:space="0" w:color="auto"/>
        <w:left w:val="none" w:sz="0" w:space="0" w:color="auto"/>
        <w:bottom w:val="none" w:sz="0" w:space="0" w:color="auto"/>
        <w:right w:val="none" w:sz="0" w:space="0" w:color="auto"/>
      </w:divBdr>
    </w:div>
    <w:div w:id="80300680">
      <w:bodyDiv w:val="1"/>
      <w:marLeft w:val="0"/>
      <w:marRight w:val="0"/>
      <w:marTop w:val="0"/>
      <w:marBottom w:val="0"/>
      <w:divBdr>
        <w:top w:val="none" w:sz="0" w:space="0" w:color="auto"/>
        <w:left w:val="none" w:sz="0" w:space="0" w:color="auto"/>
        <w:bottom w:val="none" w:sz="0" w:space="0" w:color="auto"/>
        <w:right w:val="none" w:sz="0" w:space="0" w:color="auto"/>
      </w:divBdr>
    </w:div>
    <w:div w:id="284195904">
      <w:bodyDiv w:val="1"/>
      <w:marLeft w:val="0"/>
      <w:marRight w:val="0"/>
      <w:marTop w:val="0"/>
      <w:marBottom w:val="0"/>
      <w:divBdr>
        <w:top w:val="none" w:sz="0" w:space="0" w:color="auto"/>
        <w:left w:val="none" w:sz="0" w:space="0" w:color="auto"/>
        <w:bottom w:val="none" w:sz="0" w:space="0" w:color="auto"/>
        <w:right w:val="none" w:sz="0" w:space="0" w:color="auto"/>
      </w:divBdr>
    </w:div>
    <w:div w:id="329674444">
      <w:bodyDiv w:val="1"/>
      <w:marLeft w:val="0"/>
      <w:marRight w:val="0"/>
      <w:marTop w:val="0"/>
      <w:marBottom w:val="0"/>
      <w:divBdr>
        <w:top w:val="none" w:sz="0" w:space="0" w:color="auto"/>
        <w:left w:val="none" w:sz="0" w:space="0" w:color="auto"/>
        <w:bottom w:val="none" w:sz="0" w:space="0" w:color="auto"/>
        <w:right w:val="none" w:sz="0" w:space="0" w:color="auto"/>
      </w:divBdr>
      <w:divsChild>
        <w:div w:id="143744946">
          <w:marLeft w:val="0"/>
          <w:marRight w:val="0"/>
          <w:marTop w:val="0"/>
          <w:marBottom w:val="0"/>
          <w:divBdr>
            <w:top w:val="none" w:sz="0" w:space="0" w:color="auto"/>
            <w:left w:val="none" w:sz="0" w:space="0" w:color="auto"/>
            <w:bottom w:val="none" w:sz="0" w:space="0" w:color="auto"/>
            <w:right w:val="none" w:sz="0" w:space="0" w:color="auto"/>
          </w:divBdr>
        </w:div>
        <w:div w:id="1117800351">
          <w:marLeft w:val="0"/>
          <w:marRight w:val="0"/>
          <w:marTop w:val="0"/>
          <w:marBottom w:val="0"/>
          <w:divBdr>
            <w:top w:val="none" w:sz="0" w:space="0" w:color="auto"/>
            <w:left w:val="none" w:sz="0" w:space="0" w:color="auto"/>
            <w:bottom w:val="none" w:sz="0" w:space="0" w:color="auto"/>
            <w:right w:val="none" w:sz="0" w:space="0" w:color="auto"/>
          </w:divBdr>
        </w:div>
        <w:div w:id="960065077">
          <w:marLeft w:val="0"/>
          <w:marRight w:val="0"/>
          <w:marTop w:val="0"/>
          <w:marBottom w:val="0"/>
          <w:divBdr>
            <w:top w:val="none" w:sz="0" w:space="0" w:color="auto"/>
            <w:left w:val="none" w:sz="0" w:space="0" w:color="auto"/>
            <w:bottom w:val="none" w:sz="0" w:space="0" w:color="auto"/>
            <w:right w:val="none" w:sz="0" w:space="0" w:color="auto"/>
          </w:divBdr>
        </w:div>
        <w:div w:id="352801718">
          <w:marLeft w:val="0"/>
          <w:marRight w:val="0"/>
          <w:marTop w:val="0"/>
          <w:marBottom w:val="0"/>
          <w:divBdr>
            <w:top w:val="none" w:sz="0" w:space="0" w:color="auto"/>
            <w:left w:val="none" w:sz="0" w:space="0" w:color="auto"/>
            <w:bottom w:val="none" w:sz="0" w:space="0" w:color="auto"/>
            <w:right w:val="none" w:sz="0" w:space="0" w:color="auto"/>
          </w:divBdr>
        </w:div>
        <w:div w:id="325018134">
          <w:marLeft w:val="0"/>
          <w:marRight w:val="0"/>
          <w:marTop w:val="0"/>
          <w:marBottom w:val="0"/>
          <w:divBdr>
            <w:top w:val="none" w:sz="0" w:space="0" w:color="auto"/>
            <w:left w:val="none" w:sz="0" w:space="0" w:color="auto"/>
            <w:bottom w:val="none" w:sz="0" w:space="0" w:color="auto"/>
            <w:right w:val="none" w:sz="0" w:space="0" w:color="auto"/>
          </w:divBdr>
        </w:div>
      </w:divsChild>
    </w:div>
    <w:div w:id="351147643">
      <w:bodyDiv w:val="1"/>
      <w:marLeft w:val="0"/>
      <w:marRight w:val="0"/>
      <w:marTop w:val="0"/>
      <w:marBottom w:val="0"/>
      <w:divBdr>
        <w:top w:val="none" w:sz="0" w:space="0" w:color="auto"/>
        <w:left w:val="none" w:sz="0" w:space="0" w:color="auto"/>
        <w:bottom w:val="none" w:sz="0" w:space="0" w:color="auto"/>
        <w:right w:val="none" w:sz="0" w:space="0" w:color="auto"/>
      </w:divBdr>
    </w:div>
    <w:div w:id="356582125">
      <w:bodyDiv w:val="1"/>
      <w:marLeft w:val="0"/>
      <w:marRight w:val="0"/>
      <w:marTop w:val="0"/>
      <w:marBottom w:val="0"/>
      <w:divBdr>
        <w:top w:val="none" w:sz="0" w:space="0" w:color="auto"/>
        <w:left w:val="none" w:sz="0" w:space="0" w:color="auto"/>
        <w:bottom w:val="none" w:sz="0" w:space="0" w:color="auto"/>
        <w:right w:val="none" w:sz="0" w:space="0" w:color="auto"/>
      </w:divBdr>
    </w:div>
    <w:div w:id="397242225">
      <w:bodyDiv w:val="1"/>
      <w:marLeft w:val="0"/>
      <w:marRight w:val="0"/>
      <w:marTop w:val="0"/>
      <w:marBottom w:val="0"/>
      <w:divBdr>
        <w:top w:val="none" w:sz="0" w:space="0" w:color="auto"/>
        <w:left w:val="none" w:sz="0" w:space="0" w:color="auto"/>
        <w:bottom w:val="none" w:sz="0" w:space="0" w:color="auto"/>
        <w:right w:val="none" w:sz="0" w:space="0" w:color="auto"/>
      </w:divBdr>
    </w:div>
    <w:div w:id="446895644">
      <w:bodyDiv w:val="1"/>
      <w:marLeft w:val="0"/>
      <w:marRight w:val="0"/>
      <w:marTop w:val="0"/>
      <w:marBottom w:val="0"/>
      <w:divBdr>
        <w:top w:val="none" w:sz="0" w:space="0" w:color="auto"/>
        <w:left w:val="none" w:sz="0" w:space="0" w:color="auto"/>
        <w:bottom w:val="none" w:sz="0" w:space="0" w:color="auto"/>
        <w:right w:val="none" w:sz="0" w:space="0" w:color="auto"/>
      </w:divBdr>
    </w:div>
    <w:div w:id="478574601">
      <w:bodyDiv w:val="1"/>
      <w:marLeft w:val="0"/>
      <w:marRight w:val="0"/>
      <w:marTop w:val="0"/>
      <w:marBottom w:val="0"/>
      <w:divBdr>
        <w:top w:val="none" w:sz="0" w:space="0" w:color="auto"/>
        <w:left w:val="none" w:sz="0" w:space="0" w:color="auto"/>
        <w:bottom w:val="none" w:sz="0" w:space="0" w:color="auto"/>
        <w:right w:val="none" w:sz="0" w:space="0" w:color="auto"/>
      </w:divBdr>
      <w:divsChild>
        <w:div w:id="672270090">
          <w:marLeft w:val="0"/>
          <w:marRight w:val="0"/>
          <w:marTop w:val="0"/>
          <w:marBottom w:val="0"/>
          <w:divBdr>
            <w:top w:val="none" w:sz="0" w:space="0" w:color="auto"/>
            <w:left w:val="none" w:sz="0" w:space="0" w:color="auto"/>
            <w:bottom w:val="none" w:sz="0" w:space="0" w:color="auto"/>
            <w:right w:val="none" w:sz="0" w:space="0" w:color="auto"/>
          </w:divBdr>
        </w:div>
        <w:div w:id="267661456">
          <w:marLeft w:val="0"/>
          <w:marRight w:val="0"/>
          <w:marTop w:val="0"/>
          <w:marBottom w:val="0"/>
          <w:divBdr>
            <w:top w:val="none" w:sz="0" w:space="0" w:color="auto"/>
            <w:left w:val="none" w:sz="0" w:space="0" w:color="auto"/>
            <w:bottom w:val="none" w:sz="0" w:space="0" w:color="auto"/>
            <w:right w:val="none" w:sz="0" w:space="0" w:color="auto"/>
          </w:divBdr>
        </w:div>
        <w:div w:id="137379122">
          <w:marLeft w:val="0"/>
          <w:marRight w:val="0"/>
          <w:marTop w:val="0"/>
          <w:marBottom w:val="0"/>
          <w:divBdr>
            <w:top w:val="none" w:sz="0" w:space="0" w:color="auto"/>
            <w:left w:val="none" w:sz="0" w:space="0" w:color="auto"/>
            <w:bottom w:val="none" w:sz="0" w:space="0" w:color="auto"/>
            <w:right w:val="none" w:sz="0" w:space="0" w:color="auto"/>
          </w:divBdr>
        </w:div>
        <w:div w:id="1224366371">
          <w:marLeft w:val="0"/>
          <w:marRight w:val="0"/>
          <w:marTop w:val="0"/>
          <w:marBottom w:val="0"/>
          <w:divBdr>
            <w:top w:val="none" w:sz="0" w:space="0" w:color="auto"/>
            <w:left w:val="none" w:sz="0" w:space="0" w:color="auto"/>
            <w:bottom w:val="none" w:sz="0" w:space="0" w:color="auto"/>
            <w:right w:val="none" w:sz="0" w:space="0" w:color="auto"/>
          </w:divBdr>
        </w:div>
        <w:div w:id="709494044">
          <w:marLeft w:val="0"/>
          <w:marRight w:val="0"/>
          <w:marTop w:val="0"/>
          <w:marBottom w:val="0"/>
          <w:divBdr>
            <w:top w:val="none" w:sz="0" w:space="0" w:color="auto"/>
            <w:left w:val="none" w:sz="0" w:space="0" w:color="auto"/>
            <w:bottom w:val="none" w:sz="0" w:space="0" w:color="auto"/>
            <w:right w:val="none" w:sz="0" w:space="0" w:color="auto"/>
          </w:divBdr>
        </w:div>
      </w:divsChild>
    </w:div>
    <w:div w:id="513492607">
      <w:bodyDiv w:val="1"/>
      <w:marLeft w:val="0"/>
      <w:marRight w:val="0"/>
      <w:marTop w:val="0"/>
      <w:marBottom w:val="0"/>
      <w:divBdr>
        <w:top w:val="none" w:sz="0" w:space="0" w:color="auto"/>
        <w:left w:val="none" w:sz="0" w:space="0" w:color="auto"/>
        <w:bottom w:val="none" w:sz="0" w:space="0" w:color="auto"/>
        <w:right w:val="none" w:sz="0" w:space="0" w:color="auto"/>
      </w:divBdr>
    </w:div>
    <w:div w:id="734663881">
      <w:bodyDiv w:val="1"/>
      <w:marLeft w:val="0"/>
      <w:marRight w:val="0"/>
      <w:marTop w:val="0"/>
      <w:marBottom w:val="0"/>
      <w:divBdr>
        <w:top w:val="none" w:sz="0" w:space="0" w:color="auto"/>
        <w:left w:val="none" w:sz="0" w:space="0" w:color="auto"/>
        <w:bottom w:val="none" w:sz="0" w:space="0" w:color="auto"/>
        <w:right w:val="none" w:sz="0" w:space="0" w:color="auto"/>
      </w:divBdr>
    </w:div>
    <w:div w:id="741294167">
      <w:bodyDiv w:val="1"/>
      <w:marLeft w:val="0"/>
      <w:marRight w:val="0"/>
      <w:marTop w:val="0"/>
      <w:marBottom w:val="0"/>
      <w:divBdr>
        <w:top w:val="none" w:sz="0" w:space="0" w:color="auto"/>
        <w:left w:val="none" w:sz="0" w:space="0" w:color="auto"/>
        <w:bottom w:val="none" w:sz="0" w:space="0" w:color="auto"/>
        <w:right w:val="none" w:sz="0" w:space="0" w:color="auto"/>
      </w:divBdr>
    </w:div>
    <w:div w:id="841893664">
      <w:bodyDiv w:val="1"/>
      <w:marLeft w:val="0"/>
      <w:marRight w:val="0"/>
      <w:marTop w:val="0"/>
      <w:marBottom w:val="0"/>
      <w:divBdr>
        <w:top w:val="none" w:sz="0" w:space="0" w:color="auto"/>
        <w:left w:val="none" w:sz="0" w:space="0" w:color="auto"/>
        <w:bottom w:val="none" w:sz="0" w:space="0" w:color="auto"/>
        <w:right w:val="none" w:sz="0" w:space="0" w:color="auto"/>
      </w:divBdr>
    </w:div>
    <w:div w:id="848175817">
      <w:bodyDiv w:val="1"/>
      <w:marLeft w:val="0"/>
      <w:marRight w:val="0"/>
      <w:marTop w:val="0"/>
      <w:marBottom w:val="0"/>
      <w:divBdr>
        <w:top w:val="none" w:sz="0" w:space="0" w:color="auto"/>
        <w:left w:val="none" w:sz="0" w:space="0" w:color="auto"/>
        <w:bottom w:val="none" w:sz="0" w:space="0" w:color="auto"/>
        <w:right w:val="none" w:sz="0" w:space="0" w:color="auto"/>
      </w:divBdr>
      <w:divsChild>
        <w:div w:id="1169059625">
          <w:marLeft w:val="0"/>
          <w:marRight w:val="0"/>
          <w:marTop w:val="0"/>
          <w:marBottom w:val="0"/>
          <w:divBdr>
            <w:top w:val="none" w:sz="0" w:space="0" w:color="auto"/>
            <w:left w:val="none" w:sz="0" w:space="0" w:color="auto"/>
            <w:bottom w:val="none" w:sz="0" w:space="0" w:color="auto"/>
            <w:right w:val="none" w:sz="0" w:space="0" w:color="auto"/>
          </w:divBdr>
        </w:div>
        <w:div w:id="563300816">
          <w:marLeft w:val="0"/>
          <w:marRight w:val="0"/>
          <w:marTop w:val="0"/>
          <w:marBottom w:val="0"/>
          <w:divBdr>
            <w:top w:val="none" w:sz="0" w:space="0" w:color="auto"/>
            <w:left w:val="none" w:sz="0" w:space="0" w:color="auto"/>
            <w:bottom w:val="none" w:sz="0" w:space="0" w:color="auto"/>
            <w:right w:val="none" w:sz="0" w:space="0" w:color="auto"/>
          </w:divBdr>
        </w:div>
        <w:div w:id="1014304824">
          <w:marLeft w:val="0"/>
          <w:marRight w:val="0"/>
          <w:marTop w:val="0"/>
          <w:marBottom w:val="0"/>
          <w:divBdr>
            <w:top w:val="none" w:sz="0" w:space="0" w:color="auto"/>
            <w:left w:val="none" w:sz="0" w:space="0" w:color="auto"/>
            <w:bottom w:val="none" w:sz="0" w:space="0" w:color="auto"/>
            <w:right w:val="none" w:sz="0" w:space="0" w:color="auto"/>
          </w:divBdr>
        </w:div>
        <w:div w:id="1254822134">
          <w:marLeft w:val="0"/>
          <w:marRight w:val="0"/>
          <w:marTop w:val="0"/>
          <w:marBottom w:val="0"/>
          <w:divBdr>
            <w:top w:val="none" w:sz="0" w:space="0" w:color="auto"/>
            <w:left w:val="none" w:sz="0" w:space="0" w:color="auto"/>
            <w:bottom w:val="none" w:sz="0" w:space="0" w:color="auto"/>
            <w:right w:val="none" w:sz="0" w:space="0" w:color="auto"/>
          </w:divBdr>
        </w:div>
        <w:div w:id="991836659">
          <w:marLeft w:val="0"/>
          <w:marRight w:val="0"/>
          <w:marTop w:val="0"/>
          <w:marBottom w:val="0"/>
          <w:divBdr>
            <w:top w:val="none" w:sz="0" w:space="0" w:color="auto"/>
            <w:left w:val="none" w:sz="0" w:space="0" w:color="auto"/>
            <w:bottom w:val="none" w:sz="0" w:space="0" w:color="auto"/>
            <w:right w:val="none" w:sz="0" w:space="0" w:color="auto"/>
          </w:divBdr>
        </w:div>
      </w:divsChild>
    </w:div>
    <w:div w:id="984509688">
      <w:bodyDiv w:val="1"/>
      <w:marLeft w:val="0"/>
      <w:marRight w:val="0"/>
      <w:marTop w:val="0"/>
      <w:marBottom w:val="0"/>
      <w:divBdr>
        <w:top w:val="none" w:sz="0" w:space="0" w:color="auto"/>
        <w:left w:val="none" w:sz="0" w:space="0" w:color="auto"/>
        <w:bottom w:val="none" w:sz="0" w:space="0" w:color="auto"/>
        <w:right w:val="none" w:sz="0" w:space="0" w:color="auto"/>
      </w:divBdr>
    </w:div>
    <w:div w:id="1152139769">
      <w:bodyDiv w:val="1"/>
      <w:marLeft w:val="0"/>
      <w:marRight w:val="0"/>
      <w:marTop w:val="0"/>
      <w:marBottom w:val="0"/>
      <w:divBdr>
        <w:top w:val="none" w:sz="0" w:space="0" w:color="auto"/>
        <w:left w:val="none" w:sz="0" w:space="0" w:color="auto"/>
        <w:bottom w:val="none" w:sz="0" w:space="0" w:color="auto"/>
        <w:right w:val="none" w:sz="0" w:space="0" w:color="auto"/>
      </w:divBdr>
      <w:divsChild>
        <w:div w:id="284504557">
          <w:marLeft w:val="0"/>
          <w:marRight w:val="0"/>
          <w:marTop w:val="0"/>
          <w:marBottom w:val="0"/>
          <w:divBdr>
            <w:top w:val="none" w:sz="0" w:space="0" w:color="auto"/>
            <w:left w:val="none" w:sz="0" w:space="0" w:color="auto"/>
            <w:bottom w:val="none" w:sz="0" w:space="0" w:color="auto"/>
            <w:right w:val="none" w:sz="0" w:space="0" w:color="auto"/>
          </w:divBdr>
        </w:div>
        <w:div w:id="1728531482">
          <w:marLeft w:val="0"/>
          <w:marRight w:val="0"/>
          <w:marTop w:val="0"/>
          <w:marBottom w:val="0"/>
          <w:divBdr>
            <w:top w:val="none" w:sz="0" w:space="0" w:color="auto"/>
            <w:left w:val="none" w:sz="0" w:space="0" w:color="auto"/>
            <w:bottom w:val="none" w:sz="0" w:space="0" w:color="auto"/>
            <w:right w:val="none" w:sz="0" w:space="0" w:color="auto"/>
          </w:divBdr>
        </w:div>
        <w:div w:id="674578125">
          <w:marLeft w:val="0"/>
          <w:marRight w:val="0"/>
          <w:marTop w:val="0"/>
          <w:marBottom w:val="0"/>
          <w:divBdr>
            <w:top w:val="none" w:sz="0" w:space="0" w:color="auto"/>
            <w:left w:val="none" w:sz="0" w:space="0" w:color="auto"/>
            <w:bottom w:val="none" w:sz="0" w:space="0" w:color="auto"/>
            <w:right w:val="none" w:sz="0" w:space="0" w:color="auto"/>
          </w:divBdr>
        </w:div>
        <w:div w:id="1770201478">
          <w:marLeft w:val="0"/>
          <w:marRight w:val="0"/>
          <w:marTop w:val="0"/>
          <w:marBottom w:val="0"/>
          <w:divBdr>
            <w:top w:val="none" w:sz="0" w:space="0" w:color="auto"/>
            <w:left w:val="none" w:sz="0" w:space="0" w:color="auto"/>
            <w:bottom w:val="none" w:sz="0" w:space="0" w:color="auto"/>
            <w:right w:val="none" w:sz="0" w:space="0" w:color="auto"/>
          </w:divBdr>
        </w:div>
        <w:div w:id="904800487">
          <w:marLeft w:val="0"/>
          <w:marRight w:val="0"/>
          <w:marTop w:val="0"/>
          <w:marBottom w:val="0"/>
          <w:divBdr>
            <w:top w:val="none" w:sz="0" w:space="0" w:color="auto"/>
            <w:left w:val="none" w:sz="0" w:space="0" w:color="auto"/>
            <w:bottom w:val="none" w:sz="0" w:space="0" w:color="auto"/>
            <w:right w:val="none" w:sz="0" w:space="0" w:color="auto"/>
          </w:divBdr>
        </w:div>
      </w:divsChild>
    </w:div>
    <w:div w:id="1221862880">
      <w:bodyDiv w:val="1"/>
      <w:marLeft w:val="0"/>
      <w:marRight w:val="0"/>
      <w:marTop w:val="0"/>
      <w:marBottom w:val="0"/>
      <w:divBdr>
        <w:top w:val="none" w:sz="0" w:space="0" w:color="auto"/>
        <w:left w:val="none" w:sz="0" w:space="0" w:color="auto"/>
        <w:bottom w:val="none" w:sz="0" w:space="0" w:color="auto"/>
        <w:right w:val="none" w:sz="0" w:space="0" w:color="auto"/>
      </w:divBdr>
    </w:div>
    <w:div w:id="1260605499">
      <w:bodyDiv w:val="1"/>
      <w:marLeft w:val="0"/>
      <w:marRight w:val="0"/>
      <w:marTop w:val="0"/>
      <w:marBottom w:val="0"/>
      <w:divBdr>
        <w:top w:val="none" w:sz="0" w:space="0" w:color="auto"/>
        <w:left w:val="none" w:sz="0" w:space="0" w:color="auto"/>
        <w:bottom w:val="none" w:sz="0" w:space="0" w:color="auto"/>
        <w:right w:val="none" w:sz="0" w:space="0" w:color="auto"/>
      </w:divBdr>
      <w:divsChild>
        <w:div w:id="1905409940">
          <w:marLeft w:val="0"/>
          <w:marRight w:val="0"/>
          <w:marTop w:val="0"/>
          <w:marBottom w:val="0"/>
          <w:divBdr>
            <w:top w:val="none" w:sz="0" w:space="0" w:color="auto"/>
            <w:left w:val="none" w:sz="0" w:space="0" w:color="auto"/>
            <w:bottom w:val="none" w:sz="0" w:space="0" w:color="auto"/>
            <w:right w:val="none" w:sz="0" w:space="0" w:color="auto"/>
          </w:divBdr>
        </w:div>
        <w:div w:id="900558764">
          <w:marLeft w:val="0"/>
          <w:marRight w:val="0"/>
          <w:marTop w:val="0"/>
          <w:marBottom w:val="0"/>
          <w:divBdr>
            <w:top w:val="none" w:sz="0" w:space="0" w:color="auto"/>
            <w:left w:val="none" w:sz="0" w:space="0" w:color="auto"/>
            <w:bottom w:val="none" w:sz="0" w:space="0" w:color="auto"/>
            <w:right w:val="none" w:sz="0" w:space="0" w:color="auto"/>
          </w:divBdr>
        </w:div>
        <w:div w:id="1335839154">
          <w:marLeft w:val="0"/>
          <w:marRight w:val="0"/>
          <w:marTop w:val="0"/>
          <w:marBottom w:val="0"/>
          <w:divBdr>
            <w:top w:val="none" w:sz="0" w:space="0" w:color="auto"/>
            <w:left w:val="none" w:sz="0" w:space="0" w:color="auto"/>
            <w:bottom w:val="none" w:sz="0" w:space="0" w:color="auto"/>
            <w:right w:val="none" w:sz="0" w:space="0" w:color="auto"/>
          </w:divBdr>
        </w:div>
        <w:div w:id="1137261403">
          <w:marLeft w:val="0"/>
          <w:marRight w:val="0"/>
          <w:marTop w:val="0"/>
          <w:marBottom w:val="0"/>
          <w:divBdr>
            <w:top w:val="none" w:sz="0" w:space="0" w:color="auto"/>
            <w:left w:val="none" w:sz="0" w:space="0" w:color="auto"/>
            <w:bottom w:val="none" w:sz="0" w:space="0" w:color="auto"/>
            <w:right w:val="none" w:sz="0" w:space="0" w:color="auto"/>
          </w:divBdr>
        </w:div>
        <w:div w:id="1053237292">
          <w:marLeft w:val="0"/>
          <w:marRight w:val="0"/>
          <w:marTop w:val="0"/>
          <w:marBottom w:val="0"/>
          <w:divBdr>
            <w:top w:val="none" w:sz="0" w:space="0" w:color="auto"/>
            <w:left w:val="none" w:sz="0" w:space="0" w:color="auto"/>
            <w:bottom w:val="none" w:sz="0" w:space="0" w:color="auto"/>
            <w:right w:val="none" w:sz="0" w:space="0" w:color="auto"/>
          </w:divBdr>
        </w:div>
      </w:divsChild>
    </w:div>
    <w:div w:id="1343699119">
      <w:bodyDiv w:val="1"/>
      <w:marLeft w:val="0"/>
      <w:marRight w:val="0"/>
      <w:marTop w:val="0"/>
      <w:marBottom w:val="0"/>
      <w:divBdr>
        <w:top w:val="none" w:sz="0" w:space="0" w:color="auto"/>
        <w:left w:val="none" w:sz="0" w:space="0" w:color="auto"/>
        <w:bottom w:val="none" w:sz="0" w:space="0" w:color="auto"/>
        <w:right w:val="none" w:sz="0" w:space="0" w:color="auto"/>
      </w:divBdr>
    </w:div>
    <w:div w:id="1433744490">
      <w:bodyDiv w:val="1"/>
      <w:marLeft w:val="0"/>
      <w:marRight w:val="0"/>
      <w:marTop w:val="0"/>
      <w:marBottom w:val="0"/>
      <w:divBdr>
        <w:top w:val="none" w:sz="0" w:space="0" w:color="auto"/>
        <w:left w:val="none" w:sz="0" w:space="0" w:color="auto"/>
        <w:bottom w:val="none" w:sz="0" w:space="0" w:color="auto"/>
        <w:right w:val="none" w:sz="0" w:space="0" w:color="auto"/>
      </w:divBdr>
    </w:div>
    <w:div w:id="1662927822">
      <w:bodyDiv w:val="1"/>
      <w:marLeft w:val="0"/>
      <w:marRight w:val="0"/>
      <w:marTop w:val="0"/>
      <w:marBottom w:val="0"/>
      <w:divBdr>
        <w:top w:val="none" w:sz="0" w:space="0" w:color="auto"/>
        <w:left w:val="none" w:sz="0" w:space="0" w:color="auto"/>
        <w:bottom w:val="none" w:sz="0" w:space="0" w:color="auto"/>
        <w:right w:val="none" w:sz="0" w:space="0" w:color="auto"/>
      </w:divBdr>
      <w:divsChild>
        <w:div w:id="188683157">
          <w:marLeft w:val="0"/>
          <w:marRight w:val="0"/>
          <w:marTop w:val="0"/>
          <w:marBottom w:val="0"/>
          <w:divBdr>
            <w:top w:val="none" w:sz="0" w:space="0" w:color="auto"/>
            <w:left w:val="none" w:sz="0" w:space="0" w:color="auto"/>
            <w:bottom w:val="none" w:sz="0" w:space="0" w:color="auto"/>
            <w:right w:val="none" w:sz="0" w:space="0" w:color="auto"/>
          </w:divBdr>
        </w:div>
        <w:div w:id="1227490816">
          <w:marLeft w:val="0"/>
          <w:marRight w:val="0"/>
          <w:marTop w:val="0"/>
          <w:marBottom w:val="0"/>
          <w:divBdr>
            <w:top w:val="none" w:sz="0" w:space="0" w:color="auto"/>
            <w:left w:val="none" w:sz="0" w:space="0" w:color="auto"/>
            <w:bottom w:val="none" w:sz="0" w:space="0" w:color="auto"/>
            <w:right w:val="none" w:sz="0" w:space="0" w:color="auto"/>
          </w:divBdr>
        </w:div>
        <w:div w:id="1018585008">
          <w:marLeft w:val="0"/>
          <w:marRight w:val="0"/>
          <w:marTop w:val="0"/>
          <w:marBottom w:val="0"/>
          <w:divBdr>
            <w:top w:val="none" w:sz="0" w:space="0" w:color="auto"/>
            <w:left w:val="none" w:sz="0" w:space="0" w:color="auto"/>
            <w:bottom w:val="none" w:sz="0" w:space="0" w:color="auto"/>
            <w:right w:val="none" w:sz="0" w:space="0" w:color="auto"/>
          </w:divBdr>
        </w:div>
        <w:div w:id="1958679158">
          <w:marLeft w:val="0"/>
          <w:marRight w:val="0"/>
          <w:marTop w:val="0"/>
          <w:marBottom w:val="0"/>
          <w:divBdr>
            <w:top w:val="none" w:sz="0" w:space="0" w:color="auto"/>
            <w:left w:val="none" w:sz="0" w:space="0" w:color="auto"/>
            <w:bottom w:val="none" w:sz="0" w:space="0" w:color="auto"/>
            <w:right w:val="none" w:sz="0" w:space="0" w:color="auto"/>
          </w:divBdr>
        </w:div>
        <w:div w:id="1232345918">
          <w:marLeft w:val="0"/>
          <w:marRight w:val="0"/>
          <w:marTop w:val="0"/>
          <w:marBottom w:val="0"/>
          <w:divBdr>
            <w:top w:val="none" w:sz="0" w:space="0" w:color="auto"/>
            <w:left w:val="none" w:sz="0" w:space="0" w:color="auto"/>
            <w:bottom w:val="none" w:sz="0" w:space="0" w:color="auto"/>
            <w:right w:val="none" w:sz="0" w:space="0" w:color="auto"/>
          </w:divBdr>
        </w:div>
        <w:div w:id="835193139">
          <w:marLeft w:val="0"/>
          <w:marRight w:val="0"/>
          <w:marTop w:val="0"/>
          <w:marBottom w:val="0"/>
          <w:divBdr>
            <w:top w:val="none" w:sz="0" w:space="0" w:color="auto"/>
            <w:left w:val="none" w:sz="0" w:space="0" w:color="auto"/>
            <w:bottom w:val="none" w:sz="0" w:space="0" w:color="auto"/>
            <w:right w:val="none" w:sz="0" w:space="0" w:color="auto"/>
          </w:divBdr>
        </w:div>
      </w:divsChild>
    </w:div>
    <w:div w:id="1935479313">
      <w:bodyDiv w:val="1"/>
      <w:marLeft w:val="0"/>
      <w:marRight w:val="0"/>
      <w:marTop w:val="0"/>
      <w:marBottom w:val="0"/>
      <w:divBdr>
        <w:top w:val="none" w:sz="0" w:space="0" w:color="auto"/>
        <w:left w:val="none" w:sz="0" w:space="0" w:color="auto"/>
        <w:bottom w:val="none" w:sz="0" w:space="0" w:color="auto"/>
        <w:right w:val="none" w:sz="0" w:space="0" w:color="auto"/>
      </w:divBdr>
      <w:divsChild>
        <w:div w:id="802311666">
          <w:marLeft w:val="0"/>
          <w:marRight w:val="0"/>
          <w:marTop w:val="0"/>
          <w:marBottom w:val="0"/>
          <w:divBdr>
            <w:top w:val="none" w:sz="0" w:space="0" w:color="auto"/>
            <w:left w:val="none" w:sz="0" w:space="0" w:color="auto"/>
            <w:bottom w:val="none" w:sz="0" w:space="0" w:color="auto"/>
            <w:right w:val="none" w:sz="0" w:space="0" w:color="auto"/>
          </w:divBdr>
        </w:div>
        <w:div w:id="1389449958">
          <w:marLeft w:val="0"/>
          <w:marRight w:val="0"/>
          <w:marTop w:val="0"/>
          <w:marBottom w:val="0"/>
          <w:divBdr>
            <w:top w:val="none" w:sz="0" w:space="0" w:color="auto"/>
            <w:left w:val="none" w:sz="0" w:space="0" w:color="auto"/>
            <w:bottom w:val="none" w:sz="0" w:space="0" w:color="auto"/>
            <w:right w:val="none" w:sz="0" w:space="0" w:color="auto"/>
          </w:divBdr>
        </w:div>
      </w:divsChild>
    </w:div>
    <w:div w:id="1981499327">
      <w:bodyDiv w:val="1"/>
      <w:marLeft w:val="0"/>
      <w:marRight w:val="0"/>
      <w:marTop w:val="0"/>
      <w:marBottom w:val="0"/>
      <w:divBdr>
        <w:top w:val="none" w:sz="0" w:space="0" w:color="auto"/>
        <w:left w:val="none" w:sz="0" w:space="0" w:color="auto"/>
        <w:bottom w:val="none" w:sz="0" w:space="0" w:color="auto"/>
        <w:right w:val="none" w:sz="0" w:space="0" w:color="auto"/>
      </w:divBdr>
    </w:div>
    <w:div w:id="2091386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chart" Target="charts/chart5.xml"/><Relationship Id="rId34" Type="http://schemas.openxmlformats.org/officeDocument/2006/relationships/image" Target="media/image16.emf"/><Relationship Id="rId42" Type="http://schemas.openxmlformats.org/officeDocument/2006/relationships/hyperlink" Target="http://ipt-togo.gbif.fr/resource?r=public" TargetMode="External"/><Relationship Id="rId47" Type="http://schemas.openxmlformats.org/officeDocument/2006/relationships/hyperlink" Target="https://fr.wikipedia.org/wiki/Am%C3%A9rique_du_Sud" TargetMode="External"/><Relationship Id="rId50" Type="http://schemas.openxmlformats.org/officeDocument/2006/relationships/hyperlink" Target="https://fr.wikipedia.org/wiki/Tha%C3%AFlande" TargetMode="External"/><Relationship Id="rId55" Type="http://schemas.openxmlformats.org/officeDocument/2006/relationships/image" Target="media/image26.jpeg"/><Relationship Id="rId63" Type="http://schemas.openxmlformats.org/officeDocument/2006/relationships/hyperlink" Target="http://www.theguardian.com/news/datablog/2013/nov/26/iucn-red-list-threatened-species-by-country-statistic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3.png"/><Relationship Id="rId11" Type="http://schemas.openxmlformats.org/officeDocument/2006/relationships/hyperlink" Target="https://www.google.fr/url?sa=t&amp;rct=j&amp;q=&amp;esrc=s&amp;source=web&amp;cd=2&amp;cad=rja&amp;uact=8&amp;ved=2ahUKEwjerLqisYXfAhWLyLwKHdbqDQsQFjABegQIBxAB&amp;url=https%3A%2F%2Fwww.asti.cgiar.org%2Fnode%2F1063&amp;usg=AOvVaw1wsHS_u4aPsuvs90VygAxE" TargetMode="External"/><Relationship Id="rId24" Type="http://schemas.openxmlformats.org/officeDocument/2006/relationships/image" Target="media/image8.jpeg"/><Relationship Id="rId32" Type="http://schemas.openxmlformats.org/officeDocument/2006/relationships/chart" Target="charts/chart8.xml"/><Relationship Id="rId37" Type="http://schemas.openxmlformats.org/officeDocument/2006/relationships/image" Target="media/image18.png"/><Relationship Id="rId40" Type="http://schemas.openxmlformats.org/officeDocument/2006/relationships/hyperlink" Target="http://www.sep2d.org/programme-sep2d/couverture-geographique" TargetMode="External"/><Relationship Id="rId45" Type="http://schemas.openxmlformats.org/officeDocument/2006/relationships/hyperlink" Target="https://fr.wikipedia.org/wiki/Pontederiaceae" TargetMode="External"/><Relationship Id="rId53" Type="http://schemas.openxmlformats.org/officeDocument/2006/relationships/image" Target="media/image24.jpeg"/><Relationship Id="rId58" Type="http://schemas.openxmlformats.org/officeDocument/2006/relationships/image" Target="media/image29.jpeg"/><Relationship Id="rId5" Type="http://schemas.openxmlformats.org/officeDocument/2006/relationships/webSettings" Target="webSettings.xml"/><Relationship Id="rId61" Type="http://schemas.openxmlformats.org/officeDocument/2006/relationships/chart" Target="charts/chart12.xml"/><Relationship Id="rId19" Type="http://schemas.openxmlformats.org/officeDocument/2006/relationships/chart" Target="charts/chart3.xml"/><Relationship Id="rId14" Type="http://schemas.openxmlformats.org/officeDocument/2006/relationships/chart" Target="charts/chart1.xml"/><Relationship Id="rId22" Type="http://schemas.openxmlformats.org/officeDocument/2006/relationships/chart" Target="charts/chart6.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emf"/><Relationship Id="rId43" Type="http://schemas.openxmlformats.org/officeDocument/2006/relationships/image" Target="media/image20.png"/><Relationship Id="rId48" Type="http://schemas.openxmlformats.org/officeDocument/2006/relationships/hyperlink" Target="https://fr.wikipedia.org/wiki/Malaisie" TargetMode="External"/><Relationship Id="rId56" Type="http://schemas.openxmlformats.org/officeDocument/2006/relationships/image" Target="media/image27.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emf"/><Relationship Id="rId25" Type="http://schemas.openxmlformats.org/officeDocument/2006/relationships/image" Target="media/image9.jpeg"/><Relationship Id="rId33" Type="http://schemas.openxmlformats.org/officeDocument/2006/relationships/chart" Target="charts/chart9.xml"/><Relationship Id="rId38" Type="http://schemas.openxmlformats.org/officeDocument/2006/relationships/image" Target="media/image19.jpeg"/><Relationship Id="rId46" Type="http://schemas.openxmlformats.org/officeDocument/2006/relationships/hyperlink" Target="https://fr.wikipedia.org/wiki/Amazonie" TargetMode="External"/><Relationship Id="rId59" Type="http://schemas.openxmlformats.org/officeDocument/2006/relationships/image" Target="media/image30.png"/><Relationship Id="rId20" Type="http://schemas.openxmlformats.org/officeDocument/2006/relationships/chart" Target="charts/chart4.xml"/><Relationship Id="rId41" Type="http://schemas.openxmlformats.org/officeDocument/2006/relationships/hyperlink" Target="http://www.sud-expert-plantes.ird.fr" TargetMode="External"/><Relationship Id="rId54" Type="http://schemas.openxmlformats.org/officeDocument/2006/relationships/image" Target="media/image25.jpeg"/><Relationship Id="rId62" Type="http://schemas.openxmlformats.org/officeDocument/2006/relationships/chart" Target="charts/chart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chart" Target="charts/chart7.xml"/><Relationship Id="rId28" Type="http://schemas.openxmlformats.org/officeDocument/2006/relationships/image" Target="media/image12.jpeg"/><Relationship Id="rId36" Type="http://schemas.openxmlformats.org/officeDocument/2006/relationships/chart" Target="charts/chart10.xml"/><Relationship Id="rId49" Type="http://schemas.openxmlformats.org/officeDocument/2006/relationships/hyperlink" Target="https://fr.wikipedia.org/wiki/Laos" TargetMode="External"/><Relationship Id="rId57" Type="http://schemas.openxmlformats.org/officeDocument/2006/relationships/image" Target="media/image28.png"/><Relationship Id="rId10" Type="http://schemas.openxmlformats.org/officeDocument/2006/relationships/footer" Target="footer1.xml"/><Relationship Id="rId31" Type="http://schemas.openxmlformats.org/officeDocument/2006/relationships/image" Target="media/image15.jpeg"/><Relationship Id="rId44" Type="http://schemas.openxmlformats.org/officeDocument/2006/relationships/image" Target="media/image21.png"/><Relationship Id="rId52" Type="http://schemas.openxmlformats.org/officeDocument/2006/relationships/image" Target="media/image23.jpeg"/><Relationship Id="rId60" Type="http://schemas.openxmlformats.org/officeDocument/2006/relationships/chart" Target="charts/chart1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3.xml"/><Relationship Id="rId18" Type="http://schemas.openxmlformats.org/officeDocument/2006/relationships/chart" Target="charts/chart2.xml"/><Relationship Id="rId39" Type="http://schemas.openxmlformats.org/officeDocument/2006/relationships/hyperlink" Target="https://www.giz.de/en/worldwide/31822.html" TargetMode="External"/></Relationships>
</file>

<file path=word/_rels/foot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png"/><Relationship Id="rId1" Type="http://schemas.openxmlformats.org/officeDocument/2006/relationships/image" Target="media/image3.jpeg"/></Relationships>
</file>

<file path=word/charts/_rels/chart1.xml.rels><?xml version="1.0" encoding="UTF-8" standalone="yes"?>
<Relationships xmlns="http://schemas.openxmlformats.org/package/2006/relationships"><Relationship Id="rId2" Type="http://schemas.openxmlformats.org/officeDocument/2006/relationships/oleObject" Target="file:///D:\Biodiversite\Cinqui&#232;me_Rapport_National_Biodiversit&#233;\Menace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D:\Consultation\PROREED\Statut.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client\Desktop\6&#232;me_rapport_1\affectation%20de%20terre.xlsx" TargetMode="External"/></Relationships>
</file>

<file path=word/charts/_rels/chart12.xml.rels><?xml version="1.0" encoding="UTF-8" standalone="yes"?>
<Relationships xmlns="http://schemas.openxmlformats.org/package/2006/relationships"><Relationship Id="rId2" Type="http://schemas.openxmlformats.org/officeDocument/2006/relationships/package" Target="../embeddings/Feuille_de_calcul_Microsoft_Excel.xlsx"/><Relationship Id="rId1" Type="http://schemas.openxmlformats.org/officeDocument/2006/relationships/themeOverride" Target="../theme/themeOverride2.xml"/></Relationships>
</file>

<file path=word/charts/_rels/chart13.xml.rels><?xml version="1.0" encoding="UTF-8" standalone="yes"?>
<Relationships xmlns="http://schemas.openxmlformats.org/package/2006/relationships"><Relationship Id="rId1" Type="http://schemas.openxmlformats.org/officeDocument/2006/relationships/oleObject" Target="file:///E:\ALGUES\Algues%20check-list.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Consultations\MERF\DRF\6eme_rapport_cdb\rapport\evaluation_mise%20en%20oeuvre%20objectif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Consultation\Biodiversit&#233;%206e%20RAPPORT\Rapport\Traite%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Feuil1!$C$22</c:f>
              <c:strCache>
                <c:ptCount val="1"/>
                <c:pt idx="0">
                  <c:v>Poissons</c:v>
                </c:pt>
              </c:strCache>
            </c:strRef>
          </c:tx>
          <c:invertIfNegative val="0"/>
          <c:cat>
            <c:strRef>
              <c:f>Feuil1!$B$23:$B$29</c:f>
              <c:strCache>
                <c:ptCount val="7"/>
                <c:pt idx="0">
                  <c:v>Perte des habitats</c:v>
                </c:pt>
                <c:pt idx="1">
                  <c:v>Changements climatiques</c:v>
                </c:pt>
                <c:pt idx="2">
                  <c:v>Dégradation des habitats</c:v>
                </c:pt>
                <c:pt idx="3">
                  <c:v>Pullution</c:v>
                </c:pt>
                <c:pt idx="4">
                  <c:v>Surexploitation</c:v>
                </c:pt>
                <c:pt idx="5">
                  <c:v>Braconnage</c:v>
                </c:pt>
                <c:pt idx="6">
                  <c:v>Envahissement des aires protégées</c:v>
                </c:pt>
              </c:strCache>
            </c:strRef>
          </c:cat>
          <c:val>
            <c:numRef>
              <c:f>Feuil1!$C$23:$C$29</c:f>
              <c:numCache>
                <c:formatCode>General</c:formatCode>
                <c:ptCount val="7"/>
                <c:pt idx="0">
                  <c:v>6</c:v>
                </c:pt>
                <c:pt idx="1">
                  <c:v>6</c:v>
                </c:pt>
                <c:pt idx="2">
                  <c:v>3</c:v>
                </c:pt>
                <c:pt idx="3">
                  <c:v>6</c:v>
                </c:pt>
                <c:pt idx="4">
                  <c:v>6</c:v>
                </c:pt>
                <c:pt idx="5">
                  <c:v>0</c:v>
                </c:pt>
                <c:pt idx="6">
                  <c:v>0</c:v>
                </c:pt>
              </c:numCache>
            </c:numRef>
          </c:val>
          <c:extLst>
            <c:ext xmlns:c16="http://schemas.microsoft.com/office/drawing/2014/chart" uri="{C3380CC4-5D6E-409C-BE32-E72D297353CC}">
              <c16:uniqueId val="{00000000-F873-43C6-8725-6FD5B5622242}"/>
            </c:ext>
          </c:extLst>
        </c:ser>
        <c:ser>
          <c:idx val="1"/>
          <c:order val="1"/>
          <c:tx>
            <c:strRef>
              <c:f>Feuil1!$D$22</c:f>
              <c:strCache>
                <c:ptCount val="1"/>
                <c:pt idx="0">
                  <c:v>Amphibiens</c:v>
                </c:pt>
              </c:strCache>
            </c:strRef>
          </c:tx>
          <c:invertIfNegative val="0"/>
          <c:cat>
            <c:strRef>
              <c:f>Feuil1!$B$23:$B$29</c:f>
              <c:strCache>
                <c:ptCount val="7"/>
                <c:pt idx="0">
                  <c:v>Perte des habitats</c:v>
                </c:pt>
                <c:pt idx="1">
                  <c:v>Changements climatiques</c:v>
                </c:pt>
                <c:pt idx="2">
                  <c:v>Dégradation des habitats</c:v>
                </c:pt>
                <c:pt idx="3">
                  <c:v>Pullution</c:v>
                </c:pt>
                <c:pt idx="4">
                  <c:v>Surexploitation</c:v>
                </c:pt>
                <c:pt idx="5">
                  <c:v>Braconnage</c:v>
                </c:pt>
                <c:pt idx="6">
                  <c:v>Envahissement des aires protégées</c:v>
                </c:pt>
              </c:strCache>
            </c:strRef>
          </c:cat>
          <c:val>
            <c:numRef>
              <c:f>Feuil1!$D$23:$D$29</c:f>
              <c:numCache>
                <c:formatCode>General</c:formatCode>
                <c:ptCount val="7"/>
                <c:pt idx="0">
                  <c:v>6</c:v>
                </c:pt>
                <c:pt idx="1">
                  <c:v>6</c:v>
                </c:pt>
                <c:pt idx="2">
                  <c:v>6</c:v>
                </c:pt>
                <c:pt idx="3">
                  <c:v>6</c:v>
                </c:pt>
                <c:pt idx="4">
                  <c:v>0</c:v>
                </c:pt>
                <c:pt idx="5">
                  <c:v>0</c:v>
                </c:pt>
                <c:pt idx="6">
                  <c:v>0</c:v>
                </c:pt>
              </c:numCache>
            </c:numRef>
          </c:val>
          <c:extLst>
            <c:ext xmlns:c16="http://schemas.microsoft.com/office/drawing/2014/chart" uri="{C3380CC4-5D6E-409C-BE32-E72D297353CC}">
              <c16:uniqueId val="{00000001-F873-43C6-8725-6FD5B5622242}"/>
            </c:ext>
          </c:extLst>
        </c:ser>
        <c:ser>
          <c:idx val="2"/>
          <c:order val="2"/>
          <c:tx>
            <c:strRef>
              <c:f>Feuil1!$E$22</c:f>
              <c:strCache>
                <c:ptCount val="1"/>
                <c:pt idx="0">
                  <c:v>Reptiles</c:v>
                </c:pt>
              </c:strCache>
            </c:strRef>
          </c:tx>
          <c:invertIfNegative val="0"/>
          <c:cat>
            <c:strRef>
              <c:f>Feuil1!$B$23:$B$29</c:f>
              <c:strCache>
                <c:ptCount val="7"/>
                <c:pt idx="0">
                  <c:v>Perte des habitats</c:v>
                </c:pt>
                <c:pt idx="1">
                  <c:v>Changements climatiques</c:v>
                </c:pt>
                <c:pt idx="2">
                  <c:v>Dégradation des habitats</c:v>
                </c:pt>
                <c:pt idx="3">
                  <c:v>Pullution</c:v>
                </c:pt>
                <c:pt idx="4">
                  <c:v>Surexploitation</c:v>
                </c:pt>
                <c:pt idx="5">
                  <c:v>Braconnage</c:v>
                </c:pt>
                <c:pt idx="6">
                  <c:v>Envahissement des aires protégées</c:v>
                </c:pt>
              </c:strCache>
            </c:strRef>
          </c:cat>
          <c:val>
            <c:numRef>
              <c:f>Feuil1!$E$23:$E$29</c:f>
              <c:numCache>
                <c:formatCode>General</c:formatCode>
                <c:ptCount val="7"/>
                <c:pt idx="0">
                  <c:v>13</c:v>
                </c:pt>
                <c:pt idx="1">
                  <c:v>13</c:v>
                </c:pt>
                <c:pt idx="2">
                  <c:v>7</c:v>
                </c:pt>
                <c:pt idx="3">
                  <c:v>12</c:v>
                </c:pt>
                <c:pt idx="4">
                  <c:v>4</c:v>
                </c:pt>
                <c:pt idx="5">
                  <c:v>4</c:v>
                </c:pt>
                <c:pt idx="6">
                  <c:v>5</c:v>
                </c:pt>
              </c:numCache>
            </c:numRef>
          </c:val>
          <c:extLst>
            <c:ext xmlns:c16="http://schemas.microsoft.com/office/drawing/2014/chart" uri="{C3380CC4-5D6E-409C-BE32-E72D297353CC}">
              <c16:uniqueId val="{00000002-F873-43C6-8725-6FD5B5622242}"/>
            </c:ext>
          </c:extLst>
        </c:ser>
        <c:ser>
          <c:idx val="3"/>
          <c:order val="3"/>
          <c:tx>
            <c:strRef>
              <c:f>Feuil1!$F$22</c:f>
              <c:strCache>
                <c:ptCount val="1"/>
                <c:pt idx="0">
                  <c:v>Oiseaux</c:v>
                </c:pt>
              </c:strCache>
            </c:strRef>
          </c:tx>
          <c:invertIfNegative val="0"/>
          <c:cat>
            <c:strRef>
              <c:f>Feuil1!$B$23:$B$29</c:f>
              <c:strCache>
                <c:ptCount val="7"/>
                <c:pt idx="0">
                  <c:v>Perte des habitats</c:v>
                </c:pt>
                <c:pt idx="1">
                  <c:v>Changements climatiques</c:v>
                </c:pt>
                <c:pt idx="2">
                  <c:v>Dégradation des habitats</c:v>
                </c:pt>
                <c:pt idx="3">
                  <c:v>Pullution</c:v>
                </c:pt>
                <c:pt idx="4">
                  <c:v>Surexploitation</c:v>
                </c:pt>
                <c:pt idx="5">
                  <c:v>Braconnage</c:v>
                </c:pt>
                <c:pt idx="6">
                  <c:v>Envahissement des aires protégées</c:v>
                </c:pt>
              </c:strCache>
            </c:strRef>
          </c:cat>
          <c:val>
            <c:numRef>
              <c:f>Feuil1!$F$23:$F$29</c:f>
              <c:numCache>
                <c:formatCode>General</c:formatCode>
                <c:ptCount val="7"/>
                <c:pt idx="0">
                  <c:v>12</c:v>
                </c:pt>
                <c:pt idx="1">
                  <c:v>12</c:v>
                </c:pt>
                <c:pt idx="2">
                  <c:v>8</c:v>
                </c:pt>
                <c:pt idx="3">
                  <c:v>4</c:v>
                </c:pt>
                <c:pt idx="4">
                  <c:v>8</c:v>
                </c:pt>
                <c:pt idx="5">
                  <c:v>8</c:v>
                </c:pt>
                <c:pt idx="6">
                  <c:v>12</c:v>
                </c:pt>
              </c:numCache>
            </c:numRef>
          </c:val>
          <c:extLst>
            <c:ext xmlns:c16="http://schemas.microsoft.com/office/drawing/2014/chart" uri="{C3380CC4-5D6E-409C-BE32-E72D297353CC}">
              <c16:uniqueId val="{00000003-F873-43C6-8725-6FD5B5622242}"/>
            </c:ext>
          </c:extLst>
        </c:ser>
        <c:ser>
          <c:idx val="4"/>
          <c:order val="4"/>
          <c:tx>
            <c:strRef>
              <c:f>Feuil1!$G$22</c:f>
              <c:strCache>
                <c:ptCount val="1"/>
                <c:pt idx="0">
                  <c:v>Mammifères</c:v>
                </c:pt>
              </c:strCache>
            </c:strRef>
          </c:tx>
          <c:invertIfNegative val="0"/>
          <c:cat>
            <c:strRef>
              <c:f>Feuil1!$B$23:$B$29</c:f>
              <c:strCache>
                <c:ptCount val="7"/>
                <c:pt idx="0">
                  <c:v>Perte des habitats</c:v>
                </c:pt>
                <c:pt idx="1">
                  <c:v>Changements climatiques</c:v>
                </c:pt>
                <c:pt idx="2">
                  <c:v>Dégradation des habitats</c:v>
                </c:pt>
                <c:pt idx="3">
                  <c:v>Pullution</c:v>
                </c:pt>
                <c:pt idx="4">
                  <c:v>Surexploitation</c:v>
                </c:pt>
                <c:pt idx="5">
                  <c:v>Braconnage</c:v>
                </c:pt>
                <c:pt idx="6">
                  <c:v>Envahissement des aires protégées</c:v>
                </c:pt>
              </c:strCache>
            </c:strRef>
          </c:cat>
          <c:val>
            <c:numRef>
              <c:f>Feuil1!$G$23:$G$29</c:f>
              <c:numCache>
                <c:formatCode>General</c:formatCode>
                <c:ptCount val="7"/>
                <c:pt idx="0">
                  <c:v>11</c:v>
                </c:pt>
                <c:pt idx="1">
                  <c:v>11</c:v>
                </c:pt>
                <c:pt idx="2">
                  <c:v>8</c:v>
                </c:pt>
                <c:pt idx="3">
                  <c:v>2</c:v>
                </c:pt>
                <c:pt idx="4">
                  <c:v>11</c:v>
                </c:pt>
                <c:pt idx="5">
                  <c:v>11</c:v>
                </c:pt>
                <c:pt idx="6">
                  <c:v>11</c:v>
                </c:pt>
              </c:numCache>
            </c:numRef>
          </c:val>
          <c:extLst>
            <c:ext xmlns:c16="http://schemas.microsoft.com/office/drawing/2014/chart" uri="{C3380CC4-5D6E-409C-BE32-E72D297353CC}">
              <c16:uniqueId val="{00000004-F873-43C6-8725-6FD5B5622242}"/>
            </c:ext>
          </c:extLst>
        </c:ser>
        <c:dLbls>
          <c:showLegendKey val="0"/>
          <c:showVal val="0"/>
          <c:showCatName val="0"/>
          <c:showSerName val="0"/>
          <c:showPercent val="0"/>
          <c:showBubbleSize val="0"/>
        </c:dLbls>
        <c:gapWidth val="150"/>
        <c:shape val="box"/>
        <c:axId val="201996544"/>
        <c:axId val="177656576"/>
        <c:axId val="0"/>
      </c:bar3DChart>
      <c:catAx>
        <c:axId val="201996544"/>
        <c:scaling>
          <c:orientation val="minMax"/>
        </c:scaling>
        <c:delete val="0"/>
        <c:axPos val="b"/>
        <c:title>
          <c:tx>
            <c:rich>
              <a:bodyPr/>
              <a:lstStyle/>
              <a:p>
                <a:pPr>
                  <a:defRPr/>
                </a:pPr>
                <a:r>
                  <a:rPr lang="en-US" sz="1100">
                    <a:latin typeface="Times New Roman" pitchFamily="18" charset="0"/>
                    <a:cs typeface="Times New Roman" pitchFamily="18" charset="0"/>
                  </a:rPr>
                  <a:t>Menace sur la biodiversité</a:t>
                </a:r>
              </a:p>
            </c:rich>
          </c:tx>
          <c:overlay val="0"/>
        </c:title>
        <c:numFmt formatCode="General" sourceLinked="0"/>
        <c:majorTickMark val="out"/>
        <c:minorTickMark val="none"/>
        <c:tickLblPos val="nextTo"/>
        <c:spPr>
          <a:ln w="19050">
            <a:solidFill>
              <a:sysClr val="windowText" lastClr="000000"/>
            </a:solidFill>
          </a:ln>
        </c:spPr>
        <c:txPr>
          <a:bodyPr/>
          <a:lstStyle/>
          <a:p>
            <a:pPr>
              <a:defRPr sz="1100">
                <a:latin typeface="Times New Roman" pitchFamily="18" charset="0"/>
                <a:cs typeface="Times New Roman" pitchFamily="18" charset="0"/>
              </a:defRPr>
            </a:pPr>
            <a:endParaRPr lang="fr-FR"/>
          </a:p>
        </c:txPr>
        <c:crossAx val="177656576"/>
        <c:crosses val="autoZero"/>
        <c:auto val="1"/>
        <c:lblAlgn val="ctr"/>
        <c:lblOffset val="100"/>
        <c:noMultiLvlLbl val="0"/>
      </c:catAx>
      <c:valAx>
        <c:axId val="177656576"/>
        <c:scaling>
          <c:orientation val="minMax"/>
        </c:scaling>
        <c:delete val="0"/>
        <c:axPos val="l"/>
        <c:majorGridlines/>
        <c:title>
          <c:tx>
            <c:rich>
              <a:bodyPr rot="-5400000" vert="horz"/>
              <a:lstStyle/>
              <a:p>
                <a:pPr>
                  <a:defRPr/>
                </a:pPr>
                <a:r>
                  <a:rPr lang="en-US"/>
                  <a:t>Nombre d'espèces de la liste rouge</a:t>
                </a:r>
              </a:p>
            </c:rich>
          </c:tx>
          <c:overlay val="0"/>
        </c:title>
        <c:numFmt formatCode="General" sourceLinked="1"/>
        <c:majorTickMark val="out"/>
        <c:minorTickMark val="none"/>
        <c:tickLblPos val="nextTo"/>
        <c:spPr>
          <a:ln w="19050">
            <a:solidFill>
              <a:sysClr val="windowText" lastClr="000000"/>
            </a:solidFill>
          </a:ln>
        </c:spPr>
        <c:txPr>
          <a:bodyPr/>
          <a:lstStyle/>
          <a:p>
            <a:pPr>
              <a:defRPr sz="1100">
                <a:latin typeface="Times New Roman" pitchFamily="18" charset="0"/>
                <a:cs typeface="Times New Roman" pitchFamily="18" charset="0"/>
              </a:defRPr>
            </a:pPr>
            <a:endParaRPr lang="fr-FR"/>
          </a:p>
        </c:txPr>
        <c:crossAx val="201996544"/>
        <c:crosses val="autoZero"/>
        <c:crossBetween val="between"/>
      </c:valAx>
    </c:plotArea>
    <c:legend>
      <c:legendPos val="r"/>
      <c:layout>
        <c:manualLayout>
          <c:xMode val="edge"/>
          <c:yMode val="edge"/>
          <c:x val="0.8188778486022581"/>
          <c:y val="0.1760295229344922"/>
          <c:w val="0.16128088155647435"/>
          <c:h val="0.28637116594064543"/>
        </c:manualLayout>
      </c:layout>
      <c:overlay val="0"/>
      <c:txPr>
        <a:bodyPr/>
        <a:lstStyle/>
        <a:p>
          <a:pPr>
            <a:defRPr sz="1100">
              <a:latin typeface="Times New Roman" pitchFamily="18" charset="0"/>
              <a:cs typeface="Times New Roman" pitchFamily="18" charset="0"/>
            </a:defRPr>
          </a:pPr>
          <a:endParaRPr lang="fr-FR"/>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09951881014872"/>
          <c:y val="5.1400554097404488E-2"/>
          <c:w val="0.84801586824548081"/>
          <c:h val="0.81804327245018804"/>
        </c:manualLayout>
      </c:layout>
      <c:barChart>
        <c:barDir val="col"/>
        <c:grouping val="clustered"/>
        <c:varyColors val="0"/>
        <c:ser>
          <c:idx val="0"/>
          <c:order val="0"/>
          <c:spPr>
            <a:solidFill>
              <a:srgbClr val="C00000">
                <a:alpha val="44000"/>
              </a:srgbClr>
            </a:solidFill>
          </c:spPr>
          <c:invertIfNegative val="0"/>
          <c:cat>
            <c:strRef>
              <c:f>Graph!$B$4:$B$11</c:f>
              <c:strCache>
                <c:ptCount val="8"/>
                <c:pt idx="0">
                  <c:v>NE</c:v>
                </c:pt>
                <c:pt idx="1">
                  <c:v>DD</c:v>
                </c:pt>
                <c:pt idx="2">
                  <c:v>LC</c:v>
                </c:pt>
                <c:pt idx="3">
                  <c:v>VU</c:v>
                </c:pt>
                <c:pt idx="4">
                  <c:v>EN</c:v>
                </c:pt>
                <c:pt idx="5">
                  <c:v>NT</c:v>
                </c:pt>
                <c:pt idx="6">
                  <c:v>EX</c:v>
                </c:pt>
                <c:pt idx="7">
                  <c:v>CR</c:v>
                </c:pt>
              </c:strCache>
            </c:strRef>
          </c:cat>
          <c:val>
            <c:numRef>
              <c:f>Graph!$E$4:$E$11</c:f>
              <c:numCache>
                <c:formatCode>General</c:formatCode>
                <c:ptCount val="8"/>
                <c:pt idx="0">
                  <c:v>89.7102897102897</c:v>
                </c:pt>
                <c:pt idx="1">
                  <c:v>2.3976023976023981</c:v>
                </c:pt>
                <c:pt idx="2">
                  <c:v>6.0606060606060606</c:v>
                </c:pt>
                <c:pt idx="3">
                  <c:v>1.165501165501166</c:v>
                </c:pt>
                <c:pt idx="4">
                  <c:v>0.39960039960040189</c:v>
                </c:pt>
                <c:pt idx="5">
                  <c:v>0.19980019980020061</c:v>
                </c:pt>
                <c:pt idx="6">
                  <c:v>3.3300033300033297E-2</c:v>
                </c:pt>
                <c:pt idx="7">
                  <c:v>3.3300033300033297E-2</c:v>
                </c:pt>
              </c:numCache>
            </c:numRef>
          </c:val>
          <c:extLst>
            <c:ext xmlns:c16="http://schemas.microsoft.com/office/drawing/2014/chart" uri="{C3380CC4-5D6E-409C-BE32-E72D297353CC}">
              <c16:uniqueId val="{00000000-4F73-4D41-A16D-79C55BC02C3B}"/>
            </c:ext>
          </c:extLst>
        </c:ser>
        <c:dLbls>
          <c:showLegendKey val="0"/>
          <c:showVal val="0"/>
          <c:showCatName val="0"/>
          <c:showSerName val="0"/>
          <c:showPercent val="0"/>
          <c:showBubbleSize val="0"/>
        </c:dLbls>
        <c:gapWidth val="150"/>
        <c:axId val="186275712"/>
        <c:axId val="186281984"/>
      </c:barChart>
      <c:catAx>
        <c:axId val="186275712"/>
        <c:scaling>
          <c:orientation val="minMax"/>
        </c:scaling>
        <c:delete val="0"/>
        <c:axPos val="b"/>
        <c:title>
          <c:tx>
            <c:rich>
              <a:bodyPr/>
              <a:lstStyle/>
              <a:p>
                <a:pPr>
                  <a:defRPr/>
                </a:pPr>
                <a:r>
                  <a:rPr lang="fr-FR"/>
                  <a:t>Catégorie  IUCN</a:t>
                </a:r>
              </a:p>
            </c:rich>
          </c:tx>
          <c:overlay val="0"/>
        </c:title>
        <c:numFmt formatCode="General" sourceLinked="1"/>
        <c:majorTickMark val="in"/>
        <c:minorTickMark val="none"/>
        <c:tickLblPos val="nextTo"/>
        <c:spPr>
          <a:ln w="12700"/>
        </c:spPr>
        <c:txPr>
          <a:bodyPr rot="0" vert="horz"/>
          <a:lstStyle/>
          <a:p>
            <a:pPr>
              <a:defRPr/>
            </a:pPr>
            <a:endParaRPr lang="fr-FR"/>
          </a:p>
        </c:txPr>
        <c:crossAx val="186281984"/>
        <c:crosses val="autoZero"/>
        <c:auto val="1"/>
        <c:lblAlgn val="ctr"/>
        <c:lblOffset val="100"/>
        <c:noMultiLvlLbl val="0"/>
      </c:catAx>
      <c:valAx>
        <c:axId val="186281984"/>
        <c:scaling>
          <c:orientation val="minMax"/>
        </c:scaling>
        <c:delete val="0"/>
        <c:axPos val="l"/>
        <c:title>
          <c:tx>
            <c:rich>
              <a:bodyPr/>
              <a:lstStyle/>
              <a:p>
                <a:pPr>
                  <a:defRPr/>
                </a:pPr>
                <a:r>
                  <a:rPr lang="fr-FR"/>
                  <a:t>Pourcentage (%)
</a:t>
                </a:r>
              </a:p>
            </c:rich>
          </c:tx>
          <c:layout>
            <c:manualLayout>
              <c:xMode val="edge"/>
              <c:yMode val="edge"/>
              <c:x val="5.5554887700106194E-3"/>
              <c:y val="0.24696916885389475"/>
            </c:manualLayout>
          </c:layout>
          <c:overlay val="0"/>
        </c:title>
        <c:numFmt formatCode="General" sourceLinked="1"/>
        <c:majorTickMark val="in"/>
        <c:minorTickMark val="none"/>
        <c:tickLblPos val="nextTo"/>
        <c:txPr>
          <a:bodyPr rot="0" vert="horz"/>
          <a:lstStyle/>
          <a:p>
            <a:pPr>
              <a:defRPr/>
            </a:pPr>
            <a:endParaRPr lang="fr-FR"/>
          </a:p>
        </c:txPr>
        <c:crossAx val="186275712"/>
        <c:crosses val="autoZero"/>
        <c:crossBetween val="between"/>
      </c:valAx>
      <c:spPr>
        <a:noFill/>
        <a:ln w="25400">
          <a:noFill/>
        </a:ln>
      </c:spPr>
    </c:plotArea>
    <c:plotVisOnly val="1"/>
    <c:dispBlanksAs val="gap"/>
    <c:showDLblsOverMax val="0"/>
  </c:chart>
  <c:txPr>
    <a:bodyPr/>
    <a:lstStyle/>
    <a:p>
      <a:pPr>
        <a:defRPr sz="1000" b="0" i="0" u="none" strike="noStrike" baseline="0">
          <a:solidFill>
            <a:srgbClr val="002060"/>
          </a:solidFill>
          <a:latin typeface="Calibri"/>
          <a:ea typeface="Calibri"/>
          <a:cs typeface="Calibri"/>
        </a:defRPr>
      </a:pPr>
      <a:endParaRPr lang="fr-FR"/>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'2017'!$I$20</c:f>
              <c:strCache>
                <c:ptCount val="1"/>
                <c:pt idx="0">
                  <c:v>2017</c:v>
                </c:pt>
              </c:strCache>
            </c:strRef>
          </c:tx>
          <c:invertIfNegative val="0"/>
          <c:cat>
            <c:strRef>
              <c:f>'2017'!$H$21:$H$25</c:f>
              <c:strCache>
                <c:ptCount val="5"/>
                <c:pt idx="0">
                  <c:v>Terres forestières</c:v>
                </c:pt>
                <c:pt idx="1">
                  <c:v>Terres cultivées</c:v>
                </c:pt>
                <c:pt idx="2">
                  <c:v>Etablissement</c:v>
                </c:pt>
                <c:pt idx="3">
                  <c:v>Zones humides</c:v>
                </c:pt>
                <c:pt idx="4">
                  <c:v>Sols nus et carrières</c:v>
                </c:pt>
              </c:strCache>
            </c:strRef>
          </c:cat>
          <c:val>
            <c:numRef>
              <c:f>'2017'!$I$21:$I$25</c:f>
              <c:numCache>
                <c:formatCode>General</c:formatCode>
                <c:ptCount val="5"/>
                <c:pt idx="0">
                  <c:v>3335584</c:v>
                </c:pt>
                <c:pt idx="1">
                  <c:v>1664084</c:v>
                </c:pt>
                <c:pt idx="2">
                  <c:v>213619</c:v>
                </c:pt>
                <c:pt idx="3">
                  <c:v>769148</c:v>
                </c:pt>
                <c:pt idx="4">
                  <c:v>2863</c:v>
                </c:pt>
              </c:numCache>
            </c:numRef>
          </c:val>
          <c:extLst>
            <c:ext xmlns:c16="http://schemas.microsoft.com/office/drawing/2014/chart" uri="{C3380CC4-5D6E-409C-BE32-E72D297353CC}">
              <c16:uniqueId val="{00000000-6965-4D59-BBE6-E4415EF70BFB}"/>
            </c:ext>
          </c:extLst>
        </c:ser>
        <c:ser>
          <c:idx val="1"/>
          <c:order val="1"/>
          <c:tx>
            <c:strRef>
              <c:f>'2017'!$J$20</c:f>
              <c:strCache>
                <c:ptCount val="1"/>
                <c:pt idx="0">
                  <c:v>2013</c:v>
                </c:pt>
              </c:strCache>
            </c:strRef>
          </c:tx>
          <c:invertIfNegative val="0"/>
          <c:cat>
            <c:strRef>
              <c:f>'2017'!$H$21:$H$25</c:f>
              <c:strCache>
                <c:ptCount val="5"/>
                <c:pt idx="0">
                  <c:v>Terres forestières</c:v>
                </c:pt>
                <c:pt idx="1">
                  <c:v>Terres cultivées</c:v>
                </c:pt>
                <c:pt idx="2">
                  <c:v>Etablissement</c:v>
                </c:pt>
                <c:pt idx="3">
                  <c:v>Zones humides</c:v>
                </c:pt>
                <c:pt idx="4">
                  <c:v>Sols nus et carrières</c:v>
                </c:pt>
              </c:strCache>
            </c:strRef>
          </c:cat>
          <c:val>
            <c:numRef>
              <c:f>'2017'!$J$21:$J$25</c:f>
              <c:numCache>
                <c:formatCode>General</c:formatCode>
                <c:ptCount val="5"/>
                <c:pt idx="0">
                  <c:v>3904826</c:v>
                </c:pt>
                <c:pt idx="1">
                  <c:v>1121348</c:v>
                </c:pt>
                <c:pt idx="2">
                  <c:v>185661</c:v>
                </c:pt>
                <c:pt idx="3">
                  <c:v>755353</c:v>
                </c:pt>
                <c:pt idx="4">
                  <c:v>684</c:v>
                </c:pt>
              </c:numCache>
            </c:numRef>
          </c:val>
          <c:extLst>
            <c:ext xmlns:c16="http://schemas.microsoft.com/office/drawing/2014/chart" uri="{C3380CC4-5D6E-409C-BE32-E72D297353CC}">
              <c16:uniqueId val="{00000001-6965-4D59-BBE6-E4415EF70BFB}"/>
            </c:ext>
          </c:extLst>
        </c:ser>
        <c:ser>
          <c:idx val="2"/>
          <c:order val="2"/>
          <c:tx>
            <c:strRef>
              <c:f>'2017'!$K$20</c:f>
              <c:strCache>
                <c:ptCount val="1"/>
                <c:pt idx="0">
                  <c:v>2005</c:v>
                </c:pt>
              </c:strCache>
            </c:strRef>
          </c:tx>
          <c:invertIfNegative val="0"/>
          <c:cat>
            <c:strRef>
              <c:f>'2017'!$H$21:$H$25</c:f>
              <c:strCache>
                <c:ptCount val="5"/>
                <c:pt idx="0">
                  <c:v>Terres forestières</c:v>
                </c:pt>
                <c:pt idx="1">
                  <c:v>Terres cultivées</c:v>
                </c:pt>
                <c:pt idx="2">
                  <c:v>Etablissement</c:v>
                </c:pt>
                <c:pt idx="3">
                  <c:v>Zones humides</c:v>
                </c:pt>
                <c:pt idx="4">
                  <c:v>Sols nus et carrières</c:v>
                </c:pt>
              </c:strCache>
            </c:strRef>
          </c:cat>
          <c:val>
            <c:numRef>
              <c:f>'2017'!$K$21:$K$25</c:f>
              <c:numCache>
                <c:formatCode>General</c:formatCode>
                <c:ptCount val="5"/>
                <c:pt idx="0">
                  <c:v>4771919</c:v>
                </c:pt>
                <c:pt idx="1">
                  <c:v>697020</c:v>
                </c:pt>
                <c:pt idx="2">
                  <c:v>129722</c:v>
                </c:pt>
                <c:pt idx="3">
                  <c:v>378504</c:v>
                </c:pt>
                <c:pt idx="4">
                  <c:v>827</c:v>
                </c:pt>
              </c:numCache>
            </c:numRef>
          </c:val>
          <c:extLst>
            <c:ext xmlns:c16="http://schemas.microsoft.com/office/drawing/2014/chart" uri="{C3380CC4-5D6E-409C-BE32-E72D297353CC}">
              <c16:uniqueId val="{00000002-6965-4D59-BBE6-E4415EF70BFB}"/>
            </c:ext>
          </c:extLst>
        </c:ser>
        <c:dLbls>
          <c:showLegendKey val="0"/>
          <c:showVal val="0"/>
          <c:showCatName val="0"/>
          <c:showSerName val="0"/>
          <c:showPercent val="0"/>
          <c:showBubbleSize val="0"/>
        </c:dLbls>
        <c:gapWidth val="150"/>
        <c:axId val="186356480"/>
        <c:axId val="186358400"/>
      </c:barChart>
      <c:catAx>
        <c:axId val="186356480"/>
        <c:scaling>
          <c:orientation val="minMax"/>
        </c:scaling>
        <c:delete val="0"/>
        <c:axPos val="b"/>
        <c:title>
          <c:tx>
            <c:rich>
              <a:bodyPr/>
              <a:lstStyle/>
              <a:p>
                <a:pPr>
                  <a:defRPr/>
                </a:pPr>
                <a:r>
                  <a:rPr lang="en-US"/>
                  <a:t>Types d'occupation du sol</a:t>
                </a:r>
              </a:p>
            </c:rich>
          </c:tx>
          <c:overlay val="0"/>
        </c:title>
        <c:numFmt formatCode="General" sourceLinked="0"/>
        <c:majorTickMark val="out"/>
        <c:minorTickMark val="none"/>
        <c:tickLblPos val="nextTo"/>
        <c:crossAx val="186358400"/>
        <c:crosses val="autoZero"/>
        <c:auto val="1"/>
        <c:lblAlgn val="ctr"/>
        <c:lblOffset val="100"/>
        <c:noMultiLvlLbl val="0"/>
      </c:catAx>
      <c:valAx>
        <c:axId val="186358400"/>
        <c:scaling>
          <c:orientation val="minMax"/>
          <c:min val="0"/>
        </c:scaling>
        <c:delete val="0"/>
        <c:axPos val="l"/>
        <c:title>
          <c:tx>
            <c:rich>
              <a:bodyPr rot="-5400000" vert="horz"/>
              <a:lstStyle/>
              <a:p>
                <a:pPr>
                  <a:defRPr/>
                </a:pPr>
                <a:r>
                  <a:rPr lang="en-US"/>
                  <a:t>Superficie (en milliers d'ha)</a:t>
                </a:r>
              </a:p>
            </c:rich>
          </c:tx>
          <c:overlay val="0"/>
        </c:title>
        <c:numFmt formatCode="General" sourceLinked="1"/>
        <c:majorTickMark val="out"/>
        <c:minorTickMark val="none"/>
        <c:tickLblPos val="nextTo"/>
        <c:crossAx val="186356480"/>
        <c:crosses val="autoZero"/>
        <c:crossBetween val="between"/>
      </c:valAx>
    </c:plotArea>
    <c:legend>
      <c:legendPos val="r"/>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'Analyse par région Ralph'!$E$9</c:f>
              <c:strCache>
                <c:ptCount val="1"/>
                <c:pt idx="0">
                  <c:v>Photos aériennes (1976 - 1985)</c:v>
                </c:pt>
              </c:strCache>
            </c:strRef>
          </c:tx>
          <c:spPr>
            <a:solidFill>
              <a:schemeClr val="accent4">
                <a:lumMod val="75000"/>
              </a:schemeClr>
            </a:solidFill>
            <a:ln>
              <a:noFill/>
            </a:ln>
            <a:effectLst/>
          </c:spPr>
          <c:invertIfNegative val="0"/>
          <c:cat>
            <c:strRef>
              <c:f>'Analyse par région Ralph'!$D$10:$D$13</c:f>
              <c:strCache>
                <c:ptCount val="4"/>
                <c:pt idx="0">
                  <c:v>Forêts denses</c:v>
                </c:pt>
                <c:pt idx="1">
                  <c:v>Forêts riveraines</c:v>
                </c:pt>
                <c:pt idx="2">
                  <c:v>Forêts claires et savanes boisées</c:v>
                </c:pt>
                <c:pt idx="3">
                  <c:v>Plantations</c:v>
                </c:pt>
              </c:strCache>
            </c:strRef>
          </c:cat>
          <c:val>
            <c:numRef>
              <c:f>'Analyse par région Ralph'!$E$10:$E$13</c:f>
              <c:numCache>
                <c:formatCode>#,##0</c:formatCode>
                <c:ptCount val="4"/>
                <c:pt idx="0">
                  <c:v>276025</c:v>
                </c:pt>
                <c:pt idx="1">
                  <c:v>229468</c:v>
                </c:pt>
                <c:pt idx="2">
                  <c:v>775077</c:v>
                </c:pt>
                <c:pt idx="3">
                  <c:v>19405</c:v>
                </c:pt>
              </c:numCache>
            </c:numRef>
          </c:val>
          <c:extLst>
            <c:ext xmlns:c16="http://schemas.microsoft.com/office/drawing/2014/chart" uri="{C3380CC4-5D6E-409C-BE32-E72D297353CC}">
              <c16:uniqueId val="{00000000-A55F-4112-95C4-9FCDBA3F7EC9}"/>
            </c:ext>
          </c:extLst>
        </c:ser>
        <c:ser>
          <c:idx val="1"/>
          <c:order val="1"/>
          <c:tx>
            <c:strRef>
              <c:f>'Analyse par région Ralph'!$F$9</c:f>
              <c:strCache>
                <c:ptCount val="1"/>
                <c:pt idx="0">
                  <c:v>Images RapidEye (2013 - 2014)</c:v>
                </c:pt>
              </c:strCache>
            </c:strRef>
          </c:tx>
          <c:spPr>
            <a:solidFill>
              <a:srgbClr val="00B050"/>
            </a:solidFill>
            <a:ln w="25355">
              <a:noFill/>
            </a:ln>
          </c:spPr>
          <c:invertIfNegative val="0"/>
          <c:cat>
            <c:strRef>
              <c:f>'Analyse par région Ralph'!$D$10:$D$13</c:f>
              <c:strCache>
                <c:ptCount val="4"/>
                <c:pt idx="0">
                  <c:v>Forêts denses</c:v>
                </c:pt>
                <c:pt idx="1">
                  <c:v>Forêts riveraines</c:v>
                </c:pt>
                <c:pt idx="2">
                  <c:v>Forêts claires et savanes boisées</c:v>
                </c:pt>
                <c:pt idx="3">
                  <c:v>Plantations</c:v>
                </c:pt>
              </c:strCache>
            </c:strRef>
          </c:cat>
          <c:val>
            <c:numRef>
              <c:f>'Analyse par région Ralph'!$F$10:$F$13</c:f>
              <c:numCache>
                <c:formatCode>#,##0</c:formatCode>
                <c:ptCount val="4"/>
                <c:pt idx="0">
                  <c:v>118035</c:v>
                </c:pt>
                <c:pt idx="1">
                  <c:v>301334</c:v>
                </c:pt>
                <c:pt idx="2">
                  <c:v>786045</c:v>
                </c:pt>
                <c:pt idx="3">
                  <c:v>47756</c:v>
                </c:pt>
              </c:numCache>
            </c:numRef>
          </c:val>
          <c:extLst>
            <c:ext xmlns:c16="http://schemas.microsoft.com/office/drawing/2014/chart" uri="{C3380CC4-5D6E-409C-BE32-E72D297353CC}">
              <c16:uniqueId val="{00000001-A55F-4112-95C4-9FCDBA3F7EC9}"/>
            </c:ext>
          </c:extLst>
        </c:ser>
        <c:dLbls>
          <c:showLegendKey val="0"/>
          <c:showVal val="0"/>
          <c:showCatName val="0"/>
          <c:showSerName val="0"/>
          <c:showPercent val="0"/>
          <c:showBubbleSize val="0"/>
        </c:dLbls>
        <c:gapWidth val="219"/>
        <c:overlap val="-27"/>
        <c:axId val="177492352"/>
        <c:axId val="177494272"/>
      </c:barChart>
      <c:catAx>
        <c:axId val="177492352"/>
        <c:scaling>
          <c:orientation val="minMax"/>
        </c:scaling>
        <c:delete val="0"/>
        <c:axPos val="b"/>
        <c:title>
          <c:tx>
            <c:rich>
              <a:bodyPr/>
              <a:lstStyle/>
              <a:p>
                <a:pPr>
                  <a:defRPr sz="995" b="1" i="0" u="none" strike="noStrike" baseline="0">
                    <a:solidFill>
                      <a:srgbClr val="000000"/>
                    </a:solidFill>
                    <a:latin typeface="Arial"/>
                    <a:ea typeface="Arial"/>
                    <a:cs typeface="Arial"/>
                  </a:defRPr>
                </a:pPr>
                <a:r>
                  <a:rPr lang="fr-FR"/>
                  <a:t>Types de végétation</a:t>
                </a:r>
              </a:p>
            </c:rich>
          </c:tx>
          <c:layout>
            <c:manualLayout>
              <c:xMode val="edge"/>
              <c:yMode val="edge"/>
              <c:x val="0.38001404223036001"/>
              <c:y val="0.90334579145349103"/>
            </c:manualLayout>
          </c:layout>
          <c:overlay val="0"/>
          <c:spPr>
            <a:noFill/>
            <a:ln w="25355">
              <a:noFill/>
            </a:ln>
          </c:spPr>
        </c:title>
        <c:numFmt formatCode="General" sourceLinked="1"/>
        <c:majorTickMark val="cross"/>
        <c:minorTickMark val="none"/>
        <c:tickLblPos val="nextTo"/>
        <c:spPr>
          <a:noFill/>
          <a:ln w="9508" cap="flat" cmpd="sng" algn="ctr">
            <a:solidFill>
              <a:schemeClr val="tx1"/>
            </a:solidFill>
            <a:round/>
          </a:ln>
          <a:effectLst/>
        </c:spPr>
        <c:txPr>
          <a:bodyPr rot="-60000000" spcFirstLastPara="1" vertOverflow="ellipsis" vert="horz" wrap="square" anchor="ctr" anchorCtr="1"/>
          <a:lstStyle/>
          <a:p>
            <a:pPr>
              <a:defRPr sz="898" b="0" i="0" u="none" strike="noStrike" kern="1200" baseline="0">
                <a:solidFill>
                  <a:schemeClr val="dk1"/>
                </a:solidFill>
                <a:latin typeface="Arial" panose="020B0604020202020204" pitchFamily="34" charset="0"/>
                <a:ea typeface="+mn-ea"/>
                <a:cs typeface="Arial" panose="020B0604020202020204" pitchFamily="34" charset="0"/>
              </a:defRPr>
            </a:pPr>
            <a:endParaRPr lang="fr-FR"/>
          </a:p>
        </c:txPr>
        <c:crossAx val="177494272"/>
        <c:crossesAt val="0"/>
        <c:auto val="1"/>
        <c:lblAlgn val="ctr"/>
        <c:lblOffset val="100"/>
        <c:noMultiLvlLbl val="0"/>
      </c:catAx>
      <c:valAx>
        <c:axId val="177494272"/>
        <c:scaling>
          <c:orientation val="minMax"/>
          <c:max val="1000000"/>
        </c:scaling>
        <c:delete val="0"/>
        <c:axPos val="l"/>
        <c:title>
          <c:tx>
            <c:rich>
              <a:bodyPr/>
              <a:lstStyle/>
              <a:p>
                <a:pPr>
                  <a:defRPr sz="995" b="1" i="0" u="none" strike="noStrike" baseline="0">
                    <a:solidFill>
                      <a:srgbClr val="000000"/>
                    </a:solidFill>
                    <a:latin typeface="Arial"/>
                    <a:ea typeface="Arial"/>
                    <a:cs typeface="Arial"/>
                  </a:defRPr>
                </a:pPr>
                <a:r>
                  <a:rPr lang="fr-FR"/>
                  <a:t>Superficies (en milliers d'ha)</a:t>
                </a:r>
              </a:p>
            </c:rich>
          </c:tx>
          <c:layout>
            <c:manualLayout>
              <c:xMode val="edge"/>
              <c:yMode val="edge"/>
              <c:x val="1.6666713788245063E-2"/>
              <c:y val="9.3741669388100746E-2"/>
            </c:manualLayout>
          </c:layout>
          <c:overlay val="0"/>
          <c:spPr>
            <a:noFill/>
            <a:ln w="25355">
              <a:noFill/>
            </a:ln>
          </c:spPr>
        </c:title>
        <c:numFmt formatCode="#,##0"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898" b="0" i="0" u="none" strike="noStrike" kern="1200" baseline="0">
                <a:solidFill>
                  <a:schemeClr val="dk1"/>
                </a:solidFill>
                <a:latin typeface="Arial" panose="020B0604020202020204" pitchFamily="34" charset="0"/>
                <a:ea typeface="+mn-ea"/>
                <a:cs typeface="Arial" panose="020B0604020202020204" pitchFamily="34" charset="0"/>
              </a:defRPr>
            </a:pPr>
            <a:endParaRPr lang="fr-FR"/>
          </a:p>
        </c:txPr>
        <c:crossAx val="177492352"/>
        <c:crosses val="autoZero"/>
        <c:crossBetween val="between"/>
        <c:dispUnits>
          <c:builtInUnit val="thousands"/>
        </c:dispUnits>
      </c:valAx>
      <c:spPr>
        <a:noFill/>
        <a:ln w="25400">
          <a:noFill/>
        </a:ln>
      </c:spPr>
    </c:plotArea>
    <c:legend>
      <c:legendPos val="r"/>
      <c:layout>
        <c:manualLayout>
          <c:xMode val="edge"/>
          <c:yMode val="edge"/>
          <c:x val="0.14575866188769504"/>
          <c:y val="2.3255813953488372E-2"/>
          <c:w val="0.82198327359618084"/>
          <c:h val="7.6411960132890394E-2"/>
        </c:manualLayout>
      </c:layout>
      <c:overlay val="0"/>
      <c:spPr>
        <a:noFill/>
        <a:ln w="25355">
          <a:noFill/>
        </a:ln>
      </c:spPr>
      <c:txPr>
        <a:bodyPr rot="0" spcFirstLastPara="1" vertOverflow="ellipsis" vert="horz" wrap="square" anchor="ctr" anchorCtr="1"/>
        <a:lstStyle/>
        <a:p>
          <a:pPr>
            <a:defRPr sz="898"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fr-FR"/>
        </a:p>
      </c:txPr>
    </c:legend>
    <c:plotVisOnly val="1"/>
    <c:dispBlanksAs val="gap"/>
    <c:showDLblsOverMax val="0"/>
  </c:chart>
  <c:spPr>
    <a:solidFill>
      <a:schemeClr val="lt1"/>
    </a:solidFill>
    <a:ln w="12678"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fr-FR"/>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0-59F1-477E-B1F2-BD03C2746931}"/>
              </c:ext>
            </c:extLst>
          </c:dPt>
          <c:dPt>
            <c:idx val="1"/>
            <c:bubble3D val="0"/>
            <c:spPr>
              <a:solidFill>
                <a:schemeClr val="accent2"/>
              </a:solidFill>
              <a:ln>
                <a:noFill/>
              </a:ln>
              <a:effectLst/>
            </c:spPr>
            <c:extLst>
              <c:ext xmlns:c16="http://schemas.microsoft.com/office/drawing/2014/chart" uri="{C3380CC4-5D6E-409C-BE32-E72D297353CC}">
                <c16:uniqueId val="{00000001-59F1-477E-B1F2-BD03C2746931}"/>
              </c:ext>
            </c:extLst>
          </c:dPt>
          <c:dPt>
            <c:idx val="2"/>
            <c:bubble3D val="0"/>
            <c:spPr>
              <a:solidFill>
                <a:schemeClr val="accent3"/>
              </a:solidFill>
              <a:ln>
                <a:noFill/>
              </a:ln>
              <a:effectLst/>
            </c:spPr>
            <c:extLst>
              <c:ext xmlns:c16="http://schemas.microsoft.com/office/drawing/2014/chart" uri="{C3380CC4-5D6E-409C-BE32-E72D297353CC}">
                <c16:uniqueId val="{00000002-59F1-477E-B1F2-BD03C2746931}"/>
              </c:ext>
            </c:extLst>
          </c:dPt>
          <c:dPt>
            <c:idx val="3"/>
            <c:bubble3D val="0"/>
            <c:spPr>
              <a:solidFill>
                <a:schemeClr val="accent4"/>
              </a:solidFill>
              <a:ln>
                <a:noFill/>
              </a:ln>
              <a:effectLst/>
            </c:spPr>
            <c:extLst>
              <c:ext xmlns:c16="http://schemas.microsoft.com/office/drawing/2014/chart" uri="{C3380CC4-5D6E-409C-BE32-E72D297353CC}">
                <c16:uniqueId val="{00000003-59F1-477E-B1F2-BD03C2746931}"/>
              </c:ext>
            </c:extLst>
          </c:dPt>
          <c:dPt>
            <c:idx val="4"/>
            <c:bubble3D val="0"/>
            <c:spPr>
              <a:solidFill>
                <a:schemeClr val="accent5"/>
              </a:solidFill>
              <a:ln>
                <a:noFill/>
              </a:ln>
              <a:effectLst/>
            </c:spPr>
            <c:extLst>
              <c:ext xmlns:c16="http://schemas.microsoft.com/office/drawing/2014/chart" uri="{C3380CC4-5D6E-409C-BE32-E72D297353CC}">
                <c16:uniqueId val="{00000004-59F1-477E-B1F2-BD03C2746931}"/>
              </c:ext>
            </c:extLst>
          </c:dPt>
          <c:dLbls>
            <c:dLbl>
              <c:idx val="0"/>
              <c:layout>
                <c:manualLayout>
                  <c:x val="7.5649695912442111E-2"/>
                  <c:y val="0.23487564354936424"/>
                </c:manualLayout>
              </c:layout>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9F1-477E-B1F2-BD03C2746931}"/>
                </c:ext>
              </c:extLst>
            </c:dLbl>
            <c:dLbl>
              <c:idx val="1"/>
              <c:layout>
                <c:manualLayout>
                  <c:x val="-4.4130134340187914E-2"/>
                  <c:y val="-1.5741629857243561E-3"/>
                </c:manualLayout>
              </c:layout>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9F1-477E-B1F2-BD03C2746931}"/>
                </c:ext>
              </c:extLst>
            </c:dLbl>
            <c:dLbl>
              <c:idx val="2"/>
              <c:layout>
                <c:manualLayout>
                  <c:x val="-3.1399280704479691E-2"/>
                  <c:y val="-0.10495774918379108"/>
                </c:manualLayout>
              </c:layout>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9F1-477E-B1F2-BD03C2746931}"/>
                </c:ext>
              </c:extLst>
            </c:dLbl>
            <c:dLbl>
              <c:idx val="3"/>
              <c:layout>
                <c:manualLayout>
                  <c:x val="-7.4843575129740422E-2"/>
                  <c:y val="2.0530375776198852E-2"/>
                </c:manualLayout>
              </c:layout>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9F1-477E-B1F2-BD03C2746931}"/>
                </c:ext>
              </c:extLst>
            </c:dLbl>
            <c:dLbl>
              <c:idx val="4"/>
              <c:layout>
                <c:manualLayout>
                  <c:x val="0.17808359122029321"/>
                  <c:y val="7.9463542666922734E-3"/>
                </c:manualLayout>
              </c:layout>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4-59F1-477E-B1F2-BD03C2746931}"/>
                </c:ext>
              </c:extLst>
            </c:dLbl>
            <c:dLbl>
              <c:idx val="6"/>
              <c:layout>
                <c:manualLayout>
                  <c:x val="0.28587526236762673"/>
                  <c:y val="5.0080128205128504E-3"/>
                </c:manualLayout>
              </c:layout>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fr-F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9F1-477E-B1F2-BD03C2746931}"/>
                </c:ext>
              </c:extLst>
            </c:dLbl>
            <c:spPr>
              <a:noFill/>
              <a:ln w="25400">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fr-FR"/>
              </a:p>
            </c:txPr>
            <c:showLegendKey val="0"/>
            <c:showVal val="0"/>
            <c:showCatName val="1"/>
            <c:showSerName val="0"/>
            <c:showPercent val="1"/>
            <c:showBubbleSize val="0"/>
            <c:showLeaderLines val="1"/>
            <c:leaderLines>
              <c:spPr>
                <a:ln w="6350" cap="flat" cmpd="sng" algn="ctr">
                  <a:solidFill>
                    <a:schemeClr val="tx1"/>
                  </a:solidFill>
                  <a:prstDash val="solid"/>
                  <a:round/>
                </a:ln>
                <a:effectLst/>
              </c:spPr>
            </c:leaderLines>
            <c:extLst>
              <c:ext xmlns:c15="http://schemas.microsoft.com/office/drawing/2012/chart" uri="{CE6537A1-D6FC-4f65-9D91-7224C49458BB}"/>
            </c:extLst>
          </c:dLbls>
          <c:cat>
            <c:strRef>
              <c:f>embranchement!$A$1:$A$5</c:f>
              <c:strCache>
                <c:ptCount val="5"/>
                <c:pt idx="0">
                  <c:v>Chromophytes</c:v>
                </c:pt>
                <c:pt idx="1">
                  <c:v>Chorophytes</c:v>
                </c:pt>
                <c:pt idx="2">
                  <c:v>Cyanophytes</c:v>
                </c:pt>
                <c:pt idx="3">
                  <c:v>Euglenophytes</c:v>
                </c:pt>
                <c:pt idx="4">
                  <c:v>Rhodophytes</c:v>
                </c:pt>
              </c:strCache>
            </c:strRef>
          </c:cat>
          <c:val>
            <c:numRef>
              <c:f>embranchement!$C$1:$C$5</c:f>
              <c:numCache>
                <c:formatCode>General</c:formatCode>
                <c:ptCount val="5"/>
                <c:pt idx="0">
                  <c:v>40</c:v>
                </c:pt>
                <c:pt idx="1">
                  <c:v>32</c:v>
                </c:pt>
                <c:pt idx="2">
                  <c:v>17</c:v>
                </c:pt>
                <c:pt idx="3">
                  <c:v>11</c:v>
                </c:pt>
                <c:pt idx="4">
                  <c:v>1</c:v>
                </c:pt>
              </c:numCache>
            </c:numRef>
          </c:val>
          <c:extLst>
            <c:ext xmlns:c16="http://schemas.microsoft.com/office/drawing/2014/chart" uri="{C3380CC4-5D6E-409C-BE32-E72D297353CC}">
              <c16:uniqueId val="{00000006-59F1-477E-B1F2-BD03C2746931}"/>
            </c:ext>
          </c:extLst>
        </c:ser>
        <c:dLbls>
          <c:showLegendKey val="0"/>
          <c:showVal val="0"/>
          <c:showCatName val="0"/>
          <c:showSerName val="0"/>
          <c:showPercent val="0"/>
          <c:showBubbleSize val="0"/>
          <c:showLeaderLines val="1"/>
        </c:dLbls>
        <c:firstSliceAng val="0"/>
      </c:pieChart>
      <c:spPr>
        <a:noFill/>
        <a:ln w="25400">
          <a:noFill/>
        </a:ln>
        <a:effectLst/>
      </c:spPr>
    </c:plotArea>
    <c:plotVisOnly val="1"/>
    <c:dispBlanksAs val="zero"/>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8.8410104986876736E-2"/>
                  <c:y val="7.6369568387284856E-2"/>
                </c:manualLayout>
              </c:layout>
              <c:tx>
                <c:rich>
                  <a:bodyPr/>
                  <a:lstStyle/>
                  <a:p>
                    <a:r>
                      <a:rPr lang="en-US"/>
                      <a:t>Efficace 28%</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7C-47D0-8CE3-35A2C1CDF0D4}"/>
                </c:ext>
              </c:extLst>
            </c:dLbl>
            <c:dLbl>
              <c:idx val="1"/>
              <c:layout>
                <c:manualLayout>
                  <c:x val="-0.25119214785651717"/>
                  <c:y val="-3.9768518518518536E-2"/>
                </c:manualLayout>
              </c:layout>
              <c:tx>
                <c:rich>
                  <a:bodyPr/>
                  <a:lstStyle/>
                  <a:p>
                    <a:r>
                      <a:rPr lang="en-US"/>
                      <a:t>En partie efficace 46,4%</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97C-47D0-8CE3-35A2C1CDF0D4}"/>
                </c:ext>
              </c:extLst>
            </c:dLbl>
            <c:dLbl>
              <c:idx val="2"/>
              <c:layout>
                <c:manualLayout>
                  <c:x val="-4.2659448818897674E-2"/>
                  <c:y val="1.6011227763196269E-2"/>
                </c:manualLayout>
              </c:layout>
              <c:tx>
                <c:rich>
                  <a:bodyPr/>
                  <a:lstStyle/>
                  <a:p>
                    <a:r>
                      <a:rPr lang="en-US"/>
                      <a:t>Inefficace 19,2%</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97C-47D0-8CE3-35A2C1CDF0D4}"/>
                </c:ext>
              </c:extLst>
            </c:dLbl>
            <c:dLbl>
              <c:idx val="3"/>
              <c:layout>
                <c:manualLayout>
                  <c:x val="-0.14379986876640488"/>
                  <c:y val="-3.4510790317876974E-2"/>
                </c:manualLayout>
              </c:layout>
              <c:tx>
                <c:rich>
                  <a:bodyPr/>
                  <a:lstStyle/>
                  <a:p>
                    <a:r>
                      <a:rPr lang="en-US"/>
                      <a:t>inconnu 6,4%</a:t>
                    </a:r>
                  </a:p>
                </c:rich>
              </c:tx>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97C-47D0-8CE3-35A2C1CDF0D4}"/>
                </c:ext>
              </c:extLst>
            </c:dLbl>
            <c:spPr>
              <a:noFill/>
              <a:ln>
                <a:noFill/>
              </a:ln>
              <a:effectLst/>
            </c:spPr>
            <c:showLegendKey val="0"/>
            <c:showVal val="1"/>
            <c:showCatName val="1"/>
            <c:showSerName val="0"/>
            <c:showPercent val="0"/>
            <c:showBubbleSize val="0"/>
            <c:showLeaderLines val="1"/>
            <c:extLst>
              <c:ext xmlns:c15="http://schemas.microsoft.com/office/drawing/2012/chart" uri="{CE6537A1-D6FC-4f65-9D91-7224C49458BB}"/>
            </c:extLst>
          </c:dLbls>
          <c:cat>
            <c:strRef>
              <c:f>Feuil4!$A$289:$A$292</c:f>
              <c:strCache>
                <c:ptCount val="4"/>
                <c:pt idx="0">
                  <c:v>Efficace</c:v>
                </c:pt>
                <c:pt idx="1">
                  <c:v>En partie efficace</c:v>
                </c:pt>
                <c:pt idx="2">
                  <c:v>Inefficace</c:v>
                </c:pt>
                <c:pt idx="3">
                  <c:v>inconnu</c:v>
                </c:pt>
              </c:strCache>
            </c:strRef>
          </c:cat>
          <c:val>
            <c:numRef>
              <c:f>Feuil4!$B$289:$B$292</c:f>
              <c:numCache>
                <c:formatCode>General</c:formatCode>
                <c:ptCount val="4"/>
                <c:pt idx="0">
                  <c:v>28</c:v>
                </c:pt>
                <c:pt idx="1">
                  <c:v>46.4</c:v>
                </c:pt>
                <c:pt idx="2">
                  <c:v>19.2</c:v>
                </c:pt>
                <c:pt idx="3">
                  <c:v>6.4</c:v>
                </c:pt>
              </c:numCache>
            </c:numRef>
          </c:val>
          <c:extLst>
            <c:ext xmlns:c16="http://schemas.microsoft.com/office/drawing/2014/chart" uri="{C3380CC4-5D6E-409C-BE32-E72D297353CC}">
              <c16:uniqueId val="{00000004-497C-47D0-8CE3-35A2C1CDF0D4}"/>
            </c:ext>
          </c:extLst>
        </c:ser>
        <c:dLbls>
          <c:showLegendKey val="0"/>
          <c:showVal val="1"/>
          <c:showCatName val="1"/>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9.9115376202974628E-2"/>
                  <c:y val="2.493292505103528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574-490D-B109-DE42B89DE007}"/>
                </c:ext>
              </c:extLst>
            </c:dLbl>
            <c:dLbl>
              <c:idx val="1"/>
              <c:layout>
                <c:manualLayout>
                  <c:x val="-0.12172922134733194"/>
                  <c:y val="-0.139176509186351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574-490D-B109-DE42B89DE007}"/>
                </c:ext>
              </c:extLst>
            </c:dLbl>
            <c:dLbl>
              <c:idx val="2"/>
              <c:layout>
                <c:manualLayout>
                  <c:x val="-0.11598884514435662"/>
                  <c:y val="2.199074074074074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574-490D-B109-DE42B89DE007}"/>
                </c:ext>
              </c:extLst>
            </c:dLbl>
            <c:dLbl>
              <c:idx val="3"/>
              <c:layout>
                <c:manualLayout>
                  <c:x val="0.17673501749781331"/>
                  <c:y val="1.1574074074074073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574-490D-B109-DE42B89DE007}"/>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Feuil4!$A$302:$A$305</c:f>
              <c:strCache>
                <c:ptCount val="4"/>
                <c:pt idx="0">
                  <c:v>Efficace</c:v>
                </c:pt>
                <c:pt idx="1">
                  <c:v>En partie efficace</c:v>
                </c:pt>
                <c:pt idx="2">
                  <c:v>Inefficace</c:v>
                </c:pt>
                <c:pt idx="3">
                  <c:v>inconnu</c:v>
                </c:pt>
              </c:strCache>
            </c:strRef>
          </c:cat>
          <c:val>
            <c:numRef>
              <c:f>Feuil4!$B$302:$B$305</c:f>
              <c:numCache>
                <c:formatCode>General</c:formatCode>
                <c:ptCount val="4"/>
                <c:pt idx="0">
                  <c:v>33.300000000000004</c:v>
                </c:pt>
                <c:pt idx="1">
                  <c:v>55.6</c:v>
                </c:pt>
                <c:pt idx="2">
                  <c:v>11.1</c:v>
                </c:pt>
                <c:pt idx="3">
                  <c:v>0</c:v>
                </c:pt>
              </c:numCache>
            </c:numRef>
          </c:val>
          <c:extLst>
            <c:ext xmlns:c16="http://schemas.microsoft.com/office/drawing/2014/chart" uri="{C3380CC4-5D6E-409C-BE32-E72D297353CC}">
              <c16:uniqueId val="{00000004-5574-490D-B109-DE42B89DE007}"/>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063349737532813"/>
                  <c:y val="-5.8085447652376923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B62-4C9B-8CAB-3ABC59595FD9}"/>
                </c:ext>
              </c:extLst>
            </c:dLbl>
            <c:dLbl>
              <c:idx val="1"/>
              <c:layout>
                <c:manualLayout>
                  <c:x val="-0.21369619422572217"/>
                  <c:y val="-4.229148439778373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B62-4C9B-8CAB-3ABC59595FD9}"/>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Feuil4!$A$309:$A$312</c:f>
              <c:strCache>
                <c:ptCount val="4"/>
                <c:pt idx="0">
                  <c:v>Efficace</c:v>
                </c:pt>
                <c:pt idx="1">
                  <c:v>En partie efficace</c:v>
                </c:pt>
                <c:pt idx="2">
                  <c:v>Inefficace</c:v>
                </c:pt>
                <c:pt idx="3">
                  <c:v>inconnu</c:v>
                </c:pt>
              </c:strCache>
            </c:strRef>
          </c:cat>
          <c:val>
            <c:numRef>
              <c:f>Feuil4!$B$309:$B$312</c:f>
              <c:numCache>
                <c:formatCode>General</c:formatCode>
                <c:ptCount val="4"/>
                <c:pt idx="0">
                  <c:v>25</c:v>
                </c:pt>
                <c:pt idx="1">
                  <c:v>57.1</c:v>
                </c:pt>
                <c:pt idx="2">
                  <c:v>10.7</c:v>
                </c:pt>
                <c:pt idx="3">
                  <c:v>7.1</c:v>
                </c:pt>
              </c:numCache>
            </c:numRef>
          </c:val>
          <c:extLst>
            <c:ext xmlns:c16="http://schemas.microsoft.com/office/drawing/2014/chart" uri="{C3380CC4-5D6E-409C-BE32-E72D297353CC}">
              <c16:uniqueId val="{00000002-BB62-4C9B-8CAB-3ABC59595FD9}"/>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6.4981080489938794E-2"/>
                  <c:y val="4.485017497812781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807-48FB-94D2-EBFD9431F04E}"/>
                </c:ext>
              </c:extLst>
            </c:dLbl>
            <c:dLbl>
              <c:idx val="1"/>
              <c:layout>
                <c:manualLayout>
                  <c:x val="0.1095203412073493"/>
                  <c:y val="-2.60877806940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807-48FB-94D2-EBFD9431F04E}"/>
                </c:ext>
              </c:extLst>
            </c:dLbl>
            <c:dLbl>
              <c:idx val="2"/>
              <c:layout>
                <c:manualLayout>
                  <c:x val="-6.7039588801399819E-2"/>
                  <c:y val="4.759878973461667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807-48FB-94D2-EBFD9431F04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Feuil4!$A$315:$A$318</c:f>
              <c:strCache>
                <c:ptCount val="4"/>
                <c:pt idx="0">
                  <c:v>Efficace</c:v>
                </c:pt>
                <c:pt idx="1">
                  <c:v>En partie efficace</c:v>
                </c:pt>
                <c:pt idx="2">
                  <c:v>Inefficace</c:v>
                </c:pt>
                <c:pt idx="3">
                  <c:v>inconnu</c:v>
                </c:pt>
              </c:strCache>
            </c:strRef>
          </c:cat>
          <c:val>
            <c:numRef>
              <c:f>Feuil4!$B$315:$B$318</c:f>
              <c:numCache>
                <c:formatCode>General</c:formatCode>
                <c:ptCount val="4"/>
                <c:pt idx="0">
                  <c:v>18.2</c:v>
                </c:pt>
                <c:pt idx="1">
                  <c:v>45.5</c:v>
                </c:pt>
                <c:pt idx="2">
                  <c:v>31.8</c:v>
                </c:pt>
                <c:pt idx="3">
                  <c:v>4.5</c:v>
                </c:pt>
              </c:numCache>
            </c:numRef>
          </c:val>
          <c:extLst>
            <c:ext xmlns:c16="http://schemas.microsoft.com/office/drawing/2014/chart" uri="{C3380CC4-5D6E-409C-BE32-E72D297353CC}">
              <c16:uniqueId val="{00000003-F807-48FB-94D2-EBFD9431F04E}"/>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21289544349682"/>
          <c:y val="7.5369011077005221E-2"/>
          <c:w val="0.46388888888889068"/>
          <c:h val="0.77314814814815014"/>
        </c:manualLayout>
      </c:layout>
      <c:pieChart>
        <c:varyColors val="1"/>
        <c:ser>
          <c:idx val="0"/>
          <c:order val="0"/>
          <c:dLbls>
            <c:dLbl>
              <c:idx val="0"/>
              <c:layout>
                <c:manualLayout>
                  <c:x val="0.18979625984252055"/>
                  <c:y val="8.680555555555556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A38B-4F5A-B8AF-C975345FE239}"/>
                </c:ext>
              </c:extLst>
            </c:dLbl>
            <c:dLbl>
              <c:idx val="1"/>
              <c:layout>
                <c:manualLayout>
                  <c:x val="0.15782185039370078"/>
                  <c:y val="0.132575459317585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38B-4F5A-B8AF-C975345FE239}"/>
                </c:ext>
              </c:extLst>
            </c:dLbl>
            <c:dLbl>
              <c:idx val="2"/>
              <c:layout>
                <c:manualLayout>
                  <c:x val="-5.5888779527559058E-2"/>
                  <c:y val="0.3856357538641003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A38B-4F5A-B8AF-C975345FE239}"/>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Feuil4!$A$322:$A$325</c:f>
              <c:strCache>
                <c:ptCount val="4"/>
                <c:pt idx="0">
                  <c:v>Efficace</c:v>
                </c:pt>
                <c:pt idx="1">
                  <c:v>En partie efficace</c:v>
                </c:pt>
                <c:pt idx="2">
                  <c:v>Inefficace</c:v>
                </c:pt>
                <c:pt idx="3">
                  <c:v>inconnu</c:v>
                </c:pt>
              </c:strCache>
            </c:strRef>
          </c:cat>
          <c:val>
            <c:numRef>
              <c:f>Feuil4!$B$322:$B$325</c:f>
              <c:numCache>
                <c:formatCode>General</c:formatCode>
                <c:ptCount val="4"/>
                <c:pt idx="0">
                  <c:v>12.5</c:v>
                </c:pt>
                <c:pt idx="1">
                  <c:v>43.8</c:v>
                </c:pt>
                <c:pt idx="2">
                  <c:v>37.5</c:v>
                </c:pt>
                <c:pt idx="3">
                  <c:v>6.3</c:v>
                </c:pt>
              </c:numCache>
            </c:numRef>
          </c:val>
          <c:extLst>
            <c:ext xmlns:c16="http://schemas.microsoft.com/office/drawing/2014/chart" uri="{C3380CC4-5D6E-409C-BE32-E72D297353CC}">
              <c16:uniqueId val="{00000003-A38B-4F5A-B8AF-C975345FE239}"/>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Lbls>
            <c:dLbl>
              <c:idx val="0"/>
              <c:layout>
                <c:manualLayout>
                  <c:x val="0.11433912948381462"/>
                  <c:y val="-7.409412365121051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C9A9-483D-B277-606CCCA8D9A5}"/>
                </c:ext>
              </c:extLst>
            </c:dLbl>
            <c:dLbl>
              <c:idx val="1"/>
              <c:layout>
                <c:manualLayout>
                  <c:x val="0.19617957130358629"/>
                  <c:y val="-6.2481773111694504E-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9A9-483D-B277-606CCCA8D9A5}"/>
                </c:ext>
              </c:extLst>
            </c:dLbl>
            <c:dLbl>
              <c:idx val="2"/>
              <c:layout>
                <c:manualLayout>
                  <c:x val="-7.9887685914260986E-2"/>
                  <c:y val="7.557195975503062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C9A9-483D-B277-606CCCA8D9A5}"/>
                </c:ext>
              </c:extLst>
            </c:dLbl>
            <c:dLbl>
              <c:idx val="3"/>
              <c:layout>
                <c:manualLayout>
                  <c:x val="-7.2968285214348449E-2"/>
                  <c:y val="-2.240412656751241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9A9-483D-B277-606CCCA8D9A5}"/>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Feuil4!$A$329:$A$332</c:f>
              <c:strCache>
                <c:ptCount val="4"/>
                <c:pt idx="0">
                  <c:v>Efficace</c:v>
                </c:pt>
                <c:pt idx="1">
                  <c:v>En partie efficace</c:v>
                </c:pt>
                <c:pt idx="2">
                  <c:v>Inefficace</c:v>
                </c:pt>
                <c:pt idx="3">
                  <c:v>inconnu</c:v>
                </c:pt>
              </c:strCache>
            </c:strRef>
          </c:cat>
          <c:val>
            <c:numRef>
              <c:f>Feuil4!$B$329:$B$332</c:f>
              <c:numCache>
                <c:formatCode>General</c:formatCode>
                <c:ptCount val="4"/>
                <c:pt idx="0">
                  <c:v>30.8</c:v>
                </c:pt>
                <c:pt idx="1">
                  <c:v>38.5</c:v>
                </c:pt>
                <c:pt idx="2">
                  <c:v>7.7</c:v>
                </c:pt>
                <c:pt idx="3">
                  <c:v>23.1</c:v>
                </c:pt>
              </c:numCache>
            </c:numRef>
          </c:val>
          <c:extLst>
            <c:ext xmlns:c16="http://schemas.microsoft.com/office/drawing/2014/chart" uri="{C3380CC4-5D6E-409C-BE32-E72D297353CC}">
              <c16:uniqueId val="{00000004-C9A9-483D-B277-606CCCA8D9A5}"/>
            </c:ext>
          </c:extLst>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percentStacked"/>
        <c:varyColors val="0"/>
        <c:ser>
          <c:idx val="0"/>
          <c:order val="0"/>
          <c:tx>
            <c:strRef>
              <c:f>Feuil1!$B$1</c:f>
              <c:strCache>
                <c:ptCount val="1"/>
                <c:pt idx="0">
                  <c:v>Pourcentage de réalisation de l'objectif</c:v>
                </c:pt>
              </c:strCache>
            </c:strRef>
          </c:tx>
          <c:spPr>
            <a:gradFill>
              <a:gsLst>
                <a:gs pos="100000">
                  <a:schemeClr val="accent1"/>
                </a:gs>
                <a:gs pos="0">
                  <a:schemeClr val="accent1">
                    <a:lumMod val="75000"/>
                  </a:schemeClr>
                </a:gs>
              </a:gsLst>
              <a:lin ang="0" scaled="1"/>
            </a:gradFill>
            <a:ln>
              <a:noFill/>
            </a:ln>
            <a:effectLst>
              <a:innerShdw dist="12700" dir="16200000">
                <a:schemeClr val="lt1">
                  <a:alpha val="75000"/>
                </a:schemeClr>
              </a:innerShdw>
            </a:effectLst>
          </c:spPr>
          <c:cat>
            <c:strRef>
              <c:f>Feuil1!$A$2:$A$21</c:f>
              <c:strCache>
                <c:ptCount val="20"/>
                <c:pt idx="0">
                  <c:v>Objectif 1</c:v>
                </c:pt>
                <c:pt idx="1">
                  <c:v>Objectif 2</c:v>
                </c:pt>
                <c:pt idx="2">
                  <c:v>Objectif 3</c:v>
                </c:pt>
                <c:pt idx="3">
                  <c:v>Objectif 4</c:v>
                </c:pt>
                <c:pt idx="4">
                  <c:v>Objectif 5</c:v>
                </c:pt>
                <c:pt idx="5">
                  <c:v>Objectif 6</c:v>
                </c:pt>
                <c:pt idx="6">
                  <c:v>Objectif 7</c:v>
                </c:pt>
                <c:pt idx="7">
                  <c:v>Objectif 8</c:v>
                </c:pt>
                <c:pt idx="8">
                  <c:v>Objectif 9</c:v>
                </c:pt>
                <c:pt idx="9">
                  <c:v>Objectif 10</c:v>
                </c:pt>
                <c:pt idx="10">
                  <c:v>Objectif 11</c:v>
                </c:pt>
                <c:pt idx="11">
                  <c:v>Objectif 12</c:v>
                </c:pt>
                <c:pt idx="12">
                  <c:v>Objectif 13</c:v>
                </c:pt>
                <c:pt idx="13">
                  <c:v>Objectif 14</c:v>
                </c:pt>
                <c:pt idx="14">
                  <c:v>Objectif 15</c:v>
                </c:pt>
                <c:pt idx="15">
                  <c:v>Objectif 16</c:v>
                </c:pt>
                <c:pt idx="16">
                  <c:v>Objectif 17</c:v>
                </c:pt>
                <c:pt idx="17">
                  <c:v>Objectif 18</c:v>
                </c:pt>
                <c:pt idx="18">
                  <c:v>Objectif 19</c:v>
                </c:pt>
                <c:pt idx="19">
                  <c:v>Objectif 20</c:v>
                </c:pt>
              </c:strCache>
            </c:strRef>
          </c:cat>
          <c:val>
            <c:numRef>
              <c:f>Feuil1!$B$2:$B$21</c:f>
              <c:numCache>
                <c:formatCode>General</c:formatCode>
                <c:ptCount val="20"/>
                <c:pt idx="0">
                  <c:v>65</c:v>
                </c:pt>
                <c:pt idx="1">
                  <c:v>45</c:v>
                </c:pt>
                <c:pt idx="2">
                  <c:v>20</c:v>
                </c:pt>
                <c:pt idx="3">
                  <c:v>45</c:v>
                </c:pt>
                <c:pt idx="4">
                  <c:v>45</c:v>
                </c:pt>
                <c:pt idx="5">
                  <c:v>45</c:v>
                </c:pt>
                <c:pt idx="6">
                  <c:v>30</c:v>
                </c:pt>
                <c:pt idx="7">
                  <c:v>45</c:v>
                </c:pt>
                <c:pt idx="8">
                  <c:v>10</c:v>
                </c:pt>
                <c:pt idx="9">
                  <c:v>30</c:v>
                </c:pt>
                <c:pt idx="10">
                  <c:v>10</c:v>
                </c:pt>
                <c:pt idx="11">
                  <c:v>30</c:v>
                </c:pt>
                <c:pt idx="12">
                  <c:v>30</c:v>
                </c:pt>
                <c:pt idx="13">
                  <c:v>10</c:v>
                </c:pt>
                <c:pt idx="14">
                  <c:v>30</c:v>
                </c:pt>
                <c:pt idx="15">
                  <c:v>30</c:v>
                </c:pt>
                <c:pt idx="16">
                  <c:v>30</c:v>
                </c:pt>
                <c:pt idx="17">
                  <c:v>10</c:v>
                </c:pt>
                <c:pt idx="18">
                  <c:v>10</c:v>
                </c:pt>
                <c:pt idx="19">
                  <c:v>10</c:v>
                </c:pt>
              </c:numCache>
            </c:numRef>
          </c:val>
          <c:extLst>
            <c:ext xmlns:c16="http://schemas.microsoft.com/office/drawing/2014/chart" uri="{C3380CC4-5D6E-409C-BE32-E72D297353CC}">
              <c16:uniqueId val="{00000000-F052-4549-9746-BE2317E10AD8}"/>
            </c:ext>
          </c:extLst>
        </c:ser>
        <c:ser>
          <c:idx val="1"/>
          <c:order val="1"/>
          <c:tx>
            <c:strRef>
              <c:f>Feuil1!$C$1</c:f>
              <c:strCache>
                <c:ptCount val="1"/>
                <c:pt idx="0">
                  <c:v>Pourcentage de non réalisation de l'objectif</c:v>
                </c:pt>
              </c:strCache>
            </c:strRef>
          </c:tx>
          <c:spPr>
            <a:gradFill>
              <a:gsLst>
                <a:gs pos="100000">
                  <a:schemeClr val="accent2"/>
                </a:gs>
                <a:gs pos="0">
                  <a:schemeClr val="accent2">
                    <a:lumMod val="75000"/>
                  </a:schemeClr>
                </a:gs>
              </a:gsLst>
              <a:lin ang="0" scaled="1"/>
            </a:gradFill>
            <a:ln>
              <a:noFill/>
            </a:ln>
            <a:effectLst>
              <a:innerShdw dist="12700" dir="16200000">
                <a:schemeClr val="lt1">
                  <a:alpha val="75000"/>
                </a:schemeClr>
              </a:innerShdw>
            </a:effectLst>
          </c:spPr>
          <c:cat>
            <c:strRef>
              <c:f>Feuil1!$A$2:$A$21</c:f>
              <c:strCache>
                <c:ptCount val="20"/>
                <c:pt idx="0">
                  <c:v>Objectif 1</c:v>
                </c:pt>
                <c:pt idx="1">
                  <c:v>Objectif 2</c:v>
                </c:pt>
                <c:pt idx="2">
                  <c:v>Objectif 3</c:v>
                </c:pt>
                <c:pt idx="3">
                  <c:v>Objectif 4</c:v>
                </c:pt>
                <c:pt idx="4">
                  <c:v>Objectif 5</c:v>
                </c:pt>
                <c:pt idx="5">
                  <c:v>Objectif 6</c:v>
                </c:pt>
                <c:pt idx="6">
                  <c:v>Objectif 7</c:v>
                </c:pt>
                <c:pt idx="7">
                  <c:v>Objectif 8</c:v>
                </c:pt>
                <c:pt idx="8">
                  <c:v>Objectif 9</c:v>
                </c:pt>
                <c:pt idx="9">
                  <c:v>Objectif 10</c:v>
                </c:pt>
                <c:pt idx="10">
                  <c:v>Objectif 11</c:v>
                </c:pt>
                <c:pt idx="11">
                  <c:v>Objectif 12</c:v>
                </c:pt>
                <c:pt idx="12">
                  <c:v>Objectif 13</c:v>
                </c:pt>
                <c:pt idx="13">
                  <c:v>Objectif 14</c:v>
                </c:pt>
                <c:pt idx="14">
                  <c:v>Objectif 15</c:v>
                </c:pt>
                <c:pt idx="15">
                  <c:v>Objectif 16</c:v>
                </c:pt>
                <c:pt idx="16">
                  <c:v>Objectif 17</c:v>
                </c:pt>
                <c:pt idx="17">
                  <c:v>Objectif 18</c:v>
                </c:pt>
                <c:pt idx="18">
                  <c:v>Objectif 19</c:v>
                </c:pt>
                <c:pt idx="19">
                  <c:v>Objectif 20</c:v>
                </c:pt>
              </c:strCache>
            </c:strRef>
          </c:cat>
          <c:val>
            <c:numRef>
              <c:f>Feuil1!$C$2:$C$21</c:f>
              <c:numCache>
                <c:formatCode>General</c:formatCode>
                <c:ptCount val="20"/>
                <c:pt idx="0">
                  <c:v>35</c:v>
                </c:pt>
                <c:pt idx="1">
                  <c:v>55</c:v>
                </c:pt>
                <c:pt idx="2">
                  <c:v>80</c:v>
                </c:pt>
                <c:pt idx="3">
                  <c:v>55</c:v>
                </c:pt>
                <c:pt idx="4">
                  <c:v>55</c:v>
                </c:pt>
                <c:pt idx="5">
                  <c:v>55</c:v>
                </c:pt>
                <c:pt idx="6">
                  <c:v>70</c:v>
                </c:pt>
                <c:pt idx="7">
                  <c:v>55</c:v>
                </c:pt>
                <c:pt idx="8">
                  <c:v>90</c:v>
                </c:pt>
                <c:pt idx="9">
                  <c:v>70</c:v>
                </c:pt>
                <c:pt idx="10">
                  <c:v>90</c:v>
                </c:pt>
                <c:pt idx="11">
                  <c:v>70</c:v>
                </c:pt>
                <c:pt idx="12">
                  <c:v>70</c:v>
                </c:pt>
                <c:pt idx="13">
                  <c:v>90</c:v>
                </c:pt>
                <c:pt idx="14">
                  <c:v>70</c:v>
                </c:pt>
                <c:pt idx="15">
                  <c:v>70</c:v>
                </c:pt>
                <c:pt idx="16">
                  <c:v>70</c:v>
                </c:pt>
                <c:pt idx="17">
                  <c:v>90</c:v>
                </c:pt>
                <c:pt idx="18">
                  <c:v>90</c:v>
                </c:pt>
                <c:pt idx="19">
                  <c:v>90</c:v>
                </c:pt>
              </c:numCache>
            </c:numRef>
          </c:val>
          <c:extLst>
            <c:ext xmlns:c16="http://schemas.microsoft.com/office/drawing/2014/chart" uri="{C3380CC4-5D6E-409C-BE32-E72D297353CC}">
              <c16:uniqueId val="{00000001-F052-4549-9746-BE2317E10AD8}"/>
            </c:ext>
          </c:extLst>
        </c:ser>
        <c:dLbls>
          <c:showLegendKey val="0"/>
          <c:showVal val="0"/>
          <c:showCatName val="0"/>
          <c:showSerName val="0"/>
          <c:showPercent val="0"/>
          <c:showBubbleSize val="0"/>
        </c:dLbls>
        <c:dropLines>
          <c:spPr>
            <a:ln w="9525" cap="flat" cmpd="sng" algn="ctr">
              <a:solidFill>
                <a:schemeClr val="lt1">
                  <a:alpha val="40000"/>
                </a:schemeClr>
              </a:solidFill>
              <a:round/>
            </a:ln>
            <a:effectLst/>
          </c:spPr>
        </c:dropLines>
        <c:axId val="185201792"/>
        <c:axId val="185203712"/>
      </c:areaChart>
      <c:catAx>
        <c:axId val="185201792"/>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lt1">
                        <a:lumMod val="85000"/>
                      </a:schemeClr>
                    </a:solidFill>
                    <a:latin typeface="+mn-lt"/>
                    <a:ea typeface="+mn-ea"/>
                    <a:cs typeface="+mn-cs"/>
                  </a:defRPr>
                </a:pPr>
                <a:r>
                  <a:rPr lang="en-US" sz="1100" b="1"/>
                  <a:t>Objectifs nationaux de la biodiversité</a:t>
                </a:r>
              </a:p>
            </c:rich>
          </c:tx>
          <c:overlay val="0"/>
          <c:spPr>
            <a:noFill/>
            <a:ln>
              <a:noFill/>
            </a:ln>
            <a:effectLst/>
          </c:spPr>
        </c:title>
        <c:numFmt formatCode="General" sourceLinked="1"/>
        <c:majorTickMark val="none"/>
        <c:minorTickMark val="none"/>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900" b="1" i="0" u="none" strike="noStrike" kern="1200" cap="all" baseline="0">
                <a:solidFill>
                  <a:schemeClr val="lt1">
                    <a:lumMod val="85000"/>
                  </a:schemeClr>
                </a:solidFill>
                <a:latin typeface="+mn-lt"/>
                <a:ea typeface="+mn-ea"/>
                <a:cs typeface="+mn-cs"/>
              </a:defRPr>
            </a:pPr>
            <a:endParaRPr lang="fr-FR"/>
          </a:p>
        </c:txPr>
        <c:crossAx val="185203712"/>
        <c:crosses val="autoZero"/>
        <c:auto val="1"/>
        <c:lblAlgn val="ctr"/>
        <c:lblOffset val="100"/>
        <c:noMultiLvlLbl val="0"/>
      </c:catAx>
      <c:valAx>
        <c:axId val="185203712"/>
        <c:scaling>
          <c:orientation val="minMax"/>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title>
          <c:tx>
            <c:rich>
              <a:bodyPr rot="-5400000" spcFirstLastPara="1" vertOverflow="ellipsis" vert="horz" wrap="square" anchor="ctr" anchorCtr="1"/>
              <a:lstStyle/>
              <a:p>
                <a:pPr>
                  <a:defRPr sz="1100" b="1" i="0" u="none" strike="noStrike" kern="1200" baseline="0">
                    <a:solidFill>
                      <a:schemeClr val="lt1">
                        <a:lumMod val="85000"/>
                      </a:schemeClr>
                    </a:solidFill>
                    <a:latin typeface="+mn-lt"/>
                    <a:ea typeface="+mn-ea"/>
                    <a:cs typeface="+mn-cs"/>
                  </a:defRPr>
                </a:pPr>
                <a:r>
                  <a:rPr lang="fr-FR" sz="1100" b="1"/>
                  <a:t>Pourcentage de mise en oeuvre (%)</a:t>
                </a:r>
              </a:p>
            </c:rich>
          </c:tx>
          <c:layout>
            <c:manualLayout>
              <c:xMode val="edge"/>
              <c:yMode val="edge"/>
              <c:x val="2.3965936739659365E-2"/>
              <c:y val="0.16127408276093147"/>
            </c:manualLayout>
          </c:layout>
          <c:overlay val="0"/>
          <c:spPr>
            <a:noFill/>
            <a:ln>
              <a:noFill/>
            </a:ln>
            <a:effectLst/>
          </c:sp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fr-FR"/>
          </a:p>
        </c:txPr>
        <c:crossAx val="185201792"/>
        <c:crosses val="autoZero"/>
        <c:crossBetween val="midCat"/>
      </c:valAx>
      <c:spPr>
        <a:noFill/>
        <a:ln>
          <a:noFill/>
        </a:ln>
        <a:effectLst/>
      </c:spPr>
    </c:plotArea>
    <c:legend>
      <c:legendPos val="t"/>
      <c:layout>
        <c:manualLayout>
          <c:xMode val="edge"/>
          <c:yMode val="edge"/>
          <c:x val="0.21545012165450123"/>
          <c:y val="2.1276595744680851E-2"/>
          <c:w val="0.73454987834549879"/>
          <c:h val="9.6486252325255456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bg1"/>
              </a:solidFill>
              <a:latin typeface="+mn-lt"/>
              <a:ea typeface="+mn-ea"/>
              <a:cs typeface="+mn-cs"/>
            </a:defRPr>
          </a:pPr>
          <a:endParaRPr lang="fr-FR"/>
        </a:p>
      </c:txPr>
    </c:legend>
    <c:plotVisOnly val="1"/>
    <c:dispBlanksAs val="zero"/>
    <c:showDLblsOverMax val="0"/>
  </c:chart>
  <c:spPr>
    <a:solidFill>
      <a:schemeClr val="dk1">
        <a:lumMod val="75000"/>
        <a:lumOff val="25000"/>
      </a:schemeClr>
    </a:solidFill>
    <a:ln w="9525" cap="flat" cmpd="sng" algn="ctr">
      <a:solidFill>
        <a:schemeClr val="lt1">
          <a:lumMod val="75000"/>
        </a:schemeClr>
      </a:solidFill>
      <a:round/>
    </a:ln>
    <a:effectLst/>
  </c:spPr>
  <c:txPr>
    <a:bodyPr/>
    <a:lstStyle/>
    <a:p>
      <a:pPr>
        <a:defRPr/>
      </a:pPr>
      <a:endParaRPr lang="fr-F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0"/>
    <c:plotArea>
      <c:layout/>
      <c:barChart>
        <c:barDir val="col"/>
        <c:grouping val="clustered"/>
        <c:varyColors val="0"/>
        <c:ser>
          <c:idx val="0"/>
          <c:order val="0"/>
          <c:invertIfNegative val="0"/>
          <c:cat>
            <c:strRef>
              <c:f>Feuil3!$A$2312:$A$2331</c:f>
              <c:strCache>
                <c:ptCount val="20"/>
                <c:pt idx="0">
                  <c:v>Objectif1</c:v>
                </c:pt>
                <c:pt idx="1">
                  <c:v>Objectif2</c:v>
                </c:pt>
                <c:pt idx="2">
                  <c:v>Objectif3</c:v>
                </c:pt>
                <c:pt idx="3">
                  <c:v>Objectif4</c:v>
                </c:pt>
                <c:pt idx="4">
                  <c:v>Objectif5</c:v>
                </c:pt>
                <c:pt idx="5">
                  <c:v>Objectif6</c:v>
                </c:pt>
                <c:pt idx="6">
                  <c:v>Objectif7</c:v>
                </c:pt>
                <c:pt idx="7">
                  <c:v>Objectif8</c:v>
                </c:pt>
                <c:pt idx="8">
                  <c:v>Objectif9</c:v>
                </c:pt>
                <c:pt idx="9">
                  <c:v>Objectif10</c:v>
                </c:pt>
                <c:pt idx="10">
                  <c:v>Objectif11</c:v>
                </c:pt>
                <c:pt idx="11">
                  <c:v>Objectif12</c:v>
                </c:pt>
                <c:pt idx="12">
                  <c:v>Objectif13</c:v>
                </c:pt>
                <c:pt idx="13">
                  <c:v>Objectif14</c:v>
                </c:pt>
                <c:pt idx="14">
                  <c:v>Objectif15</c:v>
                </c:pt>
                <c:pt idx="15">
                  <c:v>Objectif16</c:v>
                </c:pt>
                <c:pt idx="16">
                  <c:v>Objectif17</c:v>
                </c:pt>
                <c:pt idx="17">
                  <c:v>Objectif18</c:v>
                </c:pt>
                <c:pt idx="18">
                  <c:v>Objectif19</c:v>
                </c:pt>
                <c:pt idx="19">
                  <c:v>Objectif20</c:v>
                </c:pt>
              </c:strCache>
            </c:strRef>
          </c:cat>
          <c:val>
            <c:numRef>
              <c:f>Feuil3!$B$2312:$B$2331</c:f>
              <c:numCache>
                <c:formatCode>General</c:formatCode>
                <c:ptCount val="20"/>
                <c:pt idx="0">
                  <c:v>60</c:v>
                </c:pt>
                <c:pt idx="1">
                  <c:v>26</c:v>
                </c:pt>
                <c:pt idx="2">
                  <c:v>9</c:v>
                </c:pt>
                <c:pt idx="3">
                  <c:v>16</c:v>
                </c:pt>
                <c:pt idx="4">
                  <c:v>32</c:v>
                </c:pt>
                <c:pt idx="5">
                  <c:v>31</c:v>
                </c:pt>
                <c:pt idx="6">
                  <c:v>51</c:v>
                </c:pt>
                <c:pt idx="7">
                  <c:v>22</c:v>
                </c:pt>
                <c:pt idx="8">
                  <c:v>3</c:v>
                </c:pt>
                <c:pt idx="9">
                  <c:v>6</c:v>
                </c:pt>
                <c:pt idx="10">
                  <c:v>2</c:v>
                </c:pt>
                <c:pt idx="11">
                  <c:v>5</c:v>
                </c:pt>
                <c:pt idx="12">
                  <c:v>4</c:v>
                </c:pt>
                <c:pt idx="13">
                  <c:v>3</c:v>
                </c:pt>
                <c:pt idx="14">
                  <c:v>2</c:v>
                </c:pt>
                <c:pt idx="15">
                  <c:v>3</c:v>
                </c:pt>
                <c:pt idx="16">
                  <c:v>4</c:v>
                </c:pt>
                <c:pt idx="17">
                  <c:v>5</c:v>
                </c:pt>
                <c:pt idx="18">
                  <c:v>12</c:v>
                </c:pt>
                <c:pt idx="19">
                  <c:v>5</c:v>
                </c:pt>
              </c:numCache>
            </c:numRef>
          </c:val>
          <c:extLst>
            <c:ext xmlns:c16="http://schemas.microsoft.com/office/drawing/2014/chart" uri="{C3380CC4-5D6E-409C-BE32-E72D297353CC}">
              <c16:uniqueId val="{00000000-9824-4522-9D1B-FBC6E3E6A515}"/>
            </c:ext>
          </c:extLst>
        </c:ser>
        <c:dLbls>
          <c:showLegendKey val="0"/>
          <c:showVal val="0"/>
          <c:showCatName val="0"/>
          <c:showSerName val="0"/>
          <c:showPercent val="0"/>
          <c:showBubbleSize val="0"/>
        </c:dLbls>
        <c:gapWidth val="150"/>
        <c:axId val="186224000"/>
        <c:axId val="186242560"/>
      </c:barChart>
      <c:catAx>
        <c:axId val="186224000"/>
        <c:scaling>
          <c:orientation val="minMax"/>
        </c:scaling>
        <c:delete val="0"/>
        <c:axPos val="b"/>
        <c:title>
          <c:tx>
            <c:rich>
              <a:bodyPr/>
              <a:lstStyle/>
              <a:p>
                <a:pPr>
                  <a:defRPr/>
                </a:pPr>
                <a:r>
                  <a:rPr lang="en-US"/>
                  <a:t>Objectifs nationaux</a:t>
                </a:r>
              </a:p>
            </c:rich>
          </c:tx>
          <c:overlay val="0"/>
        </c:title>
        <c:numFmt formatCode="General" sourceLinked="0"/>
        <c:majorTickMark val="out"/>
        <c:minorTickMark val="none"/>
        <c:tickLblPos val="nextTo"/>
        <c:txPr>
          <a:bodyPr/>
          <a:lstStyle/>
          <a:p>
            <a:pPr>
              <a:defRPr sz="800"/>
            </a:pPr>
            <a:endParaRPr lang="fr-FR"/>
          </a:p>
        </c:txPr>
        <c:crossAx val="186242560"/>
        <c:crosses val="autoZero"/>
        <c:auto val="1"/>
        <c:lblAlgn val="ctr"/>
        <c:lblOffset val="100"/>
        <c:noMultiLvlLbl val="0"/>
      </c:catAx>
      <c:valAx>
        <c:axId val="186242560"/>
        <c:scaling>
          <c:orientation val="minMax"/>
        </c:scaling>
        <c:delete val="0"/>
        <c:axPos val="l"/>
        <c:title>
          <c:tx>
            <c:rich>
              <a:bodyPr rot="-5400000" vert="horz"/>
              <a:lstStyle/>
              <a:p>
                <a:pPr>
                  <a:defRPr/>
                </a:pPr>
                <a:r>
                  <a:rPr lang="fr-FR"/>
                  <a:t>Effectif de structures mettant en oeuvre l'objectif national</a:t>
                </a:r>
              </a:p>
            </c:rich>
          </c:tx>
          <c:overlay val="0"/>
        </c:title>
        <c:numFmt formatCode="General" sourceLinked="1"/>
        <c:majorTickMark val="out"/>
        <c:minorTickMark val="none"/>
        <c:tickLblPos val="nextTo"/>
        <c:crossAx val="18622400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605477-BD40-4589-83B5-4A0936B36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83571</Words>
  <Characters>459643</Characters>
  <Application>Microsoft Office Word</Application>
  <DocSecurity>0</DocSecurity>
  <Lines>3830</Lines>
  <Paragraphs>1084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542130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 KOKOU</dc:creator>
  <cp:lastModifiedBy>GERMIN</cp:lastModifiedBy>
  <cp:revision>2</cp:revision>
  <cp:lastPrinted>2023-05-29T20:09:00Z</cp:lastPrinted>
  <dcterms:created xsi:type="dcterms:W3CDTF">2023-07-25T11:50:00Z</dcterms:created>
  <dcterms:modified xsi:type="dcterms:W3CDTF">2023-07-25T11:50:00Z</dcterms:modified>
</cp:coreProperties>
</file>