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DAA5" w14:textId="77777777" w:rsidR="00A13FBB" w:rsidRPr="00A13FBB" w:rsidRDefault="00A13FBB" w:rsidP="00A13FBB">
      <w:pPr>
        <w:shd w:val="clear" w:color="auto" w:fill="FFFFFF"/>
        <w:spacing w:before="100" w:beforeAutospacing="1" w:after="100" w:afterAutospacing="1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fr-FR"/>
        </w:rPr>
      </w:pPr>
      <w:r w:rsidRPr="00A13F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fr-FR"/>
        </w:rPr>
        <w:t>Défis liés à la prolifération des espèces exotiques envahissantes au Togo</w:t>
      </w:r>
    </w:p>
    <w:p w14:paraId="3E50C794" w14:textId="77777777" w:rsidR="00A13FBB" w:rsidRPr="00A13FBB" w:rsidRDefault="00A13FBB" w:rsidP="00A13F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Dans certains écosystèmes du Togo, on note de plus en plus à une prolifération des espèces exotiques envahissantes. Les plus fréquemment rencontrées sont des espèces exotiques de terre ferme ou aquatiques. </w:t>
      </w:r>
    </w:p>
    <w:p w14:paraId="3C05583A" w14:textId="59BE900F" w:rsidR="00A13FBB" w:rsidRPr="00A13FBB" w:rsidRDefault="00A13FBB" w:rsidP="00A1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13FBB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 wp14:anchorId="348EC74E" wp14:editId="0855AC45">
            <wp:extent cx="5267325" cy="3686175"/>
            <wp:effectExtent l="0" t="0" r="9525" b="9525"/>
            <wp:docPr id="16924926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7"/>
        <w:gridCol w:w="5328"/>
      </w:tblGrid>
      <w:tr w:rsidR="00A13FBB" w:rsidRPr="00A13FBB" w14:paraId="7BED6FD5" w14:textId="77777777" w:rsidTr="00A13FB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34166C48" w14:textId="77777777" w:rsidR="00A13FBB" w:rsidRPr="00A13FBB" w:rsidRDefault="00A13FBB" w:rsidP="00A13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Source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4DD5F" w14:textId="77777777" w:rsidR="00A13FBB" w:rsidRPr="00A13FBB" w:rsidRDefault="00A13FBB" w:rsidP="00A13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DRF</w:t>
            </w:r>
          </w:p>
        </w:tc>
      </w:tr>
      <w:tr w:rsidR="00A13FBB" w:rsidRPr="00A13FBB" w14:paraId="591714B5" w14:textId="77777777" w:rsidTr="00A13FB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EE834EA" w14:textId="77777777" w:rsidR="00A13FBB" w:rsidRPr="00A13FBB" w:rsidRDefault="00A13FBB" w:rsidP="00A13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Date de publication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2DCA3" w14:textId="77777777" w:rsidR="00A13FBB" w:rsidRPr="00A13FBB" w:rsidRDefault="00A13FBB" w:rsidP="00A13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18/06/2018</w:t>
            </w:r>
          </w:p>
        </w:tc>
      </w:tr>
      <w:tr w:rsidR="00A13FBB" w:rsidRPr="00A13FBB" w14:paraId="385348C1" w14:textId="77777777" w:rsidTr="00A13FB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5824622" w14:textId="77777777" w:rsidR="00A13FBB" w:rsidRPr="00A13FBB" w:rsidRDefault="00A13FBB" w:rsidP="00A13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Contributeur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97326" w14:textId="77777777" w:rsidR="00A13FBB" w:rsidRPr="00A13FBB" w:rsidRDefault="00A13FBB" w:rsidP="00A13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</w:t>
            </w:r>
            <w:proofErr w:type="gramEnd"/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marc </w:t>
            </w:r>
            <w:proofErr w:type="spellStart"/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Gnama</w:t>
            </w:r>
            <w:proofErr w:type="spellEnd"/>
          </w:p>
        </w:tc>
      </w:tr>
      <w:tr w:rsidR="00A13FBB" w:rsidRPr="00A13FBB" w14:paraId="2F046622" w14:textId="77777777" w:rsidTr="00A13FB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E1AE6AF" w14:textId="77777777" w:rsidR="00A13FBB" w:rsidRPr="00A13FBB" w:rsidRDefault="00A13FBB" w:rsidP="00A13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Couverture géographique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0A7DC" w14:textId="77777777" w:rsidR="00A13FBB" w:rsidRPr="00A13FBB" w:rsidRDefault="00A13FBB" w:rsidP="00A13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Togo</w:t>
            </w:r>
          </w:p>
        </w:tc>
      </w:tr>
      <w:tr w:rsidR="00A13FBB" w:rsidRPr="00A13FBB" w14:paraId="576E662C" w14:textId="77777777" w:rsidTr="00A13FB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6CEFD91" w14:textId="77777777" w:rsidR="00A13FBB" w:rsidRPr="00A13FBB" w:rsidRDefault="00A13FBB" w:rsidP="00A13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Mots-clefs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28DFF" w14:textId="77777777" w:rsidR="00A13FBB" w:rsidRPr="00A13FBB" w:rsidRDefault="00A13FBB" w:rsidP="00A13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13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Biodiversité, espèces envahissantes, prolifération, eutrophisation.</w:t>
            </w:r>
          </w:p>
        </w:tc>
      </w:tr>
    </w:tbl>
    <w:p w14:paraId="41528D76" w14:textId="77777777" w:rsidR="00A13FBB" w:rsidRPr="00A13FBB" w:rsidRDefault="00A13FBB" w:rsidP="00A13F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Comme espèces de terre ferme, on peut citer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Chromolaena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odorata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Asteraceae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), une espèce des jachères surtout du climat guinéen, </w:t>
      </w:r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Azadirachta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indica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Meliaceae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 observé partout au Togo et devenu même la végétation ligneuse de certaines localités à travers le pays,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Leucaena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leucocephala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(Mimosaceae),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Titonia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diversifolia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Asteraceae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 et </w:t>
      </w:r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Mimosa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invisa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Fabaceae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), etc. Dans les forêts de la zone montagneuse 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sub-humide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du Togo décrit comme un hotspot en Afrique sub-saharienne (Ferla et al. 2001), et où l’endémisme est très prononcé pour l’Afrique de l’ouest 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Beentje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al. 1994), l’intensification de la culture du teck 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Tectona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grandis) menace dangereusement la flore locale). Ces espèces perturbent sérieusement le développement et le maintien des écosystèmes naturels. </w:t>
      </w:r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En milieu aquatique, les principales espèces aquatiques qui envahissent les mares et les lagunes au Togo sont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Pistia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stratioites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Araceae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 et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Echhornia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crassipes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 </w:t>
      </w:r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Ponteriaceae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)(photo) mais aussi les espèces de fougère 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Azollaceae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(</w:t>
      </w:r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Azolla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africana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Desv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.) et </w:t>
      </w:r>
      <w:proofErr w:type="spellStart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Salviniaceae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(</w:t>
      </w:r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Salvinia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auriculata</w:t>
      </w:r>
      <w:proofErr w:type="spellEnd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 xml:space="preserve"> </w:t>
      </w:r>
      <w:proofErr w:type="spellStart"/>
      <w:r w:rsidRPr="00A13FBB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Aubl</w:t>
      </w:r>
      <w:proofErr w:type="spellEnd"/>
      <w:r w:rsidRPr="00A13FB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.), entraînant l’eutrophisation et l’asphyxie de toute la diversité biologique de ces écosystèmes</w:t>
      </w:r>
    </w:p>
    <w:p w14:paraId="58057E0B" w14:textId="77777777" w:rsidR="005646BC" w:rsidRDefault="005646BC"/>
    <w:sectPr w:rsidR="0056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BB"/>
    <w:rsid w:val="005646BC"/>
    <w:rsid w:val="00A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B963"/>
  <w15:chartTrackingRefBased/>
  <w15:docId w15:val="{3E563D7B-413B-4FA1-8FA7-A25F5AEE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F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13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SIMFAILE</dc:creator>
  <cp:keywords/>
  <dc:description/>
  <cp:lastModifiedBy>SIMFAILE</cp:lastModifiedBy>
  <cp:revision>1</cp:revision>
  <dcterms:created xsi:type="dcterms:W3CDTF">2023-08-04T11:53:00Z</dcterms:created>
  <dcterms:modified xsi:type="dcterms:W3CDTF">2023-08-04T11:55:00Z</dcterms:modified>
</cp:coreProperties>
</file>