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63A" w:rsidRPr="0088163A" w:rsidRDefault="0088163A" w:rsidP="0088163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 w:rsidRPr="0088163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 xml:space="preserve">Défis liés à la prolifération des espèces exotiques envahissantes au Togo </w:t>
      </w:r>
    </w:p>
    <w:p w:rsidR="0088163A" w:rsidRPr="0088163A" w:rsidRDefault="0088163A" w:rsidP="008816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8163A">
        <w:rPr>
          <w:rFonts w:ascii="Times New Roman" w:eastAsia="Times New Roman" w:hAnsi="Times New Roman" w:cs="Times New Roman"/>
          <w:sz w:val="24"/>
          <w:szCs w:val="24"/>
          <w:lang w:eastAsia="fr-FR"/>
        </w:rPr>
        <w:t>Dans certains écosystèmes du Togo, on note de plus en plus à une prolifération des espèces exotiques envahissantes. Les plus fréquemment rencontrées sont des espèces exotiques de terre ferme ou aquatiques. </w:t>
      </w:r>
    </w:p>
    <w:p w:rsidR="0088163A" w:rsidRPr="0088163A" w:rsidRDefault="0088163A" w:rsidP="008816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8163A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 wp14:anchorId="1E61BCED" wp14:editId="61E44C1A">
            <wp:extent cx="5267325" cy="3689985"/>
            <wp:effectExtent l="0" t="0" r="9525" b="5715"/>
            <wp:docPr id="1" name="Image 1" descr="http://tg.chm-cbd.net/biodiversity/pressions-et-menaces-sur-la-biodiversite-au-togo/defis-lies-a-la-proliferation-des-especes-exotiques-envahissantes-au-togo/getSmall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g.chm-cbd.net/biodiversity/pressions-et-menaces-sur-la-biodiversite-au-togo/defis-lies-a-la-proliferation-des-especes-exotiques-envahissantes-au-togo/getSmallPictur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689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458"/>
        <w:gridCol w:w="6384"/>
      </w:tblGrid>
      <w:tr w:rsidR="0088163A" w:rsidRPr="0088163A" w:rsidTr="0088163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8163A" w:rsidRPr="0088163A" w:rsidRDefault="0088163A" w:rsidP="00881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8816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Source</w:t>
            </w:r>
          </w:p>
        </w:tc>
        <w:tc>
          <w:tcPr>
            <w:tcW w:w="0" w:type="auto"/>
            <w:vAlign w:val="center"/>
            <w:hideMark/>
          </w:tcPr>
          <w:p w:rsidR="0088163A" w:rsidRPr="0088163A" w:rsidRDefault="0088163A" w:rsidP="00881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8163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DRF</w:t>
            </w:r>
          </w:p>
        </w:tc>
      </w:tr>
      <w:tr w:rsidR="0088163A" w:rsidRPr="0088163A" w:rsidTr="0088163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8163A" w:rsidRPr="0088163A" w:rsidRDefault="0088163A" w:rsidP="00881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8816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Release date</w:t>
            </w:r>
          </w:p>
        </w:tc>
        <w:tc>
          <w:tcPr>
            <w:tcW w:w="0" w:type="auto"/>
            <w:vAlign w:val="center"/>
            <w:hideMark/>
          </w:tcPr>
          <w:p w:rsidR="0088163A" w:rsidRPr="0088163A" w:rsidRDefault="0088163A" w:rsidP="00881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8163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18/06/2018</w:t>
            </w:r>
          </w:p>
        </w:tc>
      </w:tr>
      <w:tr w:rsidR="0088163A" w:rsidRPr="0088163A" w:rsidTr="0088163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8163A" w:rsidRPr="0088163A" w:rsidRDefault="0088163A" w:rsidP="00881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proofErr w:type="spellStart"/>
            <w:r w:rsidRPr="008816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Cont</w:t>
            </w:r>
            <w:bookmarkStart w:id="0" w:name="_GoBack"/>
            <w:bookmarkEnd w:id="0"/>
            <w:r w:rsidRPr="008816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ributor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8163A" w:rsidRPr="0088163A" w:rsidRDefault="0088163A" w:rsidP="00881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8163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jean marc </w:t>
            </w:r>
            <w:proofErr w:type="spellStart"/>
            <w:r w:rsidRPr="0088163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Gnama</w:t>
            </w:r>
            <w:proofErr w:type="spellEnd"/>
            <w:r w:rsidRPr="0088163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</w:tr>
      <w:tr w:rsidR="0088163A" w:rsidRPr="0088163A" w:rsidTr="0088163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8163A" w:rsidRPr="0088163A" w:rsidRDefault="0088163A" w:rsidP="00881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proofErr w:type="spellStart"/>
            <w:r w:rsidRPr="008816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Geographical</w:t>
            </w:r>
            <w:proofErr w:type="spellEnd"/>
            <w:r w:rsidRPr="008816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8816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coverage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8163A" w:rsidRPr="0088163A" w:rsidRDefault="0088163A" w:rsidP="00881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8163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Togo</w:t>
            </w:r>
          </w:p>
        </w:tc>
      </w:tr>
      <w:tr w:rsidR="0088163A" w:rsidRPr="0088163A" w:rsidTr="0088163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8163A" w:rsidRPr="0088163A" w:rsidRDefault="0088163A" w:rsidP="00881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8816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Keywords</w:t>
            </w:r>
          </w:p>
        </w:tc>
        <w:tc>
          <w:tcPr>
            <w:tcW w:w="0" w:type="auto"/>
            <w:vAlign w:val="center"/>
            <w:hideMark/>
          </w:tcPr>
          <w:p w:rsidR="0088163A" w:rsidRPr="0088163A" w:rsidRDefault="0088163A" w:rsidP="00881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8163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Biodiversité, espèces envahissantes, prolifération, eutrophisation.</w:t>
            </w:r>
          </w:p>
        </w:tc>
      </w:tr>
    </w:tbl>
    <w:p w:rsidR="0088163A" w:rsidRPr="0088163A" w:rsidRDefault="0088163A" w:rsidP="008816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8163A">
        <w:rPr>
          <w:rFonts w:ascii="Times New Roman" w:eastAsia="Times New Roman" w:hAnsi="Times New Roman" w:cs="Times New Roman"/>
          <w:sz w:val="24"/>
          <w:szCs w:val="24"/>
          <w:lang w:eastAsia="fr-FR"/>
        </w:rPr>
        <w:t>Comme espèces de terre ferme, on peut citer </w:t>
      </w:r>
      <w:proofErr w:type="spellStart"/>
      <w:r w:rsidRPr="0088163A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Chromolaena</w:t>
      </w:r>
      <w:proofErr w:type="spellEnd"/>
      <w:r w:rsidRPr="0088163A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</w:t>
      </w:r>
      <w:proofErr w:type="spellStart"/>
      <w:r w:rsidRPr="0088163A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odorata</w:t>
      </w:r>
      <w:proofErr w:type="spellEnd"/>
      <w:r w:rsidRPr="008816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</w:t>
      </w:r>
      <w:proofErr w:type="spellStart"/>
      <w:r w:rsidRPr="0088163A">
        <w:rPr>
          <w:rFonts w:ascii="Times New Roman" w:eastAsia="Times New Roman" w:hAnsi="Times New Roman" w:cs="Times New Roman"/>
          <w:sz w:val="24"/>
          <w:szCs w:val="24"/>
          <w:lang w:eastAsia="fr-FR"/>
        </w:rPr>
        <w:t>Asteraceae</w:t>
      </w:r>
      <w:proofErr w:type="spellEnd"/>
      <w:r w:rsidRPr="008816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), une espèce des jachères surtout du climat guinéen, </w:t>
      </w:r>
      <w:proofErr w:type="spellStart"/>
      <w:r w:rsidRPr="0088163A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Azadirachta</w:t>
      </w:r>
      <w:proofErr w:type="spellEnd"/>
      <w:r w:rsidRPr="0088163A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</w:t>
      </w:r>
      <w:proofErr w:type="spellStart"/>
      <w:r w:rsidRPr="0088163A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indica</w:t>
      </w:r>
      <w:proofErr w:type="spellEnd"/>
      <w:r w:rsidRPr="008816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</w:t>
      </w:r>
      <w:proofErr w:type="spellStart"/>
      <w:r w:rsidRPr="0088163A">
        <w:rPr>
          <w:rFonts w:ascii="Times New Roman" w:eastAsia="Times New Roman" w:hAnsi="Times New Roman" w:cs="Times New Roman"/>
          <w:sz w:val="24"/>
          <w:szCs w:val="24"/>
          <w:lang w:eastAsia="fr-FR"/>
        </w:rPr>
        <w:t>Meliaceae</w:t>
      </w:r>
      <w:proofErr w:type="spellEnd"/>
      <w:r w:rsidRPr="008816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) observé partout au Togo et devenu même la végétation ligneuse de certaines localités à travers le pays, </w:t>
      </w:r>
      <w:proofErr w:type="spellStart"/>
      <w:r w:rsidRPr="0088163A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Leucaena</w:t>
      </w:r>
      <w:proofErr w:type="spellEnd"/>
      <w:r w:rsidRPr="0088163A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</w:t>
      </w:r>
      <w:proofErr w:type="spellStart"/>
      <w:r w:rsidRPr="0088163A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leucocephala</w:t>
      </w:r>
      <w:proofErr w:type="spellEnd"/>
      <w:r w:rsidRPr="008816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 (Mimosaceae), </w:t>
      </w:r>
      <w:proofErr w:type="spellStart"/>
      <w:r w:rsidRPr="0088163A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Titonia</w:t>
      </w:r>
      <w:proofErr w:type="spellEnd"/>
      <w:r w:rsidRPr="0088163A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</w:t>
      </w:r>
      <w:proofErr w:type="spellStart"/>
      <w:r w:rsidRPr="0088163A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diversifolia</w:t>
      </w:r>
      <w:proofErr w:type="spellEnd"/>
      <w:r w:rsidRPr="008816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</w:t>
      </w:r>
      <w:proofErr w:type="spellStart"/>
      <w:r w:rsidRPr="0088163A">
        <w:rPr>
          <w:rFonts w:ascii="Times New Roman" w:eastAsia="Times New Roman" w:hAnsi="Times New Roman" w:cs="Times New Roman"/>
          <w:sz w:val="24"/>
          <w:szCs w:val="24"/>
          <w:lang w:eastAsia="fr-FR"/>
        </w:rPr>
        <w:t>Asteraceae</w:t>
      </w:r>
      <w:proofErr w:type="spellEnd"/>
      <w:r w:rsidRPr="008816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) et </w:t>
      </w:r>
      <w:r w:rsidRPr="0088163A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Mimosa </w:t>
      </w:r>
      <w:proofErr w:type="spellStart"/>
      <w:r w:rsidRPr="0088163A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invisa</w:t>
      </w:r>
      <w:proofErr w:type="spellEnd"/>
      <w:r w:rsidRPr="008816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</w:t>
      </w:r>
      <w:proofErr w:type="spellStart"/>
      <w:r w:rsidRPr="0088163A">
        <w:rPr>
          <w:rFonts w:ascii="Times New Roman" w:eastAsia="Times New Roman" w:hAnsi="Times New Roman" w:cs="Times New Roman"/>
          <w:sz w:val="24"/>
          <w:szCs w:val="24"/>
          <w:lang w:eastAsia="fr-FR"/>
        </w:rPr>
        <w:t>Fabaceae</w:t>
      </w:r>
      <w:proofErr w:type="spellEnd"/>
      <w:r w:rsidRPr="008816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), etc. Dans les forêts de la zone montagneuse </w:t>
      </w:r>
      <w:proofErr w:type="spellStart"/>
      <w:r w:rsidRPr="0088163A">
        <w:rPr>
          <w:rFonts w:ascii="Times New Roman" w:eastAsia="Times New Roman" w:hAnsi="Times New Roman" w:cs="Times New Roman"/>
          <w:sz w:val="24"/>
          <w:szCs w:val="24"/>
          <w:lang w:eastAsia="fr-FR"/>
        </w:rPr>
        <w:t>sub-humide</w:t>
      </w:r>
      <w:proofErr w:type="spellEnd"/>
      <w:r w:rsidRPr="008816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du Togo décrit comme un </w:t>
      </w:r>
      <w:proofErr w:type="spellStart"/>
      <w:r w:rsidRPr="0088163A">
        <w:rPr>
          <w:rFonts w:ascii="Times New Roman" w:eastAsia="Times New Roman" w:hAnsi="Times New Roman" w:cs="Times New Roman"/>
          <w:sz w:val="24"/>
          <w:szCs w:val="24"/>
          <w:lang w:eastAsia="fr-FR"/>
        </w:rPr>
        <w:t>hotspot</w:t>
      </w:r>
      <w:proofErr w:type="spellEnd"/>
      <w:r w:rsidRPr="008816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en Afrique sub-saharienne (Ferla et al. 2001), et où l’endémisme est très prononcé pour l’Afrique de l’ouest (</w:t>
      </w:r>
      <w:proofErr w:type="spellStart"/>
      <w:r w:rsidRPr="0088163A">
        <w:rPr>
          <w:rFonts w:ascii="Times New Roman" w:eastAsia="Times New Roman" w:hAnsi="Times New Roman" w:cs="Times New Roman"/>
          <w:sz w:val="24"/>
          <w:szCs w:val="24"/>
          <w:lang w:eastAsia="fr-FR"/>
        </w:rPr>
        <w:t>Beentje</w:t>
      </w:r>
      <w:proofErr w:type="spellEnd"/>
      <w:r w:rsidRPr="008816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al. 1994), l’intensification de la culture du teck (</w:t>
      </w:r>
      <w:proofErr w:type="spellStart"/>
      <w:r w:rsidRPr="0088163A">
        <w:rPr>
          <w:rFonts w:ascii="Times New Roman" w:eastAsia="Times New Roman" w:hAnsi="Times New Roman" w:cs="Times New Roman"/>
          <w:sz w:val="24"/>
          <w:szCs w:val="24"/>
          <w:lang w:eastAsia="fr-FR"/>
        </w:rPr>
        <w:t>Tectona</w:t>
      </w:r>
      <w:proofErr w:type="spellEnd"/>
      <w:r w:rsidRPr="008816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grandis) menace dangereusement la flore locale). Ces espèces perturbent sérieusement le développement et le maintien des écosystèmes naturels. </w:t>
      </w:r>
      <w:r w:rsidRPr="0088163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En milieu aquatique, les principales espèces aquatiques qui envahissent les mares et les lagunes au Togo sont </w:t>
      </w:r>
      <w:proofErr w:type="spellStart"/>
      <w:r w:rsidRPr="0088163A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Pistia</w:t>
      </w:r>
      <w:proofErr w:type="spellEnd"/>
      <w:r w:rsidRPr="0088163A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</w:t>
      </w:r>
      <w:proofErr w:type="spellStart"/>
      <w:r w:rsidRPr="0088163A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stratioites</w:t>
      </w:r>
      <w:proofErr w:type="spellEnd"/>
      <w:r w:rsidRPr="008816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</w:t>
      </w:r>
      <w:proofErr w:type="spellStart"/>
      <w:r w:rsidRPr="0088163A">
        <w:rPr>
          <w:rFonts w:ascii="Times New Roman" w:eastAsia="Times New Roman" w:hAnsi="Times New Roman" w:cs="Times New Roman"/>
          <w:sz w:val="24"/>
          <w:szCs w:val="24"/>
          <w:lang w:eastAsia="fr-FR"/>
        </w:rPr>
        <w:t>Araceae</w:t>
      </w:r>
      <w:proofErr w:type="spellEnd"/>
      <w:r w:rsidRPr="008816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) et </w:t>
      </w:r>
      <w:proofErr w:type="spellStart"/>
      <w:r w:rsidRPr="0088163A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Echhornia</w:t>
      </w:r>
      <w:proofErr w:type="spellEnd"/>
      <w:r w:rsidRPr="0088163A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</w:t>
      </w:r>
      <w:proofErr w:type="spellStart"/>
      <w:r w:rsidRPr="0088163A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crassipes</w:t>
      </w:r>
      <w:proofErr w:type="spellEnd"/>
      <w:r w:rsidRPr="0088163A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</w:t>
      </w:r>
      <w:r w:rsidRPr="0088163A">
        <w:rPr>
          <w:rFonts w:ascii="Times New Roman" w:eastAsia="Times New Roman" w:hAnsi="Times New Roman" w:cs="Times New Roman"/>
          <w:sz w:val="24"/>
          <w:szCs w:val="24"/>
          <w:lang w:eastAsia="fr-FR"/>
        </w:rPr>
        <w:t>(</w:t>
      </w:r>
      <w:proofErr w:type="spellStart"/>
      <w:r w:rsidRPr="0088163A">
        <w:rPr>
          <w:rFonts w:ascii="Times New Roman" w:eastAsia="Times New Roman" w:hAnsi="Times New Roman" w:cs="Times New Roman"/>
          <w:sz w:val="24"/>
          <w:szCs w:val="24"/>
          <w:lang w:eastAsia="fr-FR"/>
        </w:rPr>
        <w:t>Ponteriaceae</w:t>
      </w:r>
      <w:proofErr w:type="spellEnd"/>
      <w:proofErr w:type="gramStart"/>
      <w:r w:rsidRPr="0088163A">
        <w:rPr>
          <w:rFonts w:ascii="Times New Roman" w:eastAsia="Times New Roman" w:hAnsi="Times New Roman" w:cs="Times New Roman"/>
          <w:sz w:val="24"/>
          <w:szCs w:val="24"/>
          <w:lang w:eastAsia="fr-FR"/>
        </w:rPr>
        <w:t>)(</w:t>
      </w:r>
      <w:proofErr w:type="gramEnd"/>
      <w:r w:rsidRPr="008816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photo) mais aussi les espèces de fougère </w:t>
      </w:r>
      <w:proofErr w:type="spellStart"/>
      <w:r w:rsidRPr="0088163A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Azollaceae</w:t>
      </w:r>
      <w:proofErr w:type="spellEnd"/>
      <w:r w:rsidRPr="008816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</w:t>
      </w:r>
      <w:proofErr w:type="spellStart"/>
      <w:r w:rsidRPr="0088163A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Azolla</w:t>
      </w:r>
      <w:proofErr w:type="spellEnd"/>
      <w:r w:rsidRPr="0088163A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</w:t>
      </w:r>
      <w:proofErr w:type="spellStart"/>
      <w:r w:rsidRPr="0088163A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africana</w:t>
      </w:r>
      <w:proofErr w:type="spellEnd"/>
      <w:r w:rsidRPr="0088163A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</w:t>
      </w:r>
      <w:proofErr w:type="spellStart"/>
      <w:r w:rsidRPr="0088163A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Desv</w:t>
      </w:r>
      <w:proofErr w:type="spellEnd"/>
      <w:r w:rsidRPr="008816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.) et </w:t>
      </w:r>
      <w:proofErr w:type="spellStart"/>
      <w:r w:rsidRPr="0088163A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>Salviniaceae</w:t>
      </w:r>
      <w:proofErr w:type="spellEnd"/>
      <w:r w:rsidRPr="008816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</w:t>
      </w:r>
      <w:r w:rsidRPr="0088163A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Salvinia </w:t>
      </w:r>
      <w:proofErr w:type="spellStart"/>
      <w:r w:rsidRPr="0088163A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auriculata</w:t>
      </w:r>
      <w:proofErr w:type="spellEnd"/>
      <w:r w:rsidRPr="0088163A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</w:t>
      </w:r>
      <w:proofErr w:type="spellStart"/>
      <w:r w:rsidRPr="0088163A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Aubl</w:t>
      </w:r>
      <w:proofErr w:type="spellEnd"/>
      <w:r w:rsidRPr="0088163A">
        <w:rPr>
          <w:rFonts w:ascii="Times New Roman" w:eastAsia="Times New Roman" w:hAnsi="Times New Roman" w:cs="Times New Roman"/>
          <w:sz w:val="24"/>
          <w:szCs w:val="24"/>
          <w:lang w:eastAsia="fr-FR"/>
        </w:rPr>
        <w:t>.), entraînant l’eutrophisation et l’asphyxie de toute la diversité biologique de ces écosystèmes.</w:t>
      </w:r>
    </w:p>
    <w:p w:rsidR="0088163A" w:rsidRPr="0088163A" w:rsidRDefault="0088163A" w:rsidP="008816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88163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Please</w:t>
      </w:r>
      <w:proofErr w:type="spellEnd"/>
      <w:r w:rsidRPr="0088163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note </w:t>
      </w:r>
      <w:proofErr w:type="spellStart"/>
      <w:r w:rsidRPr="0088163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that</w:t>
      </w:r>
      <w:proofErr w:type="spellEnd"/>
      <w:r w:rsidRPr="0088163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  <w:proofErr w:type="spellStart"/>
      <w:r w:rsidRPr="0088163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this</w:t>
      </w:r>
      <w:proofErr w:type="spellEnd"/>
      <w:r w:rsidRPr="0088163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information has </w:t>
      </w:r>
      <w:proofErr w:type="spellStart"/>
      <w:r w:rsidRPr="0088163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expired</w:t>
      </w:r>
      <w:proofErr w:type="spellEnd"/>
      <w:r w:rsidRPr="0088163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.</w:t>
      </w:r>
      <w:r w:rsidRPr="008816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5E237D" w:rsidRDefault="005E237D"/>
    <w:sectPr w:rsidR="005E23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63A"/>
    <w:rsid w:val="005E237D"/>
    <w:rsid w:val="00881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24B23B-7E3E-4820-97AB-261DA053E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76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62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257</Words>
  <Characters>1417</Characters>
  <Application>Microsoft Office Word</Application>
  <DocSecurity>0</DocSecurity>
  <Lines>11</Lines>
  <Paragraphs>3</Paragraphs>
  <ScaleCrop>false</ScaleCrop>
  <Company>Microsoft</Company>
  <LinksUpToDate>false</LinksUpToDate>
  <CharactersWithSpaces>1671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toute personne</dc:creator>
  <cp:keywords/>
  <dc:description/>
  <cp:lastModifiedBy>toute personne</cp:lastModifiedBy>
  <cp:revision>1</cp:revision>
  <dcterms:created xsi:type="dcterms:W3CDTF">2023-08-04T07:44:00Z</dcterms:created>
  <dcterms:modified xsi:type="dcterms:W3CDTF">2023-08-04T07:46:00Z</dcterms:modified>
</cp:coreProperties>
</file>